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F4DF41E" w14:textId="0EF89DC5" w:rsidR="00B270D1" w:rsidRPr="00191EE1" w:rsidRDefault="00E35D90" w:rsidP="00E35D90">
      <w:pPr>
        <w:jc w:val="center"/>
        <w:rPr>
          <w:rFonts w:eastAsia="Calibri" w:cs="Arial"/>
          <w:sz w:val="24"/>
          <w:szCs w:val="20"/>
        </w:rPr>
      </w:pPr>
      <w:bookmarkStart w:id="0" w:name="_GoBack"/>
      <w:r w:rsidRPr="00E35D90">
        <w:rPr>
          <w:rFonts w:eastAsia="Calibri" w:cs="Arial"/>
          <w:noProof/>
          <w:sz w:val="24"/>
          <w:szCs w:val="20"/>
          <w:lang w:eastAsia="en-AU"/>
        </w:rPr>
        <w:drawing>
          <wp:inline distT="0" distB="0" distL="0" distR="0" wp14:anchorId="0276CB86" wp14:editId="050E4DE6">
            <wp:extent cx="5758127" cy="8715737"/>
            <wp:effectExtent l="0" t="0" r="0" b="0"/>
            <wp:docPr id="10" name="Picture 10" descr="Lead in Plumbing Products in contact with drinking water&#10;Regulation Impact Statement &#10;2021&#10; " title="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03081" cy="8783781"/>
                    </a:xfrm>
                    <a:prstGeom prst="rect">
                      <a:avLst/>
                    </a:prstGeom>
                  </pic:spPr>
                </pic:pic>
              </a:graphicData>
            </a:graphic>
          </wp:inline>
        </w:drawing>
      </w:r>
      <w:bookmarkEnd w:id="0"/>
    </w:p>
    <w:p w14:paraId="7C9B03A1" w14:textId="77777777" w:rsidR="00B270D1" w:rsidRPr="009C0A5D" w:rsidRDefault="00B270D1" w:rsidP="00A8260C">
      <w:pPr>
        <w:pBdr>
          <w:top w:val="single" w:sz="4" w:space="1" w:color="auto"/>
          <w:bottom w:val="single" w:sz="4" w:space="1" w:color="auto"/>
        </w:pBdr>
        <w:spacing w:before="120" w:after="0" w:line="360" w:lineRule="auto"/>
        <w:jc w:val="both"/>
        <w:rPr>
          <w:rFonts w:eastAsia="Calibri" w:cs="Arial"/>
          <w:sz w:val="24"/>
          <w:szCs w:val="20"/>
        </w:rPr>
      </w:pPr>
      <w:r w:rsidRPr="009C0A5D">
        <w:rPr>
          <w:rFonts w:eastAsia="Calibri" w:cs="Arial"/>
          <w:sz w:val="24"/>
          <w:szCs w:val="20"/>
        </w:rPr>
        <w:lastRenderedPageBreak/>
        <w:t xml:space="preserve">The Australian Building Codes Board has developed this </w:t>
      </w:r>
      <w:r w:rsidR="00191EE1">
        <w:rPr>
          <w:rFonts w:eastAsia="Calibri" w:cs="Arial"/>
          <w:sz w:val="24"/>
          <w:szCs w:val="20"/>
        </w:rPr>
        <w:t>Final</w:t>
      </w:r>
      <w:r w:rsidR="00191EE1" w:rsidRPr="009C0A5D">
        <w:rPr>
          <w:rFonts w:eastAsia="Calibri" w:cs="Arial"/>
          <w:sz w:val="24"/>
          <w:szCs w:val="20"/>
        </w:rPr>
        <w:t xml:space="preserve"> </w:t>
      </w:r>
      <w:r w:rsidRPr="009C0A5D">
        <w:rPr>
          <w:rFonts w:eastAsia="Calibri" w:cs="Arial"/>
          <w:sz w:val="24"/>
          <w:szCs w:val="20"/>
        </w:rPr>
        <w:t xml:space="preserve">Regulation Impact Statement, which accords with the requirements of Best Practice Regulation: </w:t>
      </w:r>
      <w:r w:rsidRPr="009C0A5D">
        <w:rPr>
          <w:rFonts w:eastAsia="Calibri" w:cs="Arial"/>
          <w:i/>
          <w:iCs/>
          <w:sz w:val="24"/>
          <w:szCs w:val="20"/>
        </w:rPr>
        <w:t>A Guide for Ministerial Councils and National Standard Setting Bodies</w:t>
      </w:r>
      <w:r w:rsidRPr="009C0A5D">
        <w:rPr>
          <w:rFonts w:eastAsia="Calibri" w:cs="Arial"/>
          <w:sz w:val="24"/>
          <w:szCs w:val="20"/>
        </w:rPr>
        <w:t>, as endorsed by the Council of Australian Governments in 2007. Its purpose is to inform interested parties and to assist the Australian Building Codes Board in its decision making on proposed amendments to the National Construction Code.</w:t>
      </w:r>
    </w:p>
    <w:p w14:paraId="61E7246F" w14:textId="77777777" w:rsidR="00B270D1" w:rsidRDefault="00B270D1" w:rsidP="00B270D1">
      <w:pPr>
        <w:rPr>
          <w:rFonts w:eastAsia="Calibri" w:cs="Arial"/>
          <w:sz w:val="24"/>
          <w:szCs w:val="20"/>
        </w:rPr>
      </w:pPr>
    </w:p>
    <w:p w14:paraId="7B6D945B" w14:textId="77777777" w:rsidR="00EC0938" w:rsidRPr="00156820" w:rsidRDefault="00EC0938" w:rsidP="00156820">
      <w:pPr>
        <w:rPr>
          <w:b/>
          <w:bCs/>
          <w:color w:val="002060"/>
          <w:sz w:val="40"/>
          <w:szCs w:val="40"/>
        </w:rPr>
      </w:pPr>
      <w:r w:rsidRPr="00156820">
        <w:rPr>
          <w:b/>
          <w:bCs/>
          <w:color w:val="002060"/>
          <w:sz w:val="40"/>
          <w:szCs w:val="40"/>
        </w:rPr>
        <w:t>The Australian Building Codes Board</w:t>
      </w:r>
    </w:p>
    <w:p w14:paraId="35E165B0" w14:textId="77777777" w:rsidR="00EC0938" w:rsidRPr="00B270D1" w:rsidRDefault="00EC0938" w:rsidP="00B270D1">
      <w:pPr>
        <w:spacing w:line="360" w:lineRule="auto"/>
        <w:jc w:val="both"/>
        <w:rPr>
          <w:rFonts w:eastAsia="Calibri" w:cs="Arial"/>
          <w:sz w:val="24"/>
          <w:szCs w:val="20"/>
        </w:rPr>
      </w:pPr>
      <w:r w:rsidRPr="00B270D1">
        <w:rPr>
          <w:sz w:val="24"/>
        </w:rPr>
        <w:t>The Australian Building Codes Board (ABCB) is a joint initiative of all levels of government in Australia, together with the building industry. Its mission is to oversee issues relating to health, safety, amenity and sustainability in building. The ABCB promotes efficiency in the design, construction and performance of buildings through the National Construction Code, and the development of effective regulatory and non-regulatory approaches.  The Board aims to establish effective and proportional</w:t>
      </w:r>
      <w:r w:rsidRPr="00B270D1">
        <w:rPr>
          <w:rFonts w:eastAsia="Calibri" w:cs="Arial"/>
          <w:sz w:val="24"/>
          <w:szCs w:val="20"/>
        </w:rPr>
        <w:t xml:space="preserve"> codes, standards and regulatory systems that are consistent between </w:t>
      </w:r>
      <w:r w:rsidR="00D92B20">
        <w:rPr>
          <w:rFonts w:eastAsia="Calibri" w:cs="Arial"/>
          <w:sz w:val="24"/>
          <w:szCs w:val="20"/>
        </w:rPr>
        <w:t>s</w:t>
      </w:r>
      <w:r w:rsidR="00D92B20" w:rsidRPr="00B270D1">
        <w:rPr>
          <w:rFonts w:eastAsia="Calibri" w:cs="Arial"/>
          <w:sz w:val="24"/>
          <w:szCs w:val="20"/>
        </w:rPr>
        <w:t xml:space="preserve">tates </w:t>
      </w:r>
      <w:r w:rsidRPr="00B270D1">
        <w:rPr>
          <w:rFonts w:eastAsia="Calibri" w:cs="Arial"/>
          <w:sz w:val="24"/>
          <w:szCs w:val="20"/>
        </w:rPr>
        <w:t xml:space="preserve">and </w:t>
      </w:r>
      <w:r w:rsidR="00D92B20">
        <w:rPr>
          <w:rFonts w:eastAsia="Calibri" w:cs="Arial"/>
          <w:sz w:val="24"/>
          <w:szCs w:val="20"/>
        </w:rPr>
        <w:t>t</w:t>
      </w:r>
      <w:r w:rsidRPr="00B270D1">
        <w:rPr>
          <w:rFonts w:eastAsia="Calibri" w:cs="Arial"/>
          <w:sz w:val="24"/>
          <w:szCs w:val="20"/>
        </w:rPr>
        <w:t xml:space="preserve">erritories.  For more information see </w:t>
      </w:r>
      <w:hyperlink r:id="rId13" w:history="1">
        <w:r w:rsidRPr="00B270D1">
          <w:rPr>
            <w:rStyle w:val="Hyperlink"/>
            <w:rFonts w:eastAsia="Calibri" w:cs="Arial"/>
            <w:sz w:val="24"/>
            <w:szCs w:val="20"/>
          </w:rPr>
          <w:t>the ABCB website.</w:t>
        </w:r>
      </w:hyperlink>
    </w:p>
    <w:p w14:paraId="2306E9E1" w14:textId="77777777" w:rsidR="004507E2" w:rsidRPr="00315CC1" w:rsidRDefault="004507E2" w:rsidP="004507E2">
      <w:pPr>
        <w:pStyle w:val="Heading-Legal"/>
        <w:rPr>
          <w:rFonts w:cs="Arial"/>
          <w:sz w:val="20"/>
          <w:szCs w:val="20"/>
        </w:rPr>
      </w:pPr>
      <w:r w:rsidRPr="00315CC1">
        <w:rPr>
          <w:rFonts w:cs="Arial"/>
          <w:sz w:val="20"/>
          <w:szCs w:val="20"/>
        </w:rPr>
        <w:t xml:space="preserve">Copyright </w:t>
      </w:r>
    </w:p>
    <w:p w14:paraId="5B472784" w14:textId="77777777" w:rsidR="004507E2" w:rsidRPr="00315CC1" w:rsidRDefault="004507E2" w:rsidP="004507E2">
      <w:pPr>
        <w:spacing w:after="120" w:line="240" w:lineRule="auto"/>
        <w:rPr>
          <w:rFonts w:cs="Arial"/>
          <w:b/>
          <w:bCs/>
          <w:sz w:val="20"/>
          <w:szCs w:val="20"/>
        </w:rPr>
      </w:pPr>
      <w:r w:rsidRPr="00315CC1">
        <w:rPr>
          <w:rFonts w:cs="Arial"/>
          <w:b/>
          <w:bCs/>
          <w:sz w:val="20"/>
          <w:szCs w:val="20"/>
        </w:rPr>
        <w:t>© Commonwealth of Australia and States and Territories of Australia 2020, published by the Australian Building Codes Board.</w:t>
      </w:r>
    </w:p>
    <w:p w14:paraId="53C3D76E" w14:textId="77777777" w:rsidR="004507E2" w:rsidRPr="00315CC1" w:rsidRDefault="004507E2" w:rsidP="004507E2">
      <w:pPr>
        <w:spacing w:before="120" w:after="120" w:line="240" w:lineRule="auto"/>
        <w:jc w:val="center"/>
        <w:rPr>
          <w:rFonts w:cs="Arial"/>
          <w:b/>
          <w:bCs/>
          <w:sz w:val="20"/>
          <w:szCs w:val="20"/>
        </w:rPr>
      </w:pPr>
      <w:r w:rsidRPr="00315CC1">
        <w:rPr>
          <w:rFonts w:cs="Arial"/>
          <w:b/>
          <w:bCs/>
          <w:noProof/>
          <w:sz w:val="20"/>
          <w:szCs w:val="20"/>
          <w:lang w:eastAsia="en-AU"/>
        </w:rPr>
        <w:drawing>
          <wp:inline distT="0" distB="0" distL="0" distR="0" wp14:anchorId="6A87E22C" wp14:editId="79FCA525">
            <wp:extent cx="1024000" cy="360000"/>
            <wp:effectExtent l="0" t="0" r="5080" b="2540"/>
            <wp:docPr id="5" name="Picture 5" descr="Visual representation of the CC B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2px-CC-BY_sv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4000" cy="360000"/>
                    </a:xfrm>
                    <a:prstGeom prst="rect">
                      <a:avLst/>
                    </a:prstGeom>
                  </pic:spPr>
                </pic:pic>
              </a:graphicData>
            </a:graphic>
          </wp:inline>
        </w:drawing>
      </w:r>
    </w:p>
    <w:p w14:paraId="1B2C870E" w14:textId="77777777" w:rsidR="004507E2" w:rsidRPr="00315CC1" w:rsidRDefault="004507E2" w:rsidP="004507E2">
      <w:pPr>
        <w:spacing w:after="120" w:line="240" w:lineRule="auto"/>
        <w:rPr>
          <w:rFonts w:cs="Arial"/>
          <w:sz w:val="20"/>
          <w:szCs w:val="20"/>
        </w:rPr>
        <w:sectPr w:rsidR="004507E2" w:rsidRPr="00315CC1" w:rsidSect="009C0A5D">
          <w:pgSz w:w="11906" w:h="16838" w:code="9"/>
          <w:pgMar w:top="1418" w:right="1418" w:bottom="1418" w:left="1418" w:header="567" w:footer="567" w:gutter="0"/>
          <w:pgNumType w:start="1"/>
          <w:cols w:space="708"/>
          <w:docGrid w:linePitch="360"/>
        </w:sectPr>
      </w:pPr>
    </w:p>
    <w:p w14:paraId="1645F3BD" w14:textId="77777777" w:rsidR="004507E2" w:rsidRPr="00315CC1" w:rsidRDefault="004507E2" w:rsidP="004507E2">
      <w:pPr>
        <w:spacing w:before="120" w:after="120" w:line="240" w:lineRule="auto"/>
        <w:rPr>
          <w:rFonts w:cs="Arial"/>
          <w:sz w:val="20"/>
          <w:szCs w:val="20"/>
        </w:rPr>
      </w:pPr>
      <w:r w:rsidRPr="00315CC1">
        <w:rPr>
          <w:rFonts w:cs="Arial"/>
          <w:sz w:val="20"/>
          <w:szCs w:val="20"/>
        </w:rPr>
        <w:t>The material in this publication is licensed under a Creative Commons Attribution-</w:t>
      </w:r>
      <w:r>
        <w:rPr>
          <w:rFonts w:cs="Arial"/>
          <w:sz w:val="20"/>
          <w:szCs w:val="20"/>
        </w:rPr>
        <w:t>No Derivatives-</w:t>
      </w:r>
      <w:r w:rsidRPr="00315CC1">
        <w:rPr>
          <w:rFonts w:cs="Arial"/>
          <w:sz w:val="20"/>
          <w:szCs w:val="20"/>
        </w:rPr>
        <w:t>4.0 International licence, with the exception of</w:t>
      </w:r>
    </w:p>
    <w:p w14:paraId="14A4505C" w14:textId="77777777" w:rsidR="004507E2" w:rsidRPr="00315CC1" w:rsidRDefault="004507E2" w:rsidP="009F7B64">
      <w:pPr>
        <w:numPr>
          <w:ilvl w:val="0"/>
          <w:numId w:val="9"/>
        </w:numPr>
        <w:spacing w:after="0" w:line="240" w:lineRule="auto"/>
        <w:ind w:left="425" w:hanging="357"/>
        <w:jc w:val="both"/>
        <w:rPr>
          <w:rFonts w:cs="Arial"/>
          <w:sz w:val="20"/>
          <w:szCs w:val="20"/>
        </w:rPr>
      </w:pPr>
      <w:r w:rsidRPr="00315CC1">
        <w:rPr>
          <w:rFonts w:cs="Arial"/>
          <w:sz w:val="20"/>
          <w:szCs w:val="20"/>
        </w:rPr>
        <w:t xml:space="preserve">Any </w:t>
      </w:r>
      <w:r w:rsidR="00E0520F" w:rsidRPr="00315CC1">
        <w:rPr>
          <w:rFonts w:cs="Arial"/>
          <w:sz w:val="20"/>
          <w:szCs w:val="20"/>
        </w:rPr>
        <w:t>third-party</w:t>
      </w:r>
      <w:r w:rsidRPr="00315CC1">
        <w:rPr>
          <w:rFonts w:cs="Arial"/>
          <w:sz w:val="20"/>
          <w:szCs w:val="20"/>
        </w:rPr>
        <w:t xml:space="preserve"> material</w:t>
      </w:r>
    </w:p>
    <w:p w14:paraId="7EABA3D2" w14:textId="77777777" w:rsidR="004507E2" w:rsidRPr="00315CC1" w:rsidRDefault="004507E2" w:rsidP="009F7B64">
      <w:pPr>
        <w:numPr>
          <w:ilvl w:val="0"/>
          <w:numId w:val="9"/>
        </w:numPr>
        <w:spacing w:after="0" w:line="240" w:lineRule="auto"/>
        <w:ind w:left="425" w:hanging="357"/>
        <w:jc w:val="both"/>
        <w:rPr>
          <w:rFonts w:cs="Arial"/>
          <w:sz w:val="20"/>
          <w:szCs w:val="20"/>
        </w:rPr>
      </w:pPr>
      <w:r w:rsidRPr="00315CC1">
        <w:rPr>
          <w:rFonts w:cs="Arial"/>
          <w:sz w:val="20"/>
          <w:szCs w:val="20"/>
        </w:rPr>
        <w:t xml:space="preserve">Any trademarks, and </w:t>
      </w:r>
    </w:p>
    <w:p w14:paraId="19B8BDA8" w14:textId="77777777" w:rsidR="004507E2" w:rsidRPr="00315CC1" w:rsidRDefault="004507E2" w:rsidP="009F7B64">
      <w:pPr>
        <w:numPr>
          <w:ilvl w:val="0"/>
          <w:numId w:val="9"/>
        </w:numPr>
        <w:spacing w:after="120" w:line="240" w:lineRule="auto"/>
        <w:ind w:left="425" w:hanging="357"/>
        <w:jc w:val="both"/>
        <w:rPr>
          <w:rFonts w:cs="Arial"/>
          <w:sz w:val="20"/>
          <w:szCs w:val="20"/>
        </w:rPr>
      </w:pPr>
      <w:r w:rsidRPr="00315CC1">
        <w:rPr>
          <w:rFonts w:cs="Arial"/>
          <w:sz w:val="20"/>
          <w:szCs w:val="20"/>
        </w:rPr>
        <w:t>Any images or photographs.</w:t>
      </w:r>
    </w:p>
    <w:p w14:paraId="5F508E00" w14:textId="77777777" w:rsidR="004507E2" w:rsidRPr="00315CC1" w:rsidRDefault="004507E2" w:rsidP="004507E2">
      <w:pPr>
        <w:spacing w:before="120" w:line="240" w:lineRule="auto"/>
        <w:rPr>
          <w:rFonts w:cs="Arial"/>
          <w:sz w:val="20"/>
          <w:szCs w:val="20"/>
        </w:rPr>
      </w:pPr>
      <w:r w:rsidRPr="00315CC1">
        <w:rPr>
          <w:rFonts w:cs="Arial"/>
          <w:sz w:val="20"/>
          <w:szCs w:val="20"/>
        </w:rPr>
        <w:t>More information on this CC BY licence is set out at the Creative Commons website</w:t>
      </w:r>
      <w:r w:rsidRPr="00315CC1">
        <w:rPr>
          <w:rFonts w:cs="Arial"/>
          <w:sz w:val="20"/>
          <w:szCs w:val="20"/>
          <w:u w:val="single"/>
        </w:rPr>
        <w:t xml:space="preserve"> </w:t>
      </w:r>
      <w:r w:rsidRPr="00315CC1">
        <w:rPr>
          <w:rFonts w:cs="Arial"/>
          <w:color w:val="0000FF"/>
          <w:sz w:val="20"/>
          <w:szCs w:val="20"/>
          <w:u w:val="single"/>
        </w:rPr>
        <w:t>(</w:t>
      </w:r>
      <w:hyperlink r:id="rId15" w:tooltip="Creative Commons website" w:history="1">
        <w:r w:rsidRPr="00315CC1">
          <w:rPr>
            <w:rFonts w:cs="Arial"/>
            <w:color w:val="0000FF"/>
            <w:sz w:val="20"/>
            <w:szCs w:val="20"/>
            <w:u w:val="single"/>
          </w:rPr>
          <w:t>creativecommons.org/licenses/by/4.0</w:t>
        </w:r>
      </w:hyperlink>
      <w:r w:rsidRPr="00315CC1">
        <w:rPr>
          <w:rFonts w:cs="Arial"/>
          <w:color w:val="0000FF"/>
          <w:sz w:val="20"/>
          <w:szCs w:val="20"/>
          <w:u w:val="single"/>
        </w:rPr>
        <w:t>)</w:t>
      </w:r>
      <w:r w:rsidRPr="00315CC1">
        <w:rPr>
          <w:rFonts w:cs="Arial"/>
          <w:sz w:val="20"/>
          <w:szCs w:val="20"/>
        </w:rPr>
        <w:t xml:space="preserve">. </w:t>
      </w:r>
    </w:p>
    <w:p w14:paraId="30648A24" w14:textId="77777777" w:rsidR="004507E2" w:rsidRPr="00315CC1" w:rsidRDefault="004507E2" w:rsidP="004507E2">
      <w:pPr>
        <w:spacing w:before="120" w:line="240" w:lineRule="auto"/>
        <w:rPr>
          <w:rFonts w:cs="Arial"/>
          <w:sz w:val="20"/>
          <w:szCs w:val="20"/>
        </w:rPr>
      </w:pPr>
      <w:r w:rsidRPr="00315CC1">
        <w:rPr>
          <w:rFonts w:cs="Arial"/>
          <w:sz w:val="20"/>
          <w:szCs w:val="20"/>
        </w:rPr>
        <w:t>Enquiries about this publication can be sent to:</w:t>
      </w:r>
    </w:p>
    <w:p w14:paraId="1C144F63" w14:textId="77777777" w:rsidR="004507E2" w:rsidRPr="00315CC1" w:rsidRDefault="004507E2" w:rsidP="004507E2">
      <w:pPr>
        <w:tabs>
          <w:tab w:val="left" w:pos="1418"/>
          <w:tab w:val="left" w:pos="5245"/>
        </w:tabs>
        <w:spacing w:after="0" w:line="240" w:lineRule="auto"/>
        <w:rPr>
          <w:rFonts w:cs="Arial"/>
          <w:sz w:val="20"/>
          <w:szCs w:val="20"/>
        </w:rPr>
      </w:pPr>
      <w:r w:rsidRPr="00315CC1">
        <w:rPr>
          <w:rFonts w:cs="Arial"/>
          <w:sz w:val="20"/>
          <w:szCs w:val="20"/>
        </w:rPr>
        <w:t>Australian Building Codes Board</w:t>
      </w:r>
      <w:r>
        <w:rPr>
          <w:rFonts w:cs="Arial"/>
          <w:sz w:val="20"/>
          <w:szCs w:val="20"/>
        </w:rPr>
        <w:br/>
      </w:r>
      <w:r w:rsidRPr="00315CC1">
        <w:rPr>
          <w:rFonts w:cs="Arial"/>
          <w:sz w:val="20"/>
          <w:szCs w:val="20"/>
        </w:rPr>
        <w:t>GPO Box 2013</w:t>
      </w:r>
      <w:r>
        <w:rPr>
          <w:rFonts w:cs="Arial"/>
          <w:sz w:val="20"/>
          <w:szCs w:val="20"/>
        </w:rPr>
        <w:br/>
      </w:r>
      <w:r w:rsidRPr="00315CC1">
        <w:rPr>
          <w:rFonts w:cs="Arial"/>
          <w:sz w:val="20"/>
          <w:szCs w:val="20"/>
        </w:rPr>
        <w:t>CANBERRA ACT 2601</w:t>
      </w:r>
    </w:p>
    <w:p w14:paraId="5236474E" w14:textId="77777777" w:rsidR="004507E2" w:rsidRPr="00315CC1" w:rsidRDefault="004507E2" w:rsidP="004507E2">
      <w:pPr>
        <w:tabs>
          <w:tab w:val="left" w:pos="1418"/>
          <w:tab w:val="left" w:pos="5245"/>
        </w:tabs>
        <w:spacing w:after="0" w:line="240" w:lineRule="auto"/>
        <w:rPr>
          <w:rFonts w:cs="Arial"/>
          <w:sz w:val="20"/>
          <w:szCs w:val="20"/>
        </w:rPr>
      </w:pPr>
      <w:r w:rsidRPr="00315CC1">
        <w:rPr>
          <w:rFonts w:cs="Arial"/>
          <w:sz w:val="20"/>
          <w:szCs w:val="20"/>
        </w:rPr>
        <w:t>Phone: 1300 134 631</w:t>
      </w:r>
    </w:p>
    <w:p w14:paraId="075A59F9" w14:textId="77777777" w:rsidR="004507E2" w:rsidRPr="00315CC1" w:rsidRDefault="004507E2" w:rsidP="004507E2">
      <w:pPr>
        <w:tabs>
          <w:tab w:val="left" w:pos="1418"/>
          <w:tab w:val="left" w:pos="5245"/>
        </w:tabs>
        <w:spacing w:after="0" w:line="240" w:lineRule="auto"/>
        <w:rPr>
          <w:rFonts w:cs="Arial"/>
          <w:color w:val="0000FF"/>
          <w:sz w:val="20"/>
          <w:szCs w:val="20"/>
          <w:u w:val="single"/>
        </w:rPr>
      </w:pPr>
      <w:r w:rsidRPr="00315CC1">
        <w:rPr>
          <w:rFonts w:cs="Arial"/>
          <w:sz w:val="20"/>
          <w:szCs w:val="20"/>
        </w:rPr>
        <w:t xml:space="preserve">Email: </w:t>
      </w:r>
      <w:hyperlink r:id="rId16" w:history="1">
        <w:r w:rsidRPr="00315CC1">
          <w:rPr>
            <w:rFonts w:cs="Arial"/>
            <w:color w:val="0000FF"/>
            <w:sz w:val="20"/>
            <w:szCs w:val="20"/>
            <w:u w:val="single"/>
          </w:rPr>
          <w:t>ncc@abcb.gov.au</w:t>
        </w:r>
      </w:hyperlink>
      <w:r>
        <w:rPr>
          <w:rFonts w:cs="Arial"/>
          <w:color w:val="0000FF"/>
          <w:sz w:val="20"/>
          <w:szCs w:val="20"/>
          <w:u w:val="single"/>
        </w:rPr>
        <w:br/>
      </w:r>
      <w:r w:rsidRPr="00315CC1">
        <w:rPr>
          <w:rFonts w:cs="Arial"/>
          <w:sz w:val="20"/>
          <w:szCs w:val="20"/>
        </w:rPr>
        <w:t xml:space="preserve">Web: </w:t>
      </w:r>
      <w:hyperlink r:id="rId17" w:tooltip="ABCB Website" w:history="1">
        <w:r w:rsidRPr="00315CC1">
          <w:rPr>
            <w:rFonts w:cs="Arial"/>
            <w:color w:val="0000FF"/>
            <w:sz w:val="20"/>
            <w:szCs w:val="20"/>
            <w:u w:val="single"/>
          </w:rPr>
          <w:t>abcb.gov.au</w:t>
        </w:r>
      </w:hyperlink>
    </w:p>
    <w:p w14:paraId="303A68BE" w14:textId="77777777" w:rsidR="004507E2" w:rsidRPr="00315CC1" w:rsidRDefault="004507E2" w:rsidP="004507E2">
      <w:pPr>
        <w:keepLines/>
        <w:pBdr>
          <w:top w:val="single" w:sz="18" w:space="1" w:color="000000" w:themeColor="text1"/>
          <w:bottom w:val="single" w:sz="18" w:space="1" w:color="000000" w:themeColor="text1"/>
        </w:pBdr>
        <w:shd w:val="clear" w:color="auto" w:fill="17365F"/>
        <w:spacing w:line="240" w:lineRule="auto"/>
        <w:ind w:firstLine="284"/>
        <w:rPr>
          <w:rFonts w:cs="Arial"/>
          <w:b/>
          <w:color w:val="FFFFFF"/>
          <w:sz w:val="20"/>
          <w:szCs w:val="20"/>
        </w:rPr>
        <w:sectPr w:rsidR="004507E2" w:rsidRPr="00315CC1" w:rsidSect="009C0A5D">
          <w:type w:val="continuous"/>
          <w:pgSz w:w="11906" w:h="16838" w:code="9"/>
          <w:pgMar w:top="1418" w:right="1418" w:bottom="1418" w:left="1418" w:header="567" w:footer="567" w:gutter="0"/>
          <w:cols w:num="2" w:space="708"/>
          <w:docGrid w:linePitch="360"/>
        </w:sectPr>
      </w:pPr>
    </w:p>
    <w:p w14:paraId="4BD11F35" w14:textId="77777777" w:rsidR="004507E2" w:rsidRPr="00315CC1" w:rsidRDefault="004507E2" w:rsidP="004507E2">
      <w:pPr>
        <w:pStyle w:val="Heading-Legal"/>
        <w:rPr>
          <w:rFonts w:cs="Arial"/>
          <w:sz w:val="20"/>
          <w:szCs w:val="20"/>
        </w:rPr>
      </w:pPr>
      <w:r w:rsidRPr="00315CC1">
        <w:rPr>
          <w:rFonts w:cs="Arial"/>
          <w:sz w:val="20"/>
          <w:szCs w:val="20"/>
        </w:rPr>
        <w:t xml:space="preserve">Attribution </w:t>
      </w:r>
    </w:p>
    <w:p w14:paraId="30A71A75" w14:textId="77777777" w:rsidR="004507E2" w:rsidRPr="00315CC1" w:rsidRDefault="004507E2" w:rsidP="004507E2">
      <w:pPr>
        <w:spacing w:before="120" w:after="120" w:line="240" w:lineRule="auto"/>
        <w:rPr>
          <w:rFonts w:cs="Arial"/>
          <w:sz w:val="20"/>
          <w:szCs w:val="20"/>
        </w:rPr>
      </w:pPr>
      <w:r w:rsidRPr="00315CC1">
        <w:rPr>
          <w:rFonts w:cs="Arial"/>
          <w:sz w:val="20"/>
          <w:szCs w:val="20"/>
        </w:rPr>
        <w:t>Use of all or part of this publication must include the following attribution:</w:t>
      </w:r>
    </w:p>
    <w:p w14:paraId="15AECB0E" w14:textId="77777777" w:rsidR="004507E2" w:rsidRPr="00315CC1" w:rsidRDefault="004507E2" w:rsidP="004507E2">
      <w:pPr>
        <w:spacing w:after="120" w:line="240" w:lineRule="auto"/>
        <w:rPr>
          <w:rFonts w:cs="Arial"/>
          <w:b/>
          <w:bCs/>
          <w:sz w:val="20"/>
          <w:szCs w:val="20"/>
        </w:rPr>
      </w:pPr>
      <w:r w:rsidRPr="00315CC1">
        <w:rPr>
          <w:rFonts w:cs="Arial"/>
          <w:b/>
          <w:bCs/>
          <w:sz w:val="20"/>
          <w:szCs w:val="20"/>
        </w:rPr>
        <w:t>© Commonwealth of Australia and States and Territories 2020, published by the Australian Building Codes Board.</w:t>
      </w:r>
    </w:p>
    <w:p w14:paraId="6DB095AD" w14:textId="77777777" w:rsidR="004507E2" w:rsidRPr="00315CC1" w:rsidRDefault="004507E2" w:rsidP="004507E2">
      <w:pPr>
        <w:pStyle w:val="Heading-Legal"/>
        <w:rPr>
          <w:rFonts w:cs="Arial"/>
          <w:sz w:val="20"/>
          <w:szCs w:val="20"/>
        </w:rPr>
      </w:pPr>
      <w:r w:rsidRPr="00315CC1">
        <w:rPr>
          <w:rFonts w:cs="Arial"/>
          <w:sz w:val="20"/>
          <w:szCs w:val="20"/>
        </w:rPr>
        <w:lastRenderedPageBreak/>
        <w:t xml:space="preserve">Disclaimer </w:t>
      </w:r>
    </w:p>
    <w:p w14:paraId="2A6AF387" w14:textId="77777777" w:rsidR="004507E2" w:rsidRPr="00315CC1" w:rsidRDefault="004507E2" w:rsidP="00A8260C">
      <w:pPr>
        <w:spacing w:before="120" w:after="120" w:line="240" w:lineRule="auto"/>
        <w:jc w:val="both"/>
        <w:rPr>
          <w:rFonts w:cs="Arial"/>
          <w:sz w:val="20"/>
          <w:szCs w:val="20"/>
        </w:rPr>
      </w:pPr>
      <w:r w:rsidRPr="00315CC1">
        <w:rPr>
          <w:rFonts w:cs="Arial"/>
          <w:sz w:val="20"/>
          <w:szCs w:val="20"/>
        </w:rPr>
        <w:t xml:space="preserve">By accessing or using this publication, you agree to the following: </w:t>
      </w:r>
    </w:p>
    <w:p w14:paraId="640D4840" w14:textId="77777777" w:rsidR="004507E2" w:rsidRPr="00315CC1" w:rsidRDefault="004507E2" w:rsidP="00DA119A">
      <w:pPr>
        <w:spacing w:before="120" w:after="120" w:line="240" w:lineRule="auto"/>
        <w:jc w:val="both"/>
        <w:rPr>
          <w:rFonts w:cs="Arial"/>
          <w:sz w:val="20"/>
          <w:szCs w:val="20"/>
        </w:rPr>
      </w:pPr>
      <w:r w:rsidRPr="00315CC1">
        <w:rPr>
          <w:rFonts w:cs="Arial"/>
          <w:sz w:val="20"/>
          <w:szCs w:val="20"/>
        </w:rPr>
        <w:t>While care has been taken in the preparation of this publication, it may not be complete or up-to-date. You can ensure that you are using a complete and up-to-date version by checking the Australian Building Codes Board website (</w:t>
      </w:r>
      <w:hyperlink r:id="rId18" w:tooltip="ABCB website" w:history="1">
        <w:r w:rsidRPr="00315CC1">
          <w:rPr>
            <w:rFonts w:cs="Arial"/>
            <w:color w:val="0000FF"/>
            <w:sz w:val="20"/>
            <w:szCs w:val="20"/>
            <w:u w:val="single"/>
          </w:rPr>
          <w:t>abcb.gov.au</w:t>
        </w:r>
      </w:hyperlink>
      <w:r w:rsidRPr="00315CC1">
        <w:rPr>
          <w:rFonts w:cs="Arial"/>
          <w:sz w:val="20"/>
          <w:szCs w:val="20"/>
        </w:rPr>
        <w:t xml:space="preserve">). </w:t>
      </w:r>
    </w:p>
    <w:p w14:paraId="6C99A0A8" w14:textId="77777777" w:rsidR="004507E2" w:rsidRPr="00315CC1" w:rsidRDefault="004507E2" w:rsidP="00DA119A">
      <w:pPr>
        <w:spacing w:before="120" w:after="120" w:line="240" w:lineRule="auto"/>
        <w:jc w:val="both"/>
        <w:rPr>
          <w:rFonts w:cs="Arial"/>
          <w:sz w:val="20"/>
          <w:szCs w:val="20"/>
        </w:rPr>
      </w:pPr>
      <w:r w:rsidRPr="00315CC1">
        <w:rPr>
          <w:rFonts w:cs="Arial"/>
          <w:sz w:val="20"/>
          <w:szCs w:val="20"/>
        </w:rPr>
        <w:t xml:space="preserve">The Australian Building Codes Board, the Commonwealth of Australia and States and Territories of Australia do not accept any liability, including liability for negligence, for any loss (howsoever caused), damage, injury, expense or cost incurred by any person as a result of accessing, using or relying upon this publication, to the maximum extent permitted by law. No representation or warranty is made or given as to the currency, accuracy, reliability, merchantability, fitness for any purpose or completeness of this publication or any information which may appear on any linked websites, or in other linked information sources, and all such representations and warranties are excluded to the extent permitted by law. </w:t>
      </w:r>
    </w:p>
    <w:p w14:paraId="5CB52BF7" w14:textId="77777777" w:rsidR="004507E2" w:rsidRPr="00315CC1" w:rsidRDefault="004507E2" w:rsidP="00DA119A">
      <w:pPr>
        <w:spacing w:before="120" w:after="120" w:line="240" w:lineRule="auto"/>
        <w:jc w:val="both"/>
        <w:rPr>
          <w:rFonts w:cs="Arial"/>
          <w:sz w:val="20"/>
          <w:szCs w:val="20"/>
        </w:rPr>
      </w:pPr>
      <w:r w:rsidRPr="00315CC1">
        <w:rPr>
          <w:rFonts w:cs="Arial"/>
          <w:sz w:val="20"/>
          <w:szCs w:val="20"/>
        </w:rPr>
        <w:t xml:space="preserve">This publication is not legal or professional advice. Persons rely upon this publication entirely at their own risk and must take responsibility for assessing the relevance and accuracy of the information in relation to their particular circumstances. </w:t>
      </w:r>
    </w:p>
    <w:p w14:paraId="2D6481F7" w14:textId="77777777" w:rsidR="004507E2" w:rsidRPr="00315CC1" w:rsidRDefault="004507E2" w:rsidP="004507E2">
      <w:pPr>
        <w:pStyle w:val="Heading-Legal"/>
        <w:rPr>
          <w:rFonts w:cs="Arial"/>
          <w:sz w:val="20"/>
          <w:szCs w:val="20"/>
        </w:rPr>
      </w:pPr>
      <w:r w:rsidRPr="00315CC1">
        <w:rPr>
          <w:rFonts w:cs="Arial"/>
          <w:sz w:val="20"/>
          <w:szCs w:val="20"/>
        </w:rPr>
        <w:t>Version history</w:t>
      </w:r>
    </w:p>
    <w:p w14:paraId="03DAB567" w14:textId="77777777" w:rsidR="004507E2" w:rsidRPr="00315CC1" w:rsidRDefault="004507E2" w:rsidP="004507E2">
      <w:pPr>
        <w:pStyle w:val="Heading-Legal"/>
        <w:rPr>
          <w:rFonts w:cs="Arial"/>
          <w:sz w:val="20"/>
          <w:szCs w:val="20"/>
        </w:rPr>
        <w:sectPr w:rsidR="004507E2" w:rsidRPr="00315CC1" w:rsidSect="009C0A5D">
          <w:type w:val="continuous"/>
          <w:pgSz w:w="11906" w:h="16838" w:code="9"/>
          <w:pgMar w:top="1418" w:right="1418" w:bottom="1418" w:left="1418" w:header="567" w:footer="567" w:gutter="0"/>
          <w:cols w:space="708"/>
          <w:docGrid w:linePitch="360"/>
        </w:sectPr>
      </w:pPr>
    </w:p>
    <w:p w14:paraId="786DEDA2" w14:textId="77777777" w:rsidR="004507E2" w:rsidRPr="00315CC1" w:rsidRDefault="004507E2" w:rsidP="004507E2">
      <w:pPr>
        <w:spacing w:before="120" w:after="120" w:line="240" w:lineRule="auto"/>
        <w:rPr>
          <w:rFonts w:cs="Arial"/>
          <w:sz w:val="20"/>
          <w:szCs w:val="20"/>
        </w:rPr>
      </w:pPr>
      <w:r w:rsidRPr="00315CC1">
        <w:rPr>
          <w:rFonts w:cs="Arial"/>
          <w:sz w:val="20"/>
          <w:szCs w:val="20"/>
        </w:rPr>
        <w:t xml:space="preserve">Original </w:t>
      </w:r>
    </w:p>
    <w:p w14:paraId="2C42490D" w14:textId="5381687F" w:rsidR="004507E2" w:rsidRPr="00315CC1" w:rsidRDefault="004507E2" w:rsidP="004507E2">
      <w:pPr>
        <w:spacing w:before="120" w:after="120" w:line="240" w:lineRule="auto"/>
        <w:ind w:right="-1"/>
        <w:rPr>
          <w:rFonts w:cs="Arial"/>
          <w:sz w:val="20"/>
          <w:szCs w:val="20"/>
        </w:rPr>
        <w:sectPr w:rsidR="004507E2" w:rsidRPr="00315CC1" w:rsidSect="009C0A5D">
          <w:type w:val="continuous"/>
          <w:pgSz w:w="11906" w:h="16838" w:code="9"/>
          <w:pgMar w:top="1418" w:right="1418" w:bottom="1418" w:left="1418" w:header="567" w:footer="567" w:gutter="0"/>
          <w:cols w:num="2" w:space="0"/>
          <w:formProt w:val="0"/>
          <w:docGrid w:linePitch="360"/>
        </w:sectPr>
      </w:pPr>
      <w:r w:rsidRPr="00315CC1">
        <w:rPr>
          <w:rFonts w:cs="Arial"/>
          <w:sz w:val="20"/>
          <w:szCs w:val="20"/>
        </w:rPr>
        <w:t xml:space="preserve">Publish date: </w:t>
      </w:r>
      <w:r w:rsidR="005D12F2">
        <w:rPr>
          <w:rFonts w:cs="Arial"/>
          <w:sz w:val="20"/>
          <w:szCs w:val="20"/>
        </w:rPr>
        <w:t>Jul</w:t>
      </w:r>
      <w:r w:rsidR="00DA119A">
        <w:rPr>
          <w:rFonts w:cs="Arial"/>
          <w:sz w:val="20"/>
          <w:szCs w:val="20"/>
        </w:rPr>
        <w:t>y</w:t>
      </w:r>
      <w:r w:rsidR="005D12F2" w:rsidRPr="00315CC1">
        <w:rPr>
          <w:rFonts w:cs="Arial"/>
          <w:sz w:val="20"/>
          <w:szCs w:val="20"/>
        </w:rPr>
        <w:t xml:space="preserve"> </w:t>
      </w:r>
      <w:r w:rsidRPr="00315CC1">
        <w:rPr>
          <w:rFonts w:cs="Arial"/>
          <w:sz w:val="20"/>
          <w:szCs w:val="20"/>
        </w:rPr>
        <w:t>202</w:t>
      </w:r>
      <w:r w:rsidR="005D12F2">
        <w:rPr>
          <w:rFonts w:cs="Arial"/>
          <w:sz w:val="20"/>
          <w:szCs w:val="20"/>
        </w:rPr>
        <w:t>1</w:t>
      </w:r>
      <w:r>
        <w:rPr>
          <w:rFonts w:cs="Arial"/>
          <w:sz w:val="20"/>
          <w:szCs w:val="20"/>
        </w:rPr>
        <w:br/>
        <w:t>Print version: 1.</w:t>
      </w:r>
    </w:p>
    <w:sdt>
      <w:sdtPr>
        <w:rPr>
          <w:rFonts w:asciiTheme="minorHAnsi" w:eastAsiaTheme="minorHAnsi" w:hAnsiTheme="minorHAnsi" w:cstheme="minorHAnsi"/>
          <w:b w:val="0"/>
          <w:bCs w:val="0"/>
          <w:color w:val="auto"/>
          <w:sz w:val="22"/>
          <w:szCs w:val="22"/>
          <w:lang w:val="en-AU" w:eastAsia="en-US"/>
        </w:rPr>
        <w:id w:val="1531755008"/>
        <w:docPartObj>
          <w:docPartGallery w:val="Table of Contents"/>
          <w:docPartUnique/>
        </w:docPartObj>
      </w:sdtPr>
      <w:sdtEndPr>
        <w:rPr>
          <w:rFonts w:ascii="Arial" w:hAnsi="Arial" w:cstheme="minorBidi"/>
          <w:noProof/>
        </w:rPr>
      </w:sdtEndPr>
      <w:sdtContent>
        <w:p w14:paraId="05F95277" w14:textId="77777777" w:rsidR="003A22A1" w:rsidRPr="005F0ABE" w:rsidRDefault="003A22A1" w:rsidP="009332D8">
          <w:pPr>
            <w:pStyle w:val="TOCHeading"/>
            <w:spacing w:after="240"/>
            <w:rPr>
              <w:rStyle w:val="Heading1Char"/>
              <w:rFonts w:ascii="Arial" w:hAnsi="Arial" w:cs="Arial"/>
            </w:rPr>
          </w:pPr>
          <w:r w:rsidRPr="005F0ABE">
            <w:rPr>
              <w:rStyle w:val="Heading1Char"/>
              <w:rFonts w:ascii="Arial" w:hAnsi="Arial" w:cs="Arial"/>
            </w:rPr>
            <w:t>Contents</w:t>
          </w:r>
        </w:p>
        <w:p w14:paraId="675355F2" w14:textId="77777777" w:rsidR="00745A4E" w:rsidRDefault="003A22A1">
          <w:pPr>
            <w:pStyle w:val="TOC1"/>
            <w:rPr>
              <w:rFonts w:asciiTheme="minorHAnsi" w:eastAsiaTheme="minorEastAsia" w:hAnsiTheme="minorHAnsi"/>
              <w:noProof/>
              <w:lang w:eastAsia="en-AU"/>
            </w:rPr>
          </w:pPr>
          <w:r w:rsidRPr="005979A1">
            <w:rPr>
              <w:rFonts w:cs="Arial"/>
              <w:sz w:val="24"/>
              <w:szCs w:val="24"/>
            </w:rPr>
            <w:fldChar w:fldCharType="begin"/>
          </w:r>
          <w:r w:rsidRPr="005979A1">
            <w:rPr>
              <w:rFonts w:cs="Arial"/>
              <w:sz w:val="24"/>
              <w:szCs w:val="24"/>
            </w:rPr>
            <w:instrText xml:space="preserve"> TOC \o "1-3" \h \z \u </w:instrText>
          </w:r>
          <w:r w:rsidRPr="005979A1">
            <w:rPr>
              <w:rFonts w:cs="Arial"/>
              <w:sz w:val="24"/>
              <w:szCs w:val="24"/>
            </w:rPr>
            <w:fldChar w:fldCharType="separate"/>
          </w:r>
          <w:hyperlink w:anchor="_Toc71789250" w:history="1">
            <w:r w:rsidR="00745A4E" w:rsidRPr="00E577D5">
              <w:rPr>
                <w:rStyle w:val="Hyperlink"/>
                <w:rFonts w:cs="Arial"/>
                <w:noProof/>
              </w:rPr>
              <w:t>Introduction</w:t>
            </w:r>
            <w:r w:rsidR="00745A4E">
              <w:rPr>
                <w:noProof/>
                <w:webHidden/>
              </w:rPr>
              <w:tab/>
            </w:r>
            <w:r w:rsidR="00745A4E">
              <w:rPr>
                <w:noProof/>
                <w:webHidden/>
              </w:rPr>
              <w:fldChar w:fldCharType="begin"/>
            </w:r>
            <w:r w:rsidR="00745A4E">
              <w:rPr>
                <w:noProof/>
                <w:webHidden/>
              </w:rPr>
              <w:instrText xml:space="preserve"> PAGEREF _Toc71789250 \h </w:instrText>
            </w:r>
            <w:r w:rsidR="00745A4E">
              <w:rPr>
                <w:noProof/>
                <w:webHidden/>
              </w:rPr>
            </w:r>
            <w:r w:rsidR="00745A4E">
              <w:rPr>
                <w:noProof/>
                <w:webHidden/>
              </w:rPr>
              <w:fldChar w:fldCharType="separate"/>
            </w:r>
            <w:r w:rsidR="0043705D">
              <w:rPr>
                <w:noProof/>
                <w:webHidden/>
              </w:rPr>
              <w:t>8</w:t>
            </w:r>
            <w:r w:rsidR="00745A4E">
              <w:rPr>
                <w:noProof/>
                <w:webHidden/>
              </w:rPr>
              <w:fldChar w:fldCharType="end"/>
            </w:r>
          </w:hyperlink>
        </w:p>
        <w:p w14:paraId="1A503EAE" w14:textId="77777777" w:rsidR="00745A4E" w:rsidRDefault="00944D93">
          <w:pPr>
            <w:pStyle w:val="TOC1"/>
            <w:rPr>
              <w:rFonts w:asciiTheme="minorHAnsi" w:eastAsiaTheme="minorEastAsia" w:hAnsiTheme="minorHAnsi"/>
              <w:noProof/>
              <w:lang w:eastAsia="en-AU"/>
            </w:rPr>
          </w:pPr>
          <w:hyperlink w:anchor="_Toc71789258" w:history="1">
            <w:r w:rsidR="00745A4E" w:rsidRPr="00E577D5">
              <w:rPr>
                <w:rStyle w:val="Hyperlink"/>
                <w:rFonts w:cs="Arial"/>
                <w:noProof/>
              </w:rPr>
              <w:t>Problem</w:t>
            </w:r>
            <w:r w:rsidR="00745A4E">
              <w:rPr>
                <w:noProof/>
                <w:webHidden/>
              </w:rPr>
              <w:tab/>
            </w:r>
            <w:r w:rsidR="00745A4E">
              <w:rPr>
                <w:noProof/>
                <w:webHidden/>
              </w:rPr>
              <w:fldChar w:fldCharType="begin"/>
            </w:r>
            <w:r w:rsidR="00745A4E">
              <w:rPr>
                <w:noProof/>
                <w:webHidden/>
              </w:rPr>
              <w:instrText xml:space="preserve"> PAGEREF _Toc71789258 \h </w:instrText>
            </w:r>
            <w:r w:rsidR="00745A4E">
              <w:rPr>
                <w:noProof/>
                <w:webHidden/>
              </w:rPr>
            </w:r>
            <w:r w:rsidR="00745A4E">
              <w:rPr>
                <w:noProof/>
                <w:webHidden/>
              </w:rPr>
              <w:fldChar w:fldCharType="separate"/>
            </w:r>
            <w:r w:rsidR="0043705D">
              <w:rPr>
                <w:noProof/>
                <w:webHidden/>
              </w:rPr>
              <w:t>19</w:t>
            </w:r>
            <w:r w:rsidR="00745A4E">
              <w:rPr>
                <w:noProof/>
                <w:webHidden/>
              </w:rPr>
              <w:fldChar w:fldCharType="end"/>
            </w:r>
          </w:hyperlink>
        </w:p>
        <w:p w14:paraId="62B0D906" w14:textId="77777777" w:rsidR="00745A4E" w:rsidRDefault="00944D93">
          <w:pPr>
            <w:pStyle w:val="TOC1"/>
            <w:rPr>
              <w:rFonts w:asciiTheme="minorHAnsi" w:eastAsiaTheme="minorEastAsia" w:hAnsiTheme="minorHAnsi"/>
              <w:noProof/>
              <w:lang w:eastAsia="en-AU"/>
            </w:rPr>
          </w:pPr>
          <w:hyperlink w:anchor="_Toc71789276" w:history="1">
            <w:r w:rsidR="00745A4E" w:rsidRPr="00E577D5">
              <w:rPr>
                <w:rStyle w:val="Hyperlink"/>
                <w:rFonts w:cs="Arial"/>
                <w:noProof/>
              </w:rPr>
              <w:t>Objective</w:t>
            </w:r>
            <w:r w:rsidR="00745A4E">
              <w:rPr>
                <w:noProof/>
                <w:webHidden/>
              </w:rPr>
              <w:tab/>
            </w:r>
            <w:r w:rsidR="00745A4E">
              <w:rPr>
                <w:noProof/>
                <w:webHidden/>
              </w:rPr>
              <w:fldChar w:fldCharType="begin"/>
            </w:r>
            <w:r w:rsidR="00745A4E">
              <w:rPr>
                <w:noProof/>
                <w:webHidden/>
              </w:rPr>
              <w:instrText xml:space="preserve"> PAGEREF _Toc71789276 \h </w:instrText>
            </w:r>
            <w:r w:rsidR="00745A4E">
              <w:rPr>
                <w:noProof/>
                <w:webHidden/>
              </w:rPr>
            </w:r>
            <w:r w:rsidR="00745A4E">
              <w:rPr>
                <w:noProof/>
                <w:webHidden/>
              </w:rPr>
              <w:fldChar w:fldCharType="separate"/>
            </w:r>
            <w:r w:rsidR="0043705D">
              <w:rPr>
                <w:noProof/>
                <w:webHidden/>
              </w:rPr>
              <w:t>63</w:t>
            </w:r>
            <w:r w:rsidR="00745A4E">
              <w:rPr>
                <w:noProof/>
                <w:webHidden/>
              </w:rPr>
              <w:fldChar w:fldCharType="end"/>
            </w:r>
          </w:hyperlink>
        </w:p>
        <w:p w14:paraId="358295C5" w14:textId="77777777" w:rsidR="00745A4E" w:rsidRDefault="00944D93">
          <w:pPr>
            <w:pStyle w:val="TOC1"/>
            <w:rPr>
              <w:rFonts w:asciiTheme="minorHAnsi" w:eastAsiaTheme="minorEastAsia" w:hAnsiTheme="minorHAnsi"/>
              <w:noProof/>
              <w:lang w:eastAsia="en-AU"/>
            </w:rPr>
          </w:pPr>
          <w:hyperlink w:anchor="_Toc71789277" w:history="1">
            <w:r w:rsidR="00745A4E" w:rsidRPr="00E577D5">
              <w:rPr>
                <w:rStyle w:val="Hyperlink"/>
                <w:rFonts w:cs="Arial"/>
                <w:noProof/>
              </w:rPr>
              <w:t>Options</w:t>
            </w:r>
            <w:r w:rsidR="00745A4E">
              <w:rPr>
                <w:noProof/>
                <w:webHidden/>
              </w:rPr>
              <w:tab/>
            </w:r>
            <w:r w:rsidR="00745A4E">
              <w:rPr>
                <w:noProof/>
                <w:webHidden/>
              </w:rPr>
              <w:fldChar w:fldCharType="begin"/>
            </w:r>
            <w:r w:rsidR="00745A4E">
              <w:rPr>
                <w:noProof/>
                <w:webHidden/>
              </w:rPr>
              <w:instrText xml:space="preserve"> PAGEREF _Toc71789277 \h </w:instrText>
            </w:r>
            <w:r w:rsidR="00745A4E">
              <w:rPr>
                <w:noProof/>
                <w:webHidden/>
              </w:rPr>
            </w:r>
            <w:r w:rsidR="00745A4E">
              <w:rPr>
                <w:noProof/>
                <w:webHidden/>
              </w:rPr>
              <w:fldChar w:fldCharType="separate"/>
            </w:r>
            <w:r w:rsidR="0043705D">
              <w:rPr>
                <w:noProof/>
                <w:webHidden/>
              </w:rPr>
              <w:t>64</w:t>
            </w:r>
            <w:r w:rsidR="00745A4E">
              <w:rPr>
                <w:noProof/>
                <w:webHidden/>
              </w:rPr>
              <w:fldChar w:fldCharType="end"/>
            </w:r>
          </w:hyperlink>
        </w:p>
        <w:p w14:paraId="6DB87CA8" w14:textId="77777777" w:rsidR="00745A4E" w:rsidRDefault="00944D93">
          <w:pPr>
            <w:pStyle w:val="TOC1"/>
            <w:rPr>
              <w:rFonts w:asciiTheme="minorHAnsi" w:eastAsiaTheme="minorEastAsia" w:hAnsiTheme="minorHAnsi"/>
              <w:noProof/>
              <w:lang w:eastAsia="en-AU"/>
            </w:rPr>
          </w:pPr>
          <w:hyperlink w:anchor="_Toc71789278" w:history="1">
            <w:r w:rsidR="00745A4E" w:rsidRPr="00E577D5">
              <w:rPr>
                <w:rStyle w:val="Hyperlink"/>
                <w:rFonts w:cs="Arial"/>
                <w:noProof/>
              </w:rPr>
              <w:t>Impact Analysis</w:t>
            </w:r>
            <w:r w:rsidR="00745A4E">
              <w:rPr>
                <w:noProof/>
                <w:webHidden/>
              </w:rPr>
              <w:tab/>
            </w:r>
            <w:r w:rsidR="00745A4E">
              <w:rPr>
                <w:noProof/>
                <w:webHidden/>
              </w:rPr>
              <w:fldChar w:fldCharType="begin"/>
            </w:r>
            <w:r w:rsidR="00745A4E">
              <w:rPr>
                <w:noProof/>
                <w:webHidden/>
              </w:rPr>
              <w:instrText xml:space="preserve"> PAGEREF _Toc71789278 \h </w:instrText>
            </w:r>
            <w:r w:rsidR="00745A4E">
              <w:rPr>
                <w:noProof/>
                <w:webHidden/>
              </w:rPr>
            </w:r>
            <w:r w:rsidR="00745A4E">
              <w:rPr>
                <w:noProof/>
                <w:webHidden/>
              </w:rPr>
              <w:fldChar w:fldCharType="separate"/>
            </w:r>
            <w:r w:rsidR="0043705D">
              <w:rPr>
                <w:noProof/>
                <w:webHidden/>
              </w:rPr>
              <w:t>70</w:t>
            </w:r>
            <w:r w:rsidR="00745A4E">
              <w:rPr>
                <w:noProof/>
                <w:webHidden/>
              </w:rPr>
              <w:fldChar w:fldCharType="end"/>
            </w:r>
          </w:hyperlink>
        </w:p>
        <w:p w14:paraId="33B35E76" w14:textId="77777777" w:rsidR="00745A4E" w:rsidRDefault="00944D93">
          <w:pPr>
            <w:pStyle w:val="TOC1"/>
            <w:rPr>
              <w:rFonts w:asciiTheme="minorHAnsi" w:eastAsiaTheme="minorEastAsia" w:hAnsiTheme="minorHAnsi"/>
              <w:noProof/>
              <w:lang w:eastAsia="en-AU"/>
            </w:rPr>
          </w:pPr>
          <w:hyperlink w:anchor="_Toc71789284" w:history="1">
            <w:r w:rsidR="00745A4E" w:rsidRPr="00E577D5">
              <w:rPr>
                <w:rStyle w:val="Hyperlink"/>
                <w:rFonts w:cs="Arial"/>
                <w:noProof/>
              </w:rPr>
              <w:t>Sensitivity Analysis</w:t>
            </w:r>
            <w:r w:rsidR="00745A4E">
              <w:rPr>
                <w:noProof/>
                <w:webHidden/>
              </w:rPr>
              <w:tab/>
            </w:r>
            <w:r w:rsidR="00745A4E">
              <w:rPr>
                <w:noProof/>
                <w:webHidden/>
              </w:rPr>
              <w:fldChar w:fldCharType="begin"/>
            </w:r>
            <w:r w:rsidR="00745A4E">
              <w:rPr>
                <w:noProof/>
                <w:webHidden/>
              </w:rPr>
              <w:instrText xml:space="preserve"> PAGEREF _Toc71789284 \h </w:instrText>
            </w:r>
            <w:r w:rsidR="00745A4E">
              <w:rPr>
                <w:noProof/>
                <w:webHidden/>
              </w:rPr>
            </w:r>
            <w:r w:rsidR="00745A4E">
              <w:rPr>
                <w:noProof/>
                <w:webHidden/>
              </w:rPr>
              <w:fldChar w:fldCharType="separate"/>
            </w:r>
            <w:r w:rsidR="0043705D">
              <w:rPr>
                <w:noProof/>
                <w:webHidden/>
              </w:rPr>
              <w:t>80</w:t>
            </w:r>
            <w:r w:rsidR="00745A4E">
              <w:rPr>
                <w:noProof/>
                <w:webHidden/>
              </w:rPr>
              <w:fldChar w:fldCharType="end"/>
            </w:r>
          </w:hyperlink>
        </w:p>
        <w:p w14:paraId="033BA844" w14:textId="77777777" w:rsidR="00745A4E" w:rsidRDefault="00944D93">
          <w:pPr>
            <w:pStyle w:val="TOC1"/>
            <w:rPr>
              <w:rFonts w:asciiTheme="minorHAnsi" w:eastAsiaTheme="minorEastAsia" w:hAnsiTheme="minorHAnsi"/>
              <w:noProof/>
              <w:lang w:eastAsia="en-AU"/>
            </w:rPr>
          </w:pPr>
          <w:hyperlink w:anchor="_Toc71789285" w:history="1">
            <w:r w:rsidR="00745A4E" w:rsidRPr="00E577D5">
              <w:rPr>
                <w:rStyle w:val="Hyperlink"/>
                <w:rFonts w:cs="Arial"/>
                <w:noProof/>
              </w:rPr>
              <w:t>Unintended Consequences</w:t>
            </w:r>
            <w:r w:rsidR="00745A4E">
              <w:rPr>
                <w:noProof/>
                <w:webHidden/>
              </w:rPr>
              <w:tab/>
            </w:r>
            <w:r w:rsidR="00745A4E">
              <w:rPr>
                <w:noProof/>
                <w:webHidden/>
              </w:rPr>
              <w:fldChar w:fldCharType="begin"/>
            </w:r>
            <w:r w:rsidR="00745A4E">
              <w:rPr>
                <w:noProof/>
                <w:webHidden/>
              </w:rPr>
              <w:instrText xml:space="preserve"> PAGEREF _Toc71789285 \h </w:instrText>
            </w:r>
            <w:r w:rsidR="00745A4E">
              <w:rPr>
                <w:noProof/>
                <w:webHidden/>
              </w:rPr>
            </w:r>
            <w:r w:rsidR="00745A4E">
              <w:rPr>
                <w:noProof/>
                <w:webHidden/>
              </w:rPr>
              <w:fldChar w:fldCharType="separate"/>
            </w:r>
            <w:r w:rsidR="0043705D">
              <w:rPr>
                <w:noProof/>
                <w:webHidden/>
              </w:rPr>
              <w:t>83</w:t>
            </w:r>
            <w:r w:rsidR="00745A4E">
              <w:rPr>
                <w:noProof/>
                <w:webHidden/>
              </w:rPr>
              <w:fldChar w:fldCharType="end"/>
            </w:r>
          </w:hyperlink>
        </w:p>
        <w:p w14:paraId="1690D997" w14:textId="77777777" w:rsidR="00745A4E" w:rsidRDefault="00944D93">
          <w:pPr>
            <w:pStyle w:val="TOC1"/>
            <w:rPr>
              <w:rFonts w:asciiTheme="minorHAnsi" w:eastAsiaTheme="minorEastAsia" w:hAnsiTheme="minorHAnsi"/>
              <w:noProof/>
              <w:lang w:eastAsia="en-AU"/>
            </w:rPr>
          </w:pPr>
          <w:hyperlink w:anchor="_Toc71789294" w:history="1">
            <w:r w:rsidR="00745A4E" w:rsidRPr="00E577D5">
              <w:rPr>
                <w:rStyle w:val="Hyperlink"/>
                <w:rFonts w:cs="Arial"/>
                <w:noProof/>
              </w:rPr>
              <w:t>Business compliance costs</w:t>
            </w:r>
            <w:r w:rsidR="00745A4E">
              <w:rPr>
                <w:noProof/>
                <w:webHidden/>
              </w:rPr>
              <w:tab/>
            </w:r>
            <w:r w:rsidR="00745A4E">
              <w:rPr>
                <w:noProof/>
                <w:webHidden/>
              </w:rPr>
              <w:fldChar w:fldCharType="begin"/>
            </w:r>
            <w:r w:rsidR="00745A4E">
              <w:rPr>
                <w:noProof/>
                <w:webHidden/>
              </w:rPr>
              <w:instrText xml:space="preserve"> PAGEREF _Toc71789294 \h </w:instrText>
            </w:r>
            <w:r w:rsidR="00745A4E">
              <w:rPr>
                <w:noProof/>
                <w:webHidden/>
              </w:rPr>
            </w:r>
            <w:r w:rsidR="00745A4E">
              <w:rPr>
                <w:noProof/>
                <w:webHidden/>
              </w:rPr>
              <w:fldChar w:fldCharType="separate"/>
            </w:r>
            <w:r w:rsidR="0043705D">
              <w:rPr>
                <w:noProof/>
                <w:webHidden/>
              </w:rPr>
              <w:t>94</w:t>
            </w:r>
            <w:r w:rsidR="00745A4E">
              <w:rPr>
                <w:noProof/>
                <w:webHidden/>
              </w:rPr>
              <w:fldChar w:fldCharType="end"/>
            </w:r>
          </w:hyperlink>
        </w:p>
        <w:p w14:paraId="4DF83AF0" w14:textId="77777777" w:rsidR="00745A4E" w:rsidRDefault="00944D93">
          <w:pPr>
            <w:pStyle w:val="TOC1"/>
            <w:rPr>
              <w:rFonts w:asciiTheme="minorHAnsi" w:eastAsiaTheme="minorEastAsia" w:hAnsiTheme="minorHAnsi"/>
              <w:noProof/>
              <w:lang w:eastAsia="en-AU"/>
            </w:rPr>
          </w:pPr>
          <w:hyperlink w:anchor="_Toc71789295" w:history="1">
            <w:r w:rsidR="00745A4E" w:rsidRPr="00E577D5">
              <w:rPr>
                <w:rStyle w:val="Hyperlink"/>
                <w:rFonts w:cs="Arial"/>
                <w:noProof/>
              </w:rPr>
              <w:t>Regulatory burden</w:t>
            </w:r>
            <w:r w:rsidR="00745A4E">
              <w:rPr>
                <w:noProof/>
                <w:webHidden/>
              </w:rPr>
              <w:tab/>
            </w:r>
            <w:r w:rsidR="00745A4E">
              <w:rPr>
                <w:noProof/>
                <w:webHidden/>
              </w:rPr>
              <w:fldChar w:fldCharType="begin"/>
            </w:r>
            <w:r w:rsidR="00745A4E">
              <w:rPr>
                <w:noProof/>
                <w:webHidden/>
              </w:rPr>
              <w:instrText xml:space="preserve"> PAGEREF _Toc71789295 \h </w:instrText>
            </w:r>
            <w:r w:rsidR="00745A4E">
              <w:rPr>
                <w:noProof/>
                <w:webHidden/>
              </w:rPr>
            </w:r>
            <w:r w:rsidR="00745A4E">
              <w:rPr>
                <w:noProof/>
                <w:webHidden/>
              </w:rPr>
              <w:fldChar w:fldCharType="separate"/>
            </w:r>
            <w:r w:rsidR="0043705D">
              <w:rPr>
                <w:noProof/>
                <w:webHidden/>
              </w:rPr>
              <w:t>97</w:t>
            </w:r>
            <w:r w:rsidR="00745A4E">
              <w:rPr>
                <w:noProof/>
                <w:webHidden/>
              </w:rPr>
              <w:fldChar w:fldCharType="end"/>
            </w:r>
          </w:hyperlink>
        </w:p>
        <w:p w14:paraId="46F9F529" w14:textId="77777777" w:rsidR="00745A4E" w:rsidRDefault="00944D93">
          <w:pPr>
            <w:pStyle w:val="TOC1"/>
            <w:rPr>
              <w:rFonts w:asciiTheme="minorHAnsi" w:eastAsiaTheme="minorEastAsia" w:hAnsiTheme="minorHAnsi"/>
              <w:noProof/>
              <w:lang w:eastAsia="en-AU"/>
            </w:rPr>
          </w:pPr>
          <w:hyperlink w:anchor="_Toc71789296" w:history="1">
            <w:r w:rsidR="00745A4E" w:rsidRPr="00E577D5">
              <w:rPr>
                <w:rStyle w:val="Hyperlink"/>
                <w:rFonts w:cs="Arial"/>
                <w:noProof/>
              </w:rPr>
              <w:t>Consultation</w:t>
            </w:r>
            <w:r w:rsidR="00745A4E">
              <w:rPr>
                <w:noProof/>
                <w:webHidden/>
              </w:rPr>
              <w:tab/>
            </w:r>
            <w:r w:rsidR="00745A4E">
              <w:rPr>
                <w:noProof/>
                <w:webHidden/>
              </w:rPr>
              <w:fldChar w:fldCharType="begin"/>
            </w:r>
            <w:r w:rsidR="00745A4E">
              <w:rPr>
                <w:noProof/>
                <w:webHidden/>
              </w:rPr>
              <w:instrText xml:space="preserve"> PAGEREF _Toc71789296 \h </w:instrText>
            </w:r>
            <w:r w:rsidR="00745A4E">
              <w:rPr>
                <w:noProof/>
                <w:webHidden/>
              </w:rPr>
            </w:r>
            <w:r w:rsidR="00745A4E">
              <w:rPr>
                <w:noProof/>
                <w:webHidden/>
              </w:rPr>
              <w:fldChar w:fldCharType="separate"/>
            </w:r>
            <w:r w:rsidR="0043705D">
              <w:rPr>
                <w:noProof/>
                <w:webHidden/>
              </w:rPr>
              <w:t>98</w:t>
            </w:r>
            <w:r w:rsidR="00745A4E">
              <w:rPr>
                <w:noProof/>
                <w:webHidden/>
              </w:rPr>
              <w:fldChar w:fldCharType="end"/>
            </w:r>
          </w:hyperlink>
        </w:p>
        <w:p w14:paraId="0354F3E3" w14:textId="77777777" w:rsidR="00745A4E" w:rsidRDefault="00944D93">
          <w:pPr>
            <w:pStyle w:val="TOC1"/>
            <w:rPr>
              <w:rFonts w:asciiTheme="minorHAnsi" w:eastAsiaTheme="minorEastAsia" w:hAnsiTheme="minorHAnsi"/>
              <w:noProof/>
              <w:lang w:eastAsia="en-AU"/>
            </w:rPr>
          </w:pPr>
          <w:hyperlink w:anchor="_Toc71789299" w:history="1">
            <w:r w:rsidR="00745A4E" w:rsidRPr="00E577D5">
              <w:rPr>
                <w:rStyle w:val="Hyperlink"/>
                <w:rFonts w:cs="Arial"/>
                <w:noProof/>
              </w:rPr>
              <w:t>Conclusion</w:t>
            </w:r>
            <w:r w:rsidR="00745A4E">
              <w:rPr>
                <w:noProof/>
                <w:webHidden/>
              </w:rPr>
              <w:tab/>
            </w:r>
            <w:r w:rsidR="00745A4E">
              <w:rPr>
                <w:noProof/>
                <w:webHidden/>
              </w:rPr>
              <w:fldChar w:fldCharType="begin"/>
            </w:r>
            <w:r w:rsidR="00745A4E">
              <w:rPr>
                <w:noProof/>
                <w:webHidden/>
              </w:rPr>
              <w:instrText xml:space="preserve"> PAGEREF _Toc71789299 \h </w:instrText>
            </w:r>
            <w:r w:rsidR="00745A4E">
              <w:rPr>
                <w:noProof/>
                <w:webHidden/>
              </w:rPr>
            </w:r>
            <w:r w:rsidR="00745A4E">
              <w:rPr>
                <w:noProof/>
                <w:webHidden/>
              </w:rPr>
              <w:fldChar w:fldCharType="separate"/>
            </w:r>
            <w:r w:rsidR="0043705D">
              <w:rPr>
                <w:noProof/>
                <w:webHidden/>
              </w:rPr>
              <w:t>105</w:t>
            </w:r>
            <w:r w:rsidR="00745A4E">
              <w:rPr>
                <w:noProof/>
                <w:webHidden/>
              </w:rPr>
              <w:fldChar w:fldCharType="end"/>
            </w:r>
          </w:hyperlink>
        </w:p>
        <w:p w14:paraId="6D1CEF94" w14:textId="77777777" w:rsidR="00745A4E" w:rsidRDefault="00944D93">
          <w:pPr>
            <w:pStyle w:val="TOC1"/>
            <w:rPr>
              <w:rFonts w:asciiTheme="minorHAnsi" w:eastAsiaTheme="minorEastAsia" w:hAnsiTheme="minorHAnsi"/>
              <w:noProof/>
              <w:lang w:eastAsia="en-AU"/>
            </w:rPr>
          </w:pPr>
          <w:hyperlink w:anchor="_Toc71789300" w:history="1">
            <w:r w:rsidR="00745A4E" w:rsidRPr="00E577D5">
              <w:rPr>
                <w:rStyle w:val="Hyperlink"/>
                <w:rFonts w:cs="Arial"/>
                <w:noProof/>
              </w:rPr>
              <w:t>Implementation and Review</w:t>
            </w:r>
            <w:r w:rsidR="00745A4E">
              <w:rPr>
                <w:noProof/>
                <w:webHidden/>
              </w:rPr>
              <w:tab/>
            </w:r>
            <w:r w:rsidR="00745A4E">
              <w:rPr>
                <w:noProof/>
                <w:webHidden/>
              </w:rPr>
              <w:fldChar w:fldCharType="begin"/>
            </w:r>
            <w:r w:rsidR="00745A4E">
              <w:rPr>
                <w:noProof/>
                <w:webHidden/>
              </w:rPr>
              <w:instrText xml:space="preserve"> PAGEREF _Toc71789300 \h </w:instrText>
            </w:r>
            <w:r w:rsidR="00745A4E">
              <w:rPr>
                <w:noProof/>
                <w:webHidden/>
              </w:rPr>
            </w:r>
            <w:r w:rsidR="00745A4E">
              <w:rPr>
                <w:noProof/>
                <w:webHidden/>
              </w:rPr>
              <w:fldChar w:fldCharType="separate"/>
            </w:r>
            <w:r w:rsidR="0043705D">
              <w:rPr>
                <w:noProof/>
                <w:webHidden/>
              </w:rPr>
              <w:t>108</w:t>
            </w:r>
            <w:r w:rsidR="00745A4E">
              <w:rPr>
                <w:noProof/>
                <w:webHidden/>
              </w:rPr>
              <w:fldChar w:fldCharType="end"/>
            </w:r>
          </w:hyperlink>
        </w:p>
        <w:p w14:paraId="0A1FEFBE" w14:textId="77777777" w:rsidR="00745A4E" w:rsidRDefault="00944D93">
          <w:pPr>
            <w:pStyle w:val="TOC1"/>
            <w:rPr>
              <w:rFonts w:asciiTheme="minorHAnsi" w:eastAsiaTheme="minorEastAsia" w:hAnsiTheme="minorHAnsi"/>
              <w:noProof/>
              <w:lang w:eastAsia="en-AU"/>
            </w:rPr>
          </w:pPr>
          <w:hyperlink w:anchor="_Toc71789301" w:history="1">
            <w:r w:rsidR="00745A4E" w:rsidRPr="00E577D5">
              <w:rPr>
                <w:rStyle w:val="Hyperlink"/>
                <w:rFonts w:cs="Arial"/>
                <w:noProof/>
              </w:rPr>
              <w:t>Attachment A</w:t>
            </w:r>
            <w:r w:rsidR="00745A4E">
              <w:rPr>
                <w:noProof/>
                <w:webHidden/>
              </w:rPr>
              <w:tab/>
            </w:r>
            <w:r w:rsidR="00745A4E">
              <w:rPr>
                <w:noProof/>
                <w:webHidden/>
              </w:rPr>
              <w:fldChar w:fldCharType="begin"/>
            </w:r>
            <w:r w:rsidR="00745A4E">
              <w:rPr>
                <w:noProof/>
                <w:webHidden/>
              </w:rPr>
              <w:instrText xml:space="preserve"> PAGEREF _Toc71789301 \h </w:instrText>
            </w:r>
            <w:r w:rsidR="00745A4E">
              <w:rPr>
                <w:noProof/>
                <w:webHidden/>
              </w:rPr>
            </w:r>
            <w:r w:rsidR="00745A4E">
              <w:rPr>
                <w:noProof/>
                <w:webHidden/>
              </w:rPr>
              <w:fldChar w:fldCharType="separate"/>
            </w:r>
            <w:r w:rsidR="0043705D">
              <w:rPr>
                <w:noProof/>
                <w:webHidden/>
              </w:rPr>
              <w:t>111</w:t>
            </w:r>
            <w:r w:rsidR="00745A4E">
              <w:rPr>
                <w:noProof/>
                <w:webHidden/>
              </w:rPr>
              <w:fldChar w:fldCharType="end"/>
            </w:r>
          </w:hyperlink>
        </w:p>
        <w:p w14:paraId="063CF084" w14:textId="77777777" w:rsidR="00745A4E" w:rsidRDefault="00944D93">
          <w:pPr>
            <w:pStyle w:val="TOC1"/>
            <w:rPr>
              <w:rFonts w:asciiTheme="minorHAnsi" w:eastAsiaTheme="minorEastAsia" w:hAnsiTheme="minorHAnsi"/>
              <w:noProof/>
              <w:lang w:eastAsia="en-AU"/>
            </w:rPr>
          </w:pPr>
          <w:hyperlink w:anchor="_Toc71789302" w:history="1">
            <w:r w:rsidR="00745A4E" w:rsidRPr="00E577D5">
              <w:rPr>
                <w:rStyle w:val="Hyperlink"/>
                <w:rFonts w:cs="Arial"/>
                <w:noProof/>
              </w:rPr>
              <w:t>Attachment B</w:t>
            </w:r>
            <w:r w:rsidR="00745A4E">
              <w:rPr>
                <w:noProof/>
                <w:webHidden/>
              </w:rPr>
              <w:tab/>
            </w:r>
            <w:r w:rsidR="00745A4E">
              <w:rPr>
                <w:noProof/>
                <w:webHidden/>
              </w:rPr>
              <w:fldChar w:fldCharType="begin"/>
            </w:r>
            <w:r w:rsidR="00745A4E">
              <w:rPr>
                <w:noProof/>
                <w:webHidden/>
              </w:rPr>
              <w:instrText xml:space="preserve"> PAGEREF _Toc71789302 \h </w:instrText>
            </w:r>
            <w:r w:rsidR="00745A4E">
              <w:rPr>
                <w:noProof/>
                <w:webHidden/>
              </w:rPr>
            </w:r>
            <w:r w:rsidR="00745A4E">
              <w:rPr>
                <w:noProof/>
                <w:webHidden/>
              </w:rPr>
              <w:fldChar w:fldCharType="separate"/>
            </w:r>
            <w:r w:rsidR="0043705D">
              <w:rPr>
                <w:noProof/>
                <w:webHidden/>
              </w:rPr>
              <w:t>115</w:t>
            </w:r>
            <w:r w:rsidR="00745A4E">
              <w:rPr>
                <w:noProof/>
                <w:webHidden/>
              </w:rPr>
              <w:fldChar w:fldCharType="end"/>
            </w:r>
          </w:hyperlink>
        </w:p>
        <w:p w14:paraId="6AE3BD09" w14:textId="77777777" w:rsidR="00745A4E" w:rsidRDefault="00944D93">
          <w:pPr>
            <w:pStyle w:val="TOC1"/>
            <w:rPr>
              <w:rFonts w:asciiTheme="minorHAnsi" w:eastAsiaTheme="minorEastAsia" w:hAnsiTheme="minorHAnsi"/>
              <w:noProof/>
              <w:lang w:eastAsia="en-AU"/>
            </w:rPr>
          </w:pPr>
          <w:hyperlink w:anchor="_Toc71789303" w:history="1">
            <w:r w:rsidR="00745A4E" w:rsidRPr="00E577D5">
              <w:rPr>
                <w:rStyle w:val="Hyperlink"/>
                <w:rFonts w:cs="Arial"/>
                <w:noProof/>
              </w:rPr>
              <w:t>Attachment C</w:t>
            </w:r>
            <w:r w:rsidR="00745A4E">
              <w:rPr>
                <w:noProof/>
                <w:webHidden/>
              </w:rPr>
              <w:tab/>
            </w:r>
            <w:r w:rsidR="00745A4E">
              <w:rPr>
                <w:noProof/>
                <w:webHidden/>
              </w:rPr>
              <w:fldChar w:fldCharType="begin"/>
            </w:r>
            <w:r w:rsidR="00745A4E">
              <w:rPr>
                <w:noProof/>
                <w:webHidden/>
              </w:rPr>
              <w:instrText xml:space="preserve"> PAGEREF _Toc71789303 \h </w:instrText>
            </w:r>
            <w:r w:rsidR="00745A4E">
              <w:rPr>
                <w:noProof/>
                <w:webHidden/>
              </w:rPr>
            </w:r>
            <w:r w:rsidR="00745A4E">
              <w:rPr>
                <w:noProof/>
                <w:webHidden/>
              </w:rPr>
              <w:fldChar w:fldCharType="separate"/>
            </w:r>
            <w:r w:rsidR="0043705D">
              <w:rPr>
                <w:noProof/>
                <w:webHidden/>
              </w:rPr>
              <w:t>117</w:t>
            </w:r>
            <w:r w:rsidR="00745A4E">
              <w:rPr>
                <w:noProof/>
                <w:webHidden/>
              </w:rPr>
              <w:fldChar w:fldCharType="end"/>
            </w:r>
          </w:hyperlink>
        </w:p>
        <w:p w14:paraId="38F626C6" w14:textId="209BD43F" w:rsidR="00DA119A" w:rsidRDefault="003A22A1" w:rsidP="00B13D24">
          <w:pPr>
            <w:pStyle w:val="TOC3"/>
            <w:ind w:left="0"/>
          </w:pPr>
          <w:r w:rsidRPr="005979A1">
            <w:rPr>
              <w:rFonts w:cs="Arial"/>
              <w:b/>
              <w:bCs/>
              <w:noProof/>
              <w:sz w:val="24"/>
              <w:szCs w:val="24"/>
            </w:rPr>
            <w:fldChar w:fldCharType="end"/>
          </w:r>
        </w:p>
      </w:sdtContent>
    </w:sdt>
    <w:p w14:paraId="1F0310DE" w14:textId="77777777" w:rsidR="00FF17B2" w:rsidRDefault="00DA119A">
      <w:pPr>
        <w:pStyle w:val="TableofFigures"/>
        <w:tabs>
          <w:tab w:val="right" w:leader="dot" w:pos="9016"/>
        </w:tabs>
        <w:rPr>
          <w:rFonts w:asciiTheme="minorHAnsi" w:eastAsiaTheme="minorEastAsia" w:hAnsiTheme="minorHAnsi"/>
          <w:noProof/>
          <w:lang w:eastAsia="en-AU"/>
        </w:rPr>
      </w:pPr>
      <w:r>
        <w:fldChar w:fldCharType="begin"/>
      </w:r>
      <w:r>
        <w:instrText xml:space="preserve"> TOC \h \z \c "Table" </w:instrText>
      </w:r>
      <w:r>
        <w:fldChar w:fldCharType="separate"/>
      </w:r>
      <w:hyperlink w:anchor="_Toc73091859" w:history="1">
        <w:r w:rsidR="00FF17B2" w:rsidRPr="00F90D7F">
          <w:rPr>
            <w:rStyle w:val="Hyperlink"/>
            <w:noProof/>
          </w:rPr>
          <w:t>Table 1: Annual sales data of leaded copper alloy plumbing products in contact with drinking water</w:t>
        </w:r>
        <w:r w:rsidR="00FF17B2">
          <w:rPr>
            <w:noProof/>
            <w:webHidden/>
          </w:rPr>
          <w:tab/>
        </w:r>
        <w:r w:rsidR="00FF17B2">
          <w:rPr>
            <w:noProof/>
            <w:webHidden/>
          </w:rPr>
          <w:fldChar w:fldCharType="begin"/>
        </w:r>
        <w:r w:rsidR="00FF17B2">
          <w:rPr>
            <w:noProof/>
            <w:webHidden/>
          </w:rPr>
          <w:instrText xml:space="preserve"> PAGEREF _Toc73091859 \h </w:instrText>
        </w:r>
        <w:r w:rsidR="00FF17B2">
          <w:rPr>
            <w:noProof/>
            <w:webHidden/>
          </w:rPr>
        </w:r>
        <w:r w:rsidR="00FF17B2">
          <w:rPr>
            <w:noProof/>
            <w:webHidden/>
          </w:rPr>
          <w:fldChar w:fldCharType="separate"/>
        </w:r>
        <w:r w:rsidR="0043705D">
          <w:rPr>
            <w:noProof/>
            <w:webHidden/>
          </w:rPr>
          <w:t>47</w:t>
        </w:r>
        <w:r w:rsidR="00FF17B2">
          <w:rPr>
            <w:noProof/>
            <w:webHidden/>
          </w:rPr>
          <w:fldChar w:fldCharType="end"/>
        </w:r>
      </w:hyperlink>
    </w:p>
    <w:p w14:paraId="53AAC62D"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0" w:history="1">
        <w:r w:rsidR="00FF17B2" w:rsidRPr="00F90D7F">
          <w:rPr>
            <w:rStyle w:val="Hyperlink"/>
            <w:noProof/>
          </w:rPr>
          <w:t>Table 2: Blood lead levels in Victorian adults (2009 to 2010)</w:t>
        </w:r>
        <w:r w:rsidR="00FF17B2">
          <w:rPr>
            <w:noProof/>
            <w:webHidden/>
          </w:rPr>
          <w:tab/>
        </w:r>
        <w:r w:rsidR="00FF17B2">
          <w:rPr>
            <w:noProof/>
            <w:webHidden/>
          </w:rPr>
          <w:fldChar w:fldCharType="begin"/>
        </w:r>
        <w:r w:rsidR="00FF17B2">
          <w:rPr>
            <w:noProof/>
            <w:webHidden/>
          </w:rPr>
          <w:instrText xml:space="preserve"> PAGEREF _Toc73091860 \h </w:instrText>
        </w:r>
        <w:r w:rsidR="00FF17B2">
          <w:rPr>
            <w:noProof/>
            <w:webHidden/>
          </w:rPr>
        </w:r>
        <w:r w:rsidR="00FF17B2">
          <w:rPr>
            <w:noProof/>
            <w:webHidden/>
          </w:rPr>
          <w:fldChar w:fldCharType="separate"/>
        </w:r>
        <w:r w:rsidR="0043705D">
          <w:rPr>
            <w:noProof/>
            <w:webHidden/>
          </w:rPr>
          <w:t>53</w:t>
        </w:r>
        <w:r w:rsidR="00FF17B2">
          <w:rPr>
            <w:noProof/>
            <w:webHidden/>
          </w:rPr>
          <w:fldChar w:fldCharType="end"/>
        </w:r>
      </w:hyperlink>
    </w:p>
    <w:p w14:paraId="598188A8"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1" w:history="1">
        <w:r w:rsidR="00FF17B2" w:rsidRPr="00F90D7F">
          <w:rPr>
            <w:rStyle w:val="Hyperlink"/>
            <w:noProof/>
          </w:rPr>
          <w:t>Table 3: Blood lead levels in Victorian children (2009 to 2010)</w:t>
        </w:r>
        <w:r w:rsidR="00FF17B2">
          <w:rPr>
            <w:noProof/>
            <w:webHidden/>
          </w:rPr>
          <w:tab/>
        </w:r>
        <w:r w:rsidR="00FF17B2">
          <w:rPr>
            <w:noProof/>
            <w:webHidden/>
          </w:rPr>
          <w:fldChar w:fldCharType="begin"/>
        </w:r>
        <w:r w:rsidR="00FF17B2">
          <w:rPr>
            <w:noProof/>
            <w:webHidden/>
          </w:rPr>
          <w:instrText xml:space="preserve"> PAGEREF _Toc73091861 \h </w:instrText>
        </w:r>
        <w:r w:rsidR="00FF17B2">
          <w:rPr>
            <w:noProof/>
            <w:webHidden/>
          </w:rPr>
        </w:r>
        <w:r w:rsidR="00FF17B2">
          <w:rPr>
            <w:noProof/>
            <w:webHidden/>
          </w:rPr>
          <w:fldChar w:fldCharType="separate"/>
        </w:r>
        <w:r w:rsidR="0043705D">
          <w:rPr>
            <w:noProof/>
            <w:webHidden/>
          </w:rPr>
          <w:t>54</w:t>
        </w:r>
        <w:r w:rsidR="00FF17B2">
          <w:rPr>
            <w:noProof/>
            <w:webHidden/>
          </w:rPr>
          <w:fldChar w:fldCharType="end"/>
        </w:r>
      </w:hyperlink>
    </w:p>
    <w:p w14:paraId="59648CD7"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2" w:history="1">
        <w:r w:rsidR="00FF17B2" w:rsidRPr="00F90D7F">
          <w:rPr>
            <w:rStyle w:val="Hyperlink"/>
            <w:noProof/>
          </w:rPr>
          <w:t>Table 4: Blood lead levels exceeding 5 µg/dL in Victoria (new cases)</w:t>
        </w:r>
        <w:r w:rsidR="00FF17B2">
          <w:rPr>
            <w:noProof/>
            <w:webHidden/>
          </w:rPr>
          <w:tab/>
        </w:r>
        <w:r w:rsidR="00FF17B2">
          <w:rPr>
            <w:noProof/>
            <w:webHidden/>
          </w:rPr>
          <w:fldChar w:fldCharType="begin"/>
        </w:r>
        <w:r w:rsidR="00FF17B2">
          <w:rPr>
            <w:noProof/>
            <w:webHidden/>
          </w:rPr>
          <w:instrText xml:space="preserve"> PAGEREF _Toc73091862 \h </w:instrText>
        </w:r>
        <w:r w:rsidR="00FF17B2">
          <w:rPr>
            <w:noProof/>
            <w:webHidden/>
          </w:rPr>
        </w:r>
        <w:r w:rsidR="00FF17B2">
          <w:rPr>
            <w:noProof/>
            <w:webHidden/>
          </w:rPr>
          <w:fldChar w:fldCharType="separate"/>
        </w:r>
        <w:r w:rsidR="0043705D">
          <w:rPr>
            <w:noProof/>
            <w:webHidden/>
          </w:rPr>
          <w:t>56</w:t>
        </w:r>
        <w:r w:rsidR="00FF17B2">
          <w:rPr>
            <w:noProof/>
            <w:webHidden/>
          </w:rPr>
          <w:fldChar w:fldCharType="end"/>
        </w:r>
      </w:hyperlink>
    </w:p>
    <w:p w14:paraId="017BFEF5"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3" w:history="1">
        <w:r w:rsidR="00FF17B2" w:rsidRPr="00F90D7F">
          <w:rPr>
            <w:rStyle w:val="Hyperlink"/>
            <w:noProof/>
          </w:rPr>
          <w:t>Table 5: Blood lead levels exceeding 5 µg/dL in Victoria 2016* to 2018 (non-occupational only)</w:t>
        </w:r>
        <w:r w:rsidR="00FF17B2">
          <w:rPr>
            <w:noProof/>
            <w:webHidden/>
          </w:rPr>
          <w:tab/>
        </w:r>
        <w:r w:rsidR="00FF17B2">
          <w:rPr>
            <w:noProof/>
            <w:webHidden/>
          </w:rPr>
          <w:fldChar w:fldCharType="begin"/>
        </w:r>
        <w:r w:rsidR="00FF17B2">
          <w:rPr>
            <w:noProof/>
            <w:webHidden/>
          </w:rPr>
          <w:instrText xml:space="preserve"> PAGEREF _Toc73091863 \h </w:instrText>
        </w:r>
        <w:r w:rsidR="00FF17B2">
          <w:rPr>
            <w:noProof/>
            <w:webHidden/>
          </w:rPr>
        </w:r>
        <w:r w:rsidR="00FF17B2">
          <w:rPr>
            <w:noProof/>
            <w:webHidden/>
          </w:rPr>
          <w:fldChar w:fldCharType="separate"/>
        </w:r>
        <w:r w:rsidR="0043705D">
          <w:rPr>
            <w:noProof/>
            <w:webHidden/>
          </w:rPr>
          <w:t>56</w:t>
        </w:r>
        <w:r w:rsidR="00FF17B2">
          <w:rPr>
            <w:noProof/>
            <w:webHidden/>
          </w:rPr>
          <w:fldChar w:fldCharType="end"/>
        </w:r>
      </w:hyperlink>
    </w:p>
    <w:p w14:paraId="0CF0B13B"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4" w:history="1">
        <w:r w:rsidR="00FF17B2" w:rsidRPr="00F90D7F">
          <w:rPr>
            <w:rStyle w:val="Hyperlink"/>
            <w:noProof/>
          </w:rPr>
          <w:t>Table 6: Blood lead levels exceeding 5 µg/dL in Queensland</w:t>
        </w:r>
        <w:r w:rsidR="00FF17B2">
          <w:rPr>
            <w:noProof/>
            <w:webHidden/>
          </w:rPr>
          <w:tab/>
        </w:r>
        <w:r w:rsidR="00FF17B2">
          <w:rPr>
            <w:noProof/>
            <w:webHidden/>
          </w:rPr>
          <w:fldChar w:fldCharType="begin"/>
        </w:r>
        <w:r w:rsidR="00FF17B2">
          <w:rPr>
            <w:noProof/>
            <w:webHidden/>
          </w:rPr>
          <w:instrText xml:space="preserve"> PAGEREF _Toc73091864 \h </w:instrText>
        </w:r>
        <w:r w:rsidR="00FF17B2">
          <w:rPr>
            <w:noProof/>
            <w:webHidden/>
          </w:rPr>
        </w:r>
        <w:r w:rsidR="00FF17B2">
          <w:rPr>
            <w:noProof/>
            <w:webHidden/>
          </w:rPr>
          <w:fldChar w:fldCharType="separate"/>
        </w:r>
        <w:r w:rsidR="0043705D">
          <w:rPr>
            <w:noProof/>
            <w:webHidden/>
          </w:rPr>
          <w:t>57</w:t>
        </w:r>
        <w:r w:rsidR="00FF17B2">
          <w:rPr>
            <w:noProof/>
            <w:webHidden/>
          </w:rPr>
          <w:fldChar w:fldCharType="end"/>
        </w:r>
      </w:hyperlink>
    </w:p>
    <w:p w14:paraId="08CBEF11"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5" w:history="1">
        <w:r w:rsidR="00FF17B2" w:rsidRPr="00F90D7F">
          <w:rPr>
            <w:rStyle w:val="Hyperlink"/>
            <w:noProof/>
          </w:rPr>
          <w:t>Table 7: Blood lead levels exceeding 5 µg/dL in Queensland 2016 to 2019 (non-occupational only)</w:t>
        </w:r>
        <w:r w:rsidR="00FF17B2">
          <w:rPr>
            <w:noProof/>
            <w:webHidden/>
          </w:rPr>
          <w:tab/>
        </w:r>
        <w:r w:rsidR="00FF17B2">
          <w:rPr>
            <w:noProof/>
            <w:webHidden/>
          </w:rPr>
          <w:fldChar w:fldCharType="begin"/>
        </w:r>
        <w:r w:rsidR="00FF17B2">
          <w:rPr>
            <w:noProof/>
            <w:webHidden/>
          </w:rPr>
          <w:instrText xml:space="preserve"> PAGEREF _Toc73091865 \h </w:instrText>
        </w:r>
        <w:r w:rsidR="00FF17B2">
          <w:rPr>
            <w:noProof/>
            <w:webHidden/>
          </w:rPr>
        </w:r>
        <w:r w:rsidR="00FF17B2">
          <w:rPr>
            <w:noProof/>
            <w:webHidden/>
          </w:rPr>
          <w:fldChar w:fldCharType="separate"/>
        </w:r>
        <w:r w:rsidR="0043705D">
          <w:rPr>
            <w:noProof/>
            <w:webHidden/>
          </w:rPr>
          <w:t>57</w:t>
        </w:r>
        <w:r w:rsidR="00FF17B2">
          <w:rPr>
            <w:noProof/>
            <w:webHidden/>
          </w:rPr>
          <w:fldChar w:fldCharType="end"/>
        </w:r>
      </w:hyperlink>
    </w:p>
    <w:p w14:paraId="129F1ADC"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6" w:history="1">
        <w:r w:rsidR="00FF17B2" w:rsidRPr="00F90D7F">
          <w:rPr>
            <w:rStyle w:val="Hyperlink"/>
            <w:noProof/>
          </w:rPr>
          <w:t>Table 8: Blood lead levels exceeding 5 µg/dL in Tasmania</w:t>
        </w:r>
        <w:r w:rsidR="00FF17B2">
          <w:rPr>
            <w:noProof/>
            <w:webHidden/>
          </w:rPr>
          <w:tab/>
        </w:r>
        <w:r w:rsidR="00FF17B2">
          <w:rPr>
            <w:noProof/>
            <w:webHidden/>
          </w:rPr>
          <w:fldChar w:fldCharType="begin"/>
        </w:r>
        <w:r w:rsidR="00FF17B2">
          <w:rPr>
            <w:noProof/>
            <w:webHidden/>
          </w:rPr>
          <w:instrText xml:space="preserve"> PAGEREF _Toc73091866 \h </w:instrText>
        </w:r>
        <w:r w:rsidR="00FF17B2">
          <w:rPr>
            <w:noProof/>
            <w:webHidden/>
          </w:rPr>
        </w:r>
        <w:r w:rsidR="00FF17B2">
          <w:rPr>
            <w:noProof/>
            <w:webHidden/>
          </w:rPr>
          <w:fldChar w:fldCharType="separate"/>
        </w:r>
        <w:r w:rsidR="0043705D">
          <w:rPr>
            <w:noProof/>
            <w:webHidden/>
          </w:rPr>
          <w:t>57</w:t>
        </w:r>
        <w:r w:rsidR="00FF17B2">
          <w:rPr>
            <w:noProof/>
            <w:webHidden/>
          </w:rPr>
          <w:fldChar w:fldCharType="end"/>
        </w:r>
      </w:hyperlink>
    </w:p>
    <w:p w14:paraId="7CD6242D"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7" w:history="1">
        <w:r w:rsidR="00FF17B2" w:rsidRPr="00F90D7F">
          <w:rPr>
            <w:rStyle w:val="Hyperlink"/>
            <w:noProof/>
          </w:rPr>
          <w:t>Table 9: Blood lead levels exceeding 5 µg/dL in Tasmania 2016 to 2019 (non-occupational only)</w:t>
        </w:r>
        <w:r w:rsidR="00FF17B2">
          <w:rPr>
            <w:noProof/>
            <w:webHidden/>
          </w:rPr>
          <w:tab/>
        </w:r>
        <w:r w:rsidR="00FF17B2">
          <w:rPr>
            <w:noProof/>
            <w:webHidden/>
          </w:rPr>
          <w:fldChar w:fldCharType="begin"/>
        </w:r>
        <w:r w:rsidR="00FF17B2">
          <w:rPr>
            <w:noProof/>
            <w:webHidden/>
          </w:rPr>
          <w:instrText xml:space="preserve"> PAGEREF _Toc73091867 \h </w:instrText>
        </w:r>
        <w:r w:rsidR="00FF17B2">
          <w:rPr>
            <w:noProof/>
            <w:webHidden/>
          </w:rPr>
        </w:r>
        <w:r w:rsidR="00FF17B2">
          <w:rPr>
            <w:noProof/>
            <w:webHidden/>
          </w:rPr>
          <w:fldChar w:fldCharType="separate"/>
        </w:r>
        <w:r w:rsidR="0043705D">
          <w:rPr>
            <w:noProof/>
            <w:webHidden/>
          </w:rPr>
          <w:t>57</w:t>
        </w:r>
        <w:r w:rsidR="00FF17B2">
          <w:rPr>
            <w:noProof/>
            <w:webHidden/>
          </w:rPr>
          <w:fldChar w:fldCharType="end"/>
        </w:r>
      </w:hyperlink>
    </w:p>
    <w:p w14:paraId="3E36C806"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8" w:history="1">
        <w:r w:rsidR="00FF17B2" w:rsidRPr="00F90D7F">
          <w:rPr>
            <w:rStyle w:val="Hyperlink"/>
            <w:noProof/>
          </w:rPr>
          <w:t>Table 10: Blood lead levels exceeding 5 µg/dL in Western Australia</w:t>
        </w:r>
        <w:r w:rsidR="00FF17B2">
          <w:rPr>
            <w:noProof/>
            <w:webHidden/>
          </w:rPr>
          <w:tab/>
        </w:r>
        <w:r w:rsidR="00FF17B2">
          <w:rPr>
            <w:noProof/>
            <w:webHidden/>
          </w:rPr>
          <w:fldChar w:fldCharType="begin"/>
        </w:r>
        <w:r w:rsidR="00FF17B2">
          <w:rPr>
            <w:noProof/>
            <w:webHidden/>
          </w:rPr>
          <w:instrText xml:space="preserve"> PAGEREF _Toc73091868 \h </w:instrText>
        </w:r>
        <w:r w:rsidR="00FF17B2">
          <w:rPr>
            <w:noProof/>
            <w:webHidden/>
          </w:rPr>
        </w:r>
        <w:r w:rsidR="00FF17B2">
          <w:rPr>
            <w:noProof/>
            <w:webHidden/>
          </w:rPr>
          <w:fldChar w:fldCharType="separate"/>
        </w:r>
        <w:r w:rsidR="0043705D">
          <w:rPr>
            <w:noProof/>
            <w:webHidden/>
          </w:rPr>
          <w:t>58</w:t>
        </w:r>
        <w:r w:rsidR="00FF17B2">
          <w:rPr>
            <w:noProof/>
            <w:webHidden/>
          </w:rPr>
          <w:fldChar w:fldCharType="end"/>
        </w:r>
      </w:hyperlink>
    </w:p>
    <w:p w14:paraId="56A45F2D"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69" w:history="1">
        <w:r w:rsidR="00FF17B2" w:rsidRPr="00F90D7F">
          <w:rPr>
            <w:rStyle w:val="Hyperlink"/>
            <w:noProof/>
          </w:rPr>
          <w:t>Table 11: Non-occupational risk factors for cases of recorded elevated blood lead levels</w:t>
        </w:r>
        <w:r w:rsidR="00FF17B2">
          <w:rPr>
            <w:noProof/>
            <w:webHidden/>
          </w:rPr>
          <w:tab/>
        </w:r>
        <w:r w:rsidR="00FF17B2">
          <w:rPr>
            <w:noProof/>
            <w:webHidden/>
          </w:rPr>
          <w:fldChar w:fldCharType="begin"/>
        </w:r>
        <w:r w:rsidR="00FF17B2">
          <w:rPr>
            <w:noProof/>
            <w:webHidden/>
          </w:rPr>
          <w:instrText xml:space="preserve"> PAGEREF _Toc73091869 \h </w:instrText>
        </w:r>
        <w:r w:rsidR="00FF17B2">
          <w:rPr>
            <w:noProof/>
            <w:webHidden/>
          </w:rPr>
        </w:r>
        <w:r w:rsidR="00FF17B2">
          <w:rPr>
            <w:noProof/>
            <w:webHidden/>
          </w:rPr>
          <w:fldChar w:fldCharType="separate"/>
        </w:r>
        <w:r w:rsidR="0043705D">
          <w:rPr>
            <w:noProof/>
            <w:webHidden/>
          </w:rPr>
          <w:t>62</w:t>
        </w:r>
        <w:r w:rsidR="00FF17B2">
          <w:rPr>
            <w:noProof/>
            <w:webHidden/>
          </w:rPr>
          <w:fldChar w:fldCharType="end"/>
        </w:r>
      </w:hyperlink>
    </w:p>
    <w:p w14:paraId="7AE428BF"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70" w:history="1">
        <w:r w:rsidR="00FF17B2" w:rsidRPr="00F90D7F">
          <w:rPr>
            <w:rStyle w:val="Hyperlink"/>
            <w:noProof/>
          </w:rPr>
          <w:t>Table 12: Product categories and annual sales</w:t>
        </w:r>
        <w:r w:rsidR="00FF17B2">
          <w:rPr>
            <w:noProof/>
            <w:webHidden/>
          </w:rPr>
          <w:tab/>
        </w:r>
        <w:r w:rsidR="00FF17B2">
          <w:rPr>
            <w:noProof/>
            <w:webHidden/>
          </w:rPr>
          <w:fldChar w:fldCharType="begin"/>
        </w:r>
        <w:r w:rsidR="00FF17B2">
          <w:rPr>
            <w:noProof/>
            <w:webHidden/>
          </w:rPr>
          <w:instrText xml:space="preserve"> PAGEREF _Toc73091870 \h </w:instrText>
        </w:r>
        <w:r w:rsidR="00FF17B2">
          <w:rPr>
            <w:noProof/>
            <w:webHidden/>
          </w:rPr>
        </w:r>
        <w:r w:rsidR="00FF17B2">
          <w:rPr>
            <w:noProof/>
            <w:webHidden/>
          </w:rPr>
          <w:fldChar w:fldCharType="separate"/>
        </w:r>
        <w:r w:rsidR="0043705D">
          <w:rPr>
            <w:noProof/>
            <w:webHidden/>
          </w:rPr>
          <w:t>71</w:t>
        </w:r>
        <w:r w:rsidR="00FF17B2">
          <w:rPr>
            <w:noProof/>
            <w:webHidden/>
          </w:rPr>
          <w:fldChar w:fldCharType="end"/>
        </w:r>
      </w:hyperlink>
    </w:p>
    <w:p w14:paraId="1DFC1AB4"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71" w:history="1">
        <w:r w:rsidR="00FF17B2" w:rsidRPr="00F90D7F">
          <w:rPr>
            <w:rStyle w:val="Hyperlink"/>
            <w:noProof/>
          </w:rPr>
          <w:t>Table 13: Incremental aggregate costs of Option 2</w:t>
        </w:r>
        <w:r w:rsidR="00FF17B2">
          <w:rPr>
            <w:noProof/>
            <w:webHidden/>
          </w:rPr>
          <w:tab/>
        </w:r>
        <w:r w:rsidR="00FF17B2">
          <w:rPr>
            <w:noProof/>
            <w:webHidden/>
          </w:rPr>
          <w:fldChar w:fldCharType="begin"/>
        </w:r>
        <w:r w:rsidR="00FF17B2">
          <w:rPr>
            <w:noProof/>
            <w:webHidden/>
          </w:rPr>
          <w:instrText xml:space="preserve"> PAGEREF _Toc73091871 \h </w:instrText>
        </w:r>
        <w:r w:rsidR="00FF17B2">
          <w:rPr>
            <w:noProof/>
            <w:webHidden/>
          </w:rPr>
        </w:r>
        <w:r w:rsidR="00FF17B2">
          <w:rPr>
            <w:noProof/>
            <w:webHidden/>
          </w:rPr>
          <w:fldChar w:fldCharType="separate"/>
        </w:r>
        <w:r w:rsidR="0043705D">
          <w:rPr>
            <w:noProof/>
            <w:webHidden/>
          </w:rPr>
          <w:t>72</w:t>
        </w:r>
        <w:r w:rsidR="00FF17B2">
          <w:rPr>
            <w:noProof/>
            <w:webHidden/>
          </w:rPr>
          <w:fldChar w:fldCharType="end"/>
        </w:r>
      </w:hyperlink>
    </w:p>
    <w:p w14:paraId="6B9933D8"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72" w:history="1">
        <w:r w:rsidR="00FF17B2" w:rsidRPr="00F90D7F">
          <w:rPr>
            <w:rStyle w:val="Hyperlink"/>
            <w:noProof/>
          </w:rPr>
          <w:t>Table 14: Composition of the DALY rate in Australia attributable to lead exposure</w:t>
        </w:r>
        <w:r w:rsidR="00FF17B2">
          <w:rPr>
            <w:noProof/>
            <w:webHidden/>
          </w:rPr>
          <w:tab/>
        </w:r>
        <w:r w:rsidR="00FF17B2">
          <w:rPr>
            <w:noProof/>
            <w:webHidden/>
          </w:rPr>
          <w:fldChar w:fldCharType="begin"/>
        </w:r>
        <w:r w:rsidR="00FF17B2">
          <w:rPr>
            <w:noProof/>
            <w:webHidden/>
          </w:rPr>
          <w:instrText xml:space="preserve"> PAGEREF _Toc73091872 \h </w:instrText>
        </w:r>
        <w:r w:rsidR="00FF17B2">
          <w:rPr>
            <w:noProof/>
            <w:webHidden/>
          </w:rPr>
        </w:r>
        <w:r w:rsidR="00FF17B2">
          <w:rPr>
            <w:noProof/>
            <w:webHidden/>
          </w:rPr>
          <w:fldChar w:fldCharType="separate"/>
        </w:r>
        <w:r w:rsidR="0043705D">
          <w:rPr>
            <w:noProof/>
            <w:webHidden/>
          </w:rPr>
          <w:t>74</w:t>
        </w:r>
        <w:r w:rsidR="00FF17B2">
          <w:rPr>
            <w:noProof/>
            <w:webHidden/>
          </w:rPr>
          <w:fldChar w:fldCharType="end"/>
        </w:r>
      </w:hyperlink>
    </w:p>
    <w:p w14:paraId="6F66D81B"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73" w:history="1">
        <w:r w:rsidR="00FF17B2" w:rsidRPr="00F90D7F">
          <w:rPr>
            <w:rStyle w:val="Hyperlink"/>
            <w:noProof/>
          </w:rPr>
          <w:t>Table 15: Total annual cost of lead exposure in Australia (2019)</w:t>
        </w:r>
        <w:r w:rsidR="00FF17B2">
          <w:rPr>
            <w:noProof/>
            <w:webHidden/>
          </w:rPr>
          <w:tab/>
        </w:r>
        <w:r w:rsidR="00FF17B2">
          <w:rPr>
            <w:noProof/>
            <w:webHidden/>
          </w:rPr>
          <w:fldChar w:fldCharType="begin"/>
        </w:r>
        <w:r w:rsidR="00FF17B2">
          <w:rPr>
            <w:noProof/>
            <w:webHidden/>
          </w:rPr>
          <w:instrText xml:space="preserve"> PAGEREF _Toc73091873 \h </w:instrText>
        </w:r>
        <w:r w:rsidR="00FF17B2">
          <w:rPr>
            <w:noProof/>
            <w:webHidden/>
          </w:rPr>
        </w:r>
        <w:r w:rsidR="00FF17B2">
          <w:rPr>
            <w:noProof/>
            <w:webHidden/>
          </w:rPr>
          <w:fldChar w:fldCharType="separate"/>
        </w:r>
        <w:r w:rsidR="0043705D">
          <w:rPr>
            <w:noProof/>
            <w:webHidden/>
          </w:rPr>
          <w:t>75</w:t>
        </w:r>
        <w:r w:rsidR="00FF17B2">
          <w:rPr>
            <w:noProof/>
            <w:webHidden/>
          </w:rPr>
          <w:fldChar w:fldCharType="end"/>
        </w:r>
      </w:hyperlink>
    </w:p>
    <w:p w14:paraId="577D80B7"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74" w:history="1">
        <w:r w:rsidR="00FF17B2" w:rsidRPr="00F90D7F">
          <w:rPr>
            <w:rStyle w:val="Hyperlink"/>
            <w:noProof/>
          </w:rPr>
          <w:t>Table 16: Present Value benefits of Option 2</w:t>
        </w:r>
        <w:r w:rsidR="00FF17B2">
          <w:rPr>
            <w:noProof/>
            <w:webHidden/>
          </w:rPr>
          <w:tab/>
        </w:r>
        <w:r w:rsidR="00FF17B2">
          <w:rPr>
            <w:noProof/>
            <w:webHidden/>
          </w:rPr>
          <w:fldChar w:fldCharType="begin"/>
        </w:r>
        <w:r w:rsidR="00FF17B2">
          <w:rPr>
            <w:noProof/>
            <w:webHidden/>
          </w:rPr>
          <w:instrText xml:space="preserve"> PAGEREF _Toc73091874 \h </w:instrText>
        </w:r>
        <w:r w:rsidR="00FF17B2">
          <w:rPr>
            <w:noProof/>
            <w:webHidden/>
          </w:rPr>
        </w:r>
        <w:r w:rsidR="00FF17B2">
          <w:rPr>
            <w:noProof/>
            <w:webHidden/>
          </w:rPr>
          <w:fldChar w:fldCharType="separate"/>
        </w:r>
        <w:r w:rsidR="0043705D">
          <w:rPr>
            <w:noProof/>
            <w:webHidden/>
          </w:rPr>
          <w:t>78</w:t>
        </w:r>
        <w:r w:rsidR="00FF17B2">
          <w:rPr>
            <w:noProof/>
            <w:webHidden/>
          </w:rPr>
          <w:fldChar w:fldCharType="end"/>
        </w:r>
      </w:hyperlink>
    </w:p>
    <w:p w14:paraId="04BFBE88"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75" w:history="1">
        <w:r w:rsidR="00FF17B2" w:rsidRPr="00F90D7F">
          <w:rPr>
            <w:rStyle w:val="Hyperlink"/>
            <w:noProof/>
          </w:rPr>
          <w:t>Table 17: Present Value benefits of Option 2</w:t>
        </w:r>
        <w:r w:rsidR="00FF17B2">
          <w:rPr>
            <w:noProof/>
            <w:webHidden/>
          </w:rPr>
          <w:tab/>
        </w:r>
        <w:r w:rsidR="00FF17B2">
          <w:rPr>
            <w:noProof/>
            <w:webHidden/>
          </w:rPr>
          <w:fldChar w:fldCharType="begin"/>
        </w:r>
        <w:r w:rsidR="00FF17B2">
          <w:rPr>
            <w:noProof/>
            <w:webHidden/>
          </w:rPr>
          <w:instrText xml:space="preserve"> PAGEREF _Toc73091875 \h </w:instrText>
        </w:r>
        <w:r w:rsidR="00FF17B2">
          <w:rPr>
            <w:noProof/>
            <w:webHidden/>
          </w:rPr>
        </w:r>
        <w:r w:rsidR="00FF17B2">
          <w:rPr>
            <w:noProof/>
            <w:webHidden/>
          </w:rPr>
          <w:fldChar w:fldCharType="separate"/>
        </w:r>
        <w:r w:rsidR="0043705D">
          <w:rPr>
            <w:noProof/>
            <w:webHidden/>
          </w:rPr>
          <w:t>79</w:t>
        </w:r>
        <w:r w:rsidR="00FF17B2">
          <w:rPr>
            <w:noProof/>
            <w:webHidden/>
          </w:rPr>
          <w:fldChar w:fldCharType="end"/>
        </w:r>
      </w:hyperlink>
    </w:p>
    <w:p w14:paraId="4AFD16E9" w14:textId="77777777" w:rsidR="00FF17B2" w:rsidRDefault="00944D93">
      <w:pPr>
        <w:pStyle w:val="TableofFigures"/>
        <w:tabs>
          <w:tab w:val="right" w:leader="dot" w:pos="9016"/>
        </w:tabs>
        <w:rPr>
          <w:rFonts w:asciiTheme="minorHAnsi" w:eastAsiaTheme="minorEastAsia" w:hAnsiTheme="minorHAnsi"/>
          <w:noProof/>
          <w:lang w:eastAsia="en-AU"/>
        </w:rPr>
      </w:pPr>
      <w:hyperlink w:anchor="_Toc73091876" w:history="1">
        <w:r w:rsidR="00FF17B2" w:rsidRPr="00F90D7F">
          <w:rPr>
            <w:rStyle w:val="Hyperlink"/>
            <w:noProof/>
          </w:rPr>
          <w:t>Table 18: Sensitivity analysis of Option 2</w:t>
        </w:r>
        <w:r w:rsidR="00FF17B2">
          <w:rPr>
            <w:noProof/>
            <w:webHidden/>
          </w:rPr>
          <w:tab/>
        </w:r>
        <w:r w:rsidR="00FF17B2">
          <w:rPr>
            <w:noProof/>
            <w:webHidden/>
          </w:rPr>
          <w:fldChar w:fldCharType="begin"/>
        </w:r>
        <w:r w:rsidR="00FF17B2">
          <w:rPr>
            <w:noProof/>
            <w:webHidden/>
          </w:rPr>
          <w:instrText xml:space="preserve"> PAGEREF _Toc73091876 \h </w:instrText>
        </w:r>
        <w:r w:rsidR="00FF17B2">
          <w:rPr>
            <w:noProof/>
            <w:webHidden/>
          </w:rPr>
        </w:r>
        <w:r w:rsidR="00FF17B2">
          <w:rPr>
            <w:noProof/>
            <w:webHidden/>
          </w:rPr>
          <w:fldChar w:fldCharType="separate"/>
        </w:r>
        <w:r w:rsidR="0043705D">
          <w:rPr>
            <w:noProof/>
            <w:webHidden/>
          </w:rPr>
          <w:t>81</w:t>
        </w:r>
        <w:r w:rsidR="00FF17B2">
          <w:rPr>
            <w:noProof/>
            <w:webHidden/>
          </w:rPr>
          <w:fldChar w:fldCharType="end"/>
        </w:r>
      </w:hyperlink>
    </w:p>
    <w:p w14:paraId="6DAB77B9" w14:textId="5929FE44" w:rsidR="009C0A5D" w:rsidRPr="000B675B" w:rsidRDefault="00DA119A" w:rsidP="00B13D24">
      <w:pPr>
        <w:pStyle w:val="TableofFigures"/>
        <w:tabs>
          <w:tab w:val="right" w:leader="dot" w:pos="9016"/>
        </w:tabs>
        <w:spacing w:before="120"/>
        <w:rPr>
          <w:color w:val="002060"/>
          <w:sz w:val="40"/>
          <w:szCs w:val="40"/>
        </w:rPr>
      </w:pPr>
      <w:r>
        <w:lastRenderedPageBreak/>
        <w:fldChar w:fldCharType="end"/>
      </w:r>
      <w:bookmarkStart w:id="1" w:name="_Toc32229014"/>
      <w:bookmarkStart w:id="2" w:name="_Toc33098408"/>
      <w:bookmarkStart w:id="3" w:name="_Toc33098867"/>
      <w:r w:rsidR="009C0A5D" w:rsidRPr="000B675B">
        <w:rPr>
          <w:color w:val="002060"/>
          <w:sz w:val="40"/>
          <w:szCs w:val="40"/>
        </w:rPr>
        <w:t>Glossary</w:t>
      </w:r>
      <w:bookmarkEnd w:id="1"/>
      <w:bookmarkEnd w:id="2"/>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w:tblDescription w:val="A table containting a glossary of terms used in this document and their meaning."/>
      </w:tblPr>
      <w:tblGrid>
        <w:gridCol w:w="2489"/>
        <w:gridCol w:w="6537"/>
      </w:tblGrid>
      <w:tr w:rsidR="009C0A5D" w:rsidRPr="00315CC1" w14:paraId="38C15F2F" w14:textId="77777777" w:rsidTr="009C0A5D">
        <w:trPr>
          <w:tblHeader/>
        </w:trPr>
        <w:tc>
          <w:tcPr>
            <w:tcW w:w="1379" w:type="pct"/>
            <w:shd w:val="clear" w:color="auto" w:fill="184897"/>
          </w:tcPr>
          <w:p w14:paraId="661CEF9D" w14:textId="77777777" w:rsidR="009C0A5D" w:rsidRPr="00315CC1" w:rsidRDefault="009C0A5D" w:rsidP="009C0A5D">
            <w:pPr>
              <w:pStyle w:val="TableHeading"/>
            </w:pPr>
            <w:r w:rsidRPr="00315CC1">
              <w:t>Term</w:t>
            </w:r>
          </w:p>
        </w:tc>
        <w:tc>
          <w:tcPr>
            <w:tcW w:w="3621" w:type="pct"/>
            <w:shd w:val="clear" w:color="auto" w:fill="184897"/>
          </w:tcPr>
          <w:p w14:paraId="7F213A2A" w14:textId="77777777" w:rsidR="009C0A5D" w:rsidRPr="00315CC1" w:rsidRDefault="009C0A5D" w:rsidP="009C0A5D">
            <w:pPr>
              <w:pStyle w:val="TableHeading"/>
            </w:pPr>
            <w:r w:rsidRPr="00315CC1">
              <w:t>Meaning</w:t>
            </w:r>
          </w:p>
        </w:tc>
      </w:tr>
      <w:tr w:rsidR="00250FC7" w:rsidRPr="00315CC1" w14:paraId="5B9DCFAB" w14:textId="77777777" w:rsidTr="00BF0EB6">
        <w:trPr>
          <w:tblHeader/>
        </w:trPr>
        <w:tc>
          <w:tcPr>
            <w:tcW w:w="1379" w:type="pct"/>
            <w:tcBorders>
              <w:bottom w:val="single" w:sz="4" w:space="0" w:color="184897"/>
            </w:tcBorders>
          </w:tcPr>
          <w:p w14:paraId="6D6D66B6" w14:textId="77777777" w:rsidR="00250FC7" w:rsidRPr="00315CC1" w:rsidRDefault="00250FC7" w:rsidP="00BF0EB6">
            <w:pPr>
              <w:pStyle w:val="TableBody"/>
            </w:pPr>
            <w:r>
              <w:t xml:space="preserve">Accredited </w:t>
            </w:r>
            <w:r w:rsidR="00B7330E">
              <w:t>T</w:t>
            </w:r>
            <w:r>
              <w:t xml:space="preserve">esting </w:t>
            </w:r>
            <w:r w:rsidR="00B7330E">
              <w:t>L</w:t>
            </w:r>
            <w:r>
              <w:t>aboratory</w:t>
            </w:r>
          </w:p>
        </w:tc>
        <w:tc>
          <w:tcPr>
            <w:tcW w:w="3621" w:type="pct"/>
            <w:tcBorders>
              <w:bottom w:val="single" w:sz="4" w:space="0" w:color="184897"/>
            </w:tcBorders>
          </w:tcPr>
          <w:p w14:paraId="190A4FC0" w14:textId="3ED86439" w:rsidR="00250FC7" w:rsidRPr="00C90955" w:rsidRDefault="00250FC7" w:rsidP="00C90955">
            <w:pPr>
              <w:pStyle w:val="TableBody"/>
              <w:jc w:val="both"/>
              <w:rPr>
                <w:rFonts w:eastAsiaTheme="minorHAnsi" w:cstheme="minorBidi"/>
                <w:lang w:eastAsia="en-US"/>
              </w:rPr>
            </w:pPr>
            <w:r w:rsidRPr="00C90955">
              <w:rPr>
                <w:rFonts w:eastAsiaTheme="minorHAnsi" w:cstheme="minorBidi"/>
                <w:lang w:eastAsia="en-US"/>
              </w:rPr>
              <w:t>An organisation accredited by the National Association of Testing Authorities</w:t>
            </w:r>
            <w:r w:rsidR="003552EB">
              <w:rPr>
                <w:rFonts w:eastAsiaTheme="minorHAnsi" w:cstheme="minorBidi"/>
                <w:lang w:eastAsia="en-US"/>
              </w:rPr>
              <w:t xml:space="preserve"> </w:t>
            </w:r>
            <w:r w:rsidRPr="00C90955">
              <w:rPr>
                <w:rFonts w:eastAsiaTheme="minorHAnsi" w:cstheme="minorBidi"/>
                <w:lang w:eastAsia="en-US"/>
              </w:rPr>
              <w:t xml:space="preserve">(NATA) </w:t>
            </w:r>
            <w:r w:rsidR="00B13D24">
              <w:rPr>
                <w:rFonts w:eastAsiaTheme="minorHAnsi" w:cstheme="minorBidi"/>
                <w:lang w:eastAsia="en-US"/>
              </w:rPr>
              <w:t>to undertake the relevant tests.</w:t>
            </w:r>
            <w:r w:rsidRPr="00C90955">
              <w:rPr>
                <w:rFonts w:eastAsiaTheme="minorHAnsi" w:cstheme="minorBidi"/>
                <w:lang w:eastAsia="en-US"/>
              </w:rPr>
              <w:t xml:space="preserve"> or</w:t>
            </w:r>
          </w:p>
          <w:p w14:paraId="3BA24780" w14:textId="77777777" w:rsidR="00250FC7" w:rsidRPr="00315CC1" w:rsidRDefault="003552EB" w:rsidP="00C90955">
            <w:pPr>
              <w:pStyle w:val="TableBody"/>
              <w:jc w:val="both"/>
            </w:pPr>
            <w:r>
              <w:rPr>
                <w:rFonts w:eastAsiaTheme="minorHAnsi" w:cstheme="minorBidi"/>
                <w:lang w:eastAsia="en-US"/>
              </w:rPr>
              <w:t xml:space="preserve">An </w:t>
            </w:r>
            <w:r w:rsidR="00250FC7" w:rsidRPr="00C90955">
              <w:rPr>
                <w:rFonts w:eastAsiaTheme="minorHAnsi" w:cstheme="minorBidi"/>
                <w:lang w:eastAsia="en-US"/>
              </w:rPr>
              <w:t>organisation outside Australia accredited by an authority to undertake the relevant tests and is recognised by NATA through a mutual recognition agreement</w:t>
            </w:r>
            <w:r w:rsidR="00BF0EB6" w:rsidRPr="00C90955">
              <w:rPr>
                <w:rFonts w:eastAsiaTheme="minorHAnsi" w:cstheme="minorBidi"/>
                <w:lang w:eastAsia="en-US"/>
              </w:rPr>
              <w:t>.</w:t>
            </w:r>
          </w:p>
        </w:tc>
      </w:tr>
      <w:tr w:rsidR="009C0A5D" w:rsidRPr="00315CC1" w14:paraId="1077FA5E" w14:textId="77777777" w:rsidTr="009C0A5D">
        <w:trPr>
          <w:tblHeader/>
        </w:trPr>
        <w:tc>
          <w:tcPr>
            <w:tcW w:w="1379" w:type="pct"/>
            <w:tcBorders>
              <w:bottom w:val="single" w:sz="4" w:space="0" w:color="184897"/>
            </w:tcBorders>
          </w:tcPr>
          <w:p w14:paraId="5034A89D" w14:textId="77777777" w:rsidR="009C0A5D" w:rsidRPr="00315CC1" w:rsidRDefault="009C0A5D" w:rsidP="00A8260C">
            <w:pPr>
              <w:pStyle w:val="TableBody"/>
              <w:jc w:val="both"/>
            </w:pPr>
            <w:r w:rsidRPr="00315CC1">
              <w:t>Deemed-to-Satisfy Provisions</w:t>
            </w:r>
          </w:p>
        </w:tc>
        <w:tc>
          <w:tcPr>
            <w:tcW w:w="3621" w:type="pct"/>
            <w:tcBorders>
              <w:bottom w:val="single" w:sz="4" w:space="0" w:color="184897"/>
            </w:tcBorders>
          </w:tcPr>
          <w:p w14:paraId="0F35728B" w14:textId="77777777" w:rsidR="009C0A5D" w:rsidRPr="00315CC1" w:rsidRDefault="00BF0EB6" w:rsidP="00A8260C">
            <w:pPr>
              <w:pStyle w:val="TableBody"/>
              <w:jc w:val="both"/>
            </w:pPr>
            <w:r>
              <w:t>P</w:t>
            </w:r>
            <w:r w:rsidR="009C0A5D" w:rsidRPr="00315CC1">
              <w:t xml:space="preserve">rovisions which are deemed to satisfy the Performance Requirements. </w:t>
            </w:r>
          </w:p>
        </w:tc>
      </w:tr>
      <w:tr w:rsidR="00B135FB" w:rsidRPr="00315CC1" w14:paraId="6B2D942C" w14:textId="77777777" w:rsidTr="009C0A5D">
        <w:trPr>
          <w:tblHeader/>
        </w:trPr>
        <w:tc>
          <w:tcPr>
            <w:tcW w:w="1379" w:type="pct"/>
            <w:tcBorders>
              <w:bottom w:val="single" w:sz="4" w:space="0" w:color="184897"/>
            </w:tcBorders>
          </w:tcPr>
          <w:p w14:paraId="65CCA0A4" w14:textId="77777777" w:rsidR="00B135FB" w:rsidRPr="00315CC1" w:rsidRDefault="00B135FB" w:rsidP="00B135FB">
            <w:pPr>
              <w:pStyle w:val="TableBody"/>
            </w:pPr>
            <w:r>
              <w:t>Disability Adjusted Life Year</w:t>
            </w:r>
          </w:p>
        </w:tc>
        <w:tc>
          <w:tcPr>
            <w:tcW w:w="3621" w:type="pct"/>
            <w:tcBorders>
              <w:bottom w:val="single" w:sz="4" w:space="0" w:color="184897"/>
            </w:tcBorders>
          </w:tcPr>
          <w:p w14:paraId="763BB221" w14:textId="77777777" w:rsidR="00B135FB" w:rsidRDefault="00AD6D16" w:rsidP="00A8260C">
            <w:pPr>
              <w:pStyle w:val="TableBody"/>
              <w:jc w:val="both"/>
            </w:pPr>
            <w:r>
              <w:t>A</w:t>
            </w:r>
            <w:r w:rsidR="003F7922" w:rsidRPr="003F7922">
              <w:t xml:space="preserve"> summary measure of population health that accounts for both mortality and nonfatal health consequences.</w:t>
            </w:r>
          </w:p>
        </w:tc>
      </w:tr>
      <w:tr w:rsidR="005F75AF" w:rsidRPr="00315CC1" w14:paraId="7025E394" w14:textId="77777777" w:rsidTr="009C0A5D">
        <w:trPr>
          <w:tblHeader/>
        </w:trPr>
        <w:tc>
          <w:tcPr>
            <w:tcW w:w="1379" w:type="pct"/>
            <w:tcBorders>
              <w:bottom w:val="single" w:sz="4" w:space="0" w:color="184897"/>
            </w:tcBorders>
          </w:tcPr>
          <w:p w14:paraId="4E9A434F" w14:textId="77777777" w:rsidR="005F75AF" w:rsidRPr="00315CC1" w:rsidRDefault="005F75AF" w:rsidP="00A8260C">
            <w:pPr>
              <w:pStyle w:val="TableBody"/>
              <w:jc w:val="both"/>
            </w:pPr>
            <w:r>
              <w:t>Low Lead</w:t>
            </w:r>
          </w:p>
        </w:tc>
        <w:tc>
          <w:tcPr>
            <w:tcW w:w="3621" w:type="pct"/>
            <w:tcBorders>
              <w:bottom w:val="single" w:sz="4" w:space="0" w:color="184897"/>
            </w:tcBorders>
          </w:tcPr>
          <w:p w14:paraId="0F151A20" w14:textId="77777777" w:rsidR="005F75AF" w:rsidRPr="00FC66F0" w:rsidRDefault="00BF0EB6" w:rsidP="001C652E">
            <w:pPr>
              <w:spacing w:line="276" w:lineRule="auto"/>
              <w:jc w:val="both"/>
              <w:rPr>
                <w:sz w:val="24"/>
                <w:szCs w:val="24"/>
              </w:rPr>
            </w:pPr>
            <w:r>
              <w:rPr>
                <w:sz w:val="24"/>
                <w:szCs w:val="24"/>
              </w:rPr>
              <w:t>A</w:t>
            </w:r>
            <w:r w:rsidR="005F75AF" w:rsidRPr="00FC66F0">
              <w:rPr>
                <w:sz w:val="24"/>
                <w:szCs w:val="24"/>
              </w:rPr>
              <w:t xml:space="preserve"> plumbing product or material in contact with drinking water calculated using a weighted average lead content of no</w:t>
            </w:r>
            <w:r w:rsidR="00B7330E">
              <w:rPr>
                <w:sz w:val="24"/>
                <w:szCs w:val="24"/>
              </w:rPr>
              <w:t>t</w:t>
            </w:r>
            <w:r w:rsidR="005F75AF" w:rsidRPr="00FC66F0">
              <w:rPr>
                <w:sz w:val="24"/>
                <w:szCs w:val="24"/>
              </w:rPr>
              <w:t xml:space="preserve"> more than 0.25%</w:t>
            </w:r>
            <w:r w:rsidR="00B7330E">
              <w:rPr>
                <w:sz w:val="24"/>
                <w:szCs w:val="24"/>
              </w:rPr>
              <w:t>,</w:t>
            </w:r>
            <w:r w:rsidR="005F75AF" w:rsidRPr="00FC66F0">
              <w:rPr>
                <w:sz w:val="24"/>
                <w:szCs w:val="24"/>
              </w:rPr>
              <w:t xml:space="preserve"> verified in the form of either</w:t>
            </w:r>
            <w:r w:rsidR="00B7330E">
              <w:rPr>
                <w:sz w:val="24"/>
                <w:szCs w:val="24"/>
              </w:rPr>
              <w:t>—</w:t>
            </w:r>
          </w:p>
          <w:p w14:paraId="3797EABC" w14:textId="77777777" w:rsidR="005F75AF" w:rsidRPr="00FC66F0" w:rsidRDefault="005F75AF" w:rsidP="001C652E">
            <w:pPr>
              <w:numPr>
                <w:ilvl w:val="0"/>
                <w:numId w:val="14"/>
              </w:numPr>
              <w:spacing w:line="276" w:lineRule="auto"/>
              <w:rPr>
                <w:sz w:val="24"/>
                <w:szCs w:val="24"/>
              </w:rPr>
            </w:pPr>
            <w:r w:rsidRPr="00FC66F0">
              <w:rPr>
                <w:sz w:val="24"/>
                <w:szCs w:val="24"/>
              </w:rPr>
              <w:t>a test report provided by an Accredited Testing Laboratory, in accordance with NSF/ANSI 372; or</w:t>
            </w:r>
          </w:p>
          <w:p w14:paraId="5A14EF1C" w14:textId="77777777" w:rsidR="005F75AF" w:rsidRPr="005F75AF" w:rsidRDefault="005F75AF" w:rsidP="001C652E">
            <w:pPr>
              <w:numPr>
                <w:ilvl w:val="0"/>
                <w:numId w:val="14"/>
              </w:numPr>
              <w:spacing w:line="276" w:lineRule="auto"/>
              <w:rPr>
                <w:sz w:val="24"/>
                <w:szCs w:val="24"/>
              </w:rPr>
            </w:pPr>
            <w:r w:rsidRPr="00FC66F0">
              <w:rPr>
                <w:sz w:val="24"/>
                <w:szCs w:val="24"/>
              </w:rPr>
              <w:t>a WaterMark licence</w:t>
            </w:r>
            <w:r>
              <w:rPr>
                <w:sz w:val="24"/>
                <w:szCs w:val="24"/>
              </w:rPr>
              <w:t xml:space="preserve"> </w:t>
            </w:r>
            <w:r w:rsidRPr="00FC66F0">
              <w:rPr>
                <w:sz w:val="24"/>
                <w:szCs w:val="24"/>
              </w:rPr>
              <w:t>if it includes compliance with NSF/ANSI 372.</w:t>
            </w:r>
          </w:p>
        </w:tc>
      </w:tr>
      <w:tr w:rsidR="0086246B" w:rsidRPr="00315CC1" w14:paraId="705AC38C" w14:textId="77777777" w:rsidTr="009C0A5D">
        <w:trPr>
          <w:tblHeader/>
        </w:trPr>
        <w:tc>
          <w:tcPr>
            <w:tcW w:w="1379" w:type="pct"/>
            <w:tcBorders>
              <w:bottom w:val="single" w:sz="4" w:space="0" w:color="184897"/>
            </w:tcBorders>
          </w:tcPr>
          <w:p w14:paraId="5177F044" w14:textId="5B615187" w:rsidR="0086246B" w:rsidRDefault="0086246B" w:rsidP="002D1E18">
            <w:pPr>
              <w:pStyle w:val="TableBody"/>
            </w:pPr>
            <w:r>
              <w:t>Network Utility Operator</w:t>
            </w:r>
          </w:p>
        </w:tc>
        <w:tc>
          <w:tcPr>
            <w:tcW w:w="3621" w:type="pct"/>
            <w:tcBorders>
              <w:bottom w:val="single" w:sz="4" w:space="0" w:color="184897"/>
            </w:tcBorders>
          </w:tcPr>
          <w:p w14:paraId="014933F4" w14:textId="25C58326" w:rsidR="0086246B" w:rsidRDefault="0086246B" w:rsidP="001C652E">
            <w:pPr>
              <w:jc w:val="both"/>
              <w:rPr>
                <w:sz w:val="24"/>
                <w:szCs w:val="24"/>
              </w:rPr>
            </w:pPr>
            <w:r>
              <w:rPr>
                <w:sz w:val="24"/>
                <w:szCs w:val="24"/>
              </w:rPr>
              <w:t xml:space="preserve">A person who undertakes the piped distribution of drinking water or non-drinking water for supply or is the operator of a sewerage system or a stormwater drainage system. </w:t>
            </w:r>
          </w:p>
        </w:tc>
      </w:tr>
      <w:tr w:rsidR="009C0A5D" w:rsidRPr="00315CC1" w14:paraId="59CFEAF9" w14:textId="77777777" w:rsidTr="009C0A5D">
        <w:trPr>
          <w:tblHeader/>
        </w:trPr>
        <w:tc>
          <w:tcPr>
            <w:tcW w:w="1379" w:type="pct"/>
            <w:tcBorders>
              <w:top w:val="single" w:sz="4" w:space="0" w:color="184897"/>
              <w:bottom w:val="single" w:sz="4" w:space="0" w:color="184897"/>
            </w:tcBorders>
          </w:tcPr>
          <w:p w14:paraId="78989FDF" w14:textId="77777777" w:rsidR="009C0A5D" w:rsidRPr="00315CC1" w:rsidRDefault="009C0A5D" w:rsidP="00A8260C">
            <w:pPr>
              <w:pStyle w:val="TableBody"/>
              <w:jc w:val="both"/>
            </w:pPr>
            <w:r w:rsidRPr="00315CC1">
              <w:t>Performance Requirement</w:t>
            </w:r>
          </w:p>
        </w:tc>
        <w:tc>
          <w:tcPr>
            <w:tcW w:w="3621" w:type="pct"/>
            <w:tcBorders>
              <w:top w:val="single" w:sz="4" w:space="0" w:color="184897"/>
              <w:bottom w:val="single" w:sz="4" w:space="0" w:color="184897"/>
            </w:tcBorders>
          </w:tcPr>
          <w:p w14:paraId="123A18A3" w14:textId="77777777" w:rsidR="009C0A5D" w:rsidRPr="00315CC1" w:rsidRDefault="00BF0EB6" w:rsidP="00A8260C">
            <w:pPr>
              <w:pStyle w:val="TableBody"/>
              <w:jc w:val="both"/>
            </w:pPr>
            <w:r>
              <w:t>A</w:t>
            </w:r>
            <w:r w:rsidR="009C0A5D" w:rsidRPr="00315CC1">
              <w:t xml:space="preserve"> requirement which states the level of performance which a Performance Solution or Deemed-to-Satisfy Solution must meet.</w:t>
            </w:r>
          </w:p>
        </w:tc>
      </w:tr>
      <w:tr w:rsidR="009C0A5D" w:rsidRPr="00315CC1" w14:paraId="03263089" w14:textId="77777777" w:rsidTr="009C0A5D">
        <w:trPr>
          <w:tblHeader/>
        </w:trPr>
        <w:tc>
          <w:tcPr>
            <w:tcW w:w="1379" w:type="pct"/>
            <w:tcBorders>
              <w:top w:val="single" w:sz="4" w:space="0" w:color="184897"/>
              <w:bottom w:val="single" w:sz="4" w:space="0" w:color="184897"/>
            </w:tcBorders>
          </w:tcPr>
          <w:p w14:paraId="1876306B" w14:textId="77777777" w:rsidR="009C0A5D" w:rsidRPr="00315CC1" w:rsidRDefault="009C0A5D" w:rsidP="00A8260C">
            <w:pPr>
              <w:pStyle w:val="TableBody"/>
              <w:jc w:val="both"/>
            </w:pPr>
            <w:r w:rsidRPr="00315CC1">
              <w:t>Performance Solution</w:t>
            </w:r>
          </w:p>
        </w:tc>
        <w:tc>
          <w:tcPr>
            <w:tcW w:w="3621" w:type="pct"/>
            <w:tcBorders>
              <w:top w:val="single" w:sz="4" w:space="0" w:color="184897"/>
              <w:bottom w:val="single" w:sz="4" w:space="0" w:color="184897"/>
            </w:tcBorders>
          </w:tcPr>
          <w:p w14:paraId="092C4A2C" w14:textId="77777777" w:rsidR="009C0A5D" w:rsidRPr="00315CC1" w:rsidRDefault="00BF0EB6" w:rsidP="00A8260C">
            <w:pPr>
              <w:pStyle w:val="TableBody"/>
              <w:jc w:val="both"/>
            </w:pPr>
            <w:r>
              <w:t>A</w:t>
            </w:r>
            <w:r w:rsidR="009C0A5D" w:rsidRPr="00315CC1">
              <w:t xml:space="preserve"> method of complying with the Performance Requirements other than by a Deemed-to-Satisfy Solution. </w:t>
            </w:r>
          </w:p>
        </w:tc>
      </w:tr>
      <w:tr w:rsidR="005F75AF" w:rsidRPr="00315CC1" w14:paraId="40EB3E4C" w14:textId="77777777" w:rsidTr="009C0A5D">
        <w:trPr>
          <w:tblHeader/>
        </w:trPr>
        <w:tc>
          <w:tcPr>
            <w:tcW w:w="1379" w:type="pct"/>
            <w:tcBorders>
              <w:top w:val="single" w:sz="4" w:space="0" w:color="184897"/>
              <w:bottom w:val="single" w:sz="4" w:space="0" w:color="184897"/>
            </w:tcBorders>
          </w:tcPr>
          <w:p w14:paraId="6B20B43C" w14:textId="77777777" w:rsidR="005F75AF" w:rsidRPr="00315CC1" w:rsidRDefault="005F75AF" w:rsidP="00A8260C">
            <w:pPr>
              <w:pStyle w:val="TableBody"/>
              <w:jc w:val="both"/>
            </w:pPr>
            <w:r>
              <w:t>WaterMark Certification Scheme</w:t>
            </w:r>
          </w:p>
        </w:tc>
        <w:tc>
          <w:tcPr>
            <w:tcW w:w="3621" w:type="pct"/>
            <w:tcBorders>
              <w:top w:val="single" w:sz="4" w:space="0" w:color="184897"/>
              <w:bottom w:val="single" w:sz="4" w:space="0" w:color="184897"/>
            </w:tcBorders>
          </w:tcPr>
          <w:p w14:paraId="60AF520A" w14:textId="77777777" w:rsidR="005F75AF" w:rsidRPr="00315CC1" w:rsidRDefault="00BF0EB6" w:rsidP="00A8260C">
            <w:pPr>
              <w:pStyle w:val="TableBody"/>
              <w:jc w:val="both"/>
            </w:pPr>
            <w:r>
              <w:t>The</w:t>
            </w:r>
            <w:r w:rsidR="005F75AF">
              <w:t xml:space="preserve"> ABCB scheme for certifying and authorising plumbing and drainage products</w:t>
            </w:r>
            <w:r w:rsidR="003552EB">
              <w:t>.</w:t>
            </w:r>
            <w:r w:rsidR="005F75AF">
              <w:t xml:space="preserve"> </w:t>
            </w:r>
          </w:p>
        </w:tc>
      </w:tr>
      <w:tr w:rsidR="005F75AF" w:rsidRPr="00315CC1" w14:paraId="53EE9D8E" w14:textId="77777777" w:rsidTr="009C0A5D">
        <w:trPr>
          <w:tblHeader/>
        </w:trPr>
        <w:tc>
          <w:tcPr>
            <w:tcW w:w="1379" w:type="pct"/>
            <w:tcBorders>
              <w:top w:val="single" w:sz="4" w:space="0" w:color="184897"/>
              <w:bottom w:val="single" w:sz="4" w:space="0" w:color="184897"/>
            </w:tcBorders>
          </w:tcPr>
          <w:p w14:paraId="1BC1BC55" w14:textId="77777777" w:rsidR="005F75AF" w:rsidRDefault="005F75AF" w:rsidP="00577430">
            <w:pPr>
              <w:pStyle w:val="TableBody"/>
              <w:jc w:val="both"/>
            </w:pPr>
            <w:r>
              <w:t xml:space="preserve">Weighted </w:t>
            </w:r>
            <w:r w:rsidR="00577430">
              <w:t xml:space="preserve">average </w:t>
            </w:r>
          </w:p>
        </w:tc>
        <w:tc>
          <w:tcPr>
            <w:tcW w:w="3621" w:type="pct"/>
            <w:tcBorders>
              <w:top w:val="single" w:sz="4" w:space="0" w:color="184897"/>
              <w:bottom w:val="single" w:sz="4" w:space="0" w:color="184897"/>
            </w:tcBorders>
          </w:tcPr>
          <w:p w14:paraId="7262D0BB" w14:textId="77777777" w:rsidR="005F75AF" w:rsidRPr="005F75AF" w:rsidRDefault="005F75AF" w:rsidP="00996D01">
            <w:pPr>
              <w:rPr>
                <w:sz w:val="24"/>
                <w:szCs w:val="24"/>
              </w:rPr>
            </w:pPr>
            <w:r>
              <w:rPr>
                <w:sz w:val="24"/>
                <w:szCs w:val="24"/>
              </w:rPr>
              <w:t>C</w:t>
            </w:r>
            <w:r w:rsidRPr="00FC66F0">
              <w:rPr>
                <w:sz w:val="24"/>
                <w:szCs w:val="24"/>
              </w:rPr>
              <w:t xml:space="preserve">alculated across the wetted surface area of a pipe, pipe fitting and plumbing fixture. </w:t>
            </w:r>
          </w:p>
        </w:tc>
      </w:tr>
      <w:tr w:rsidR="005F75AF" w:rsidRPr="00315CC1" w14:paraId="650A5A23" w14:textId="77777777" w:rsidTr="009C0A5D">
        <w:trPr>
          <w:tblHeader/>
        </w:trPr>
        <w:tc>
          <w:tcPr>
            <w:tcW w:w="1379" w:type="pct"/>
            <w:tcBorders>
              <w:top w:val="single" w:sz="4" w:space="0" w:color="184897"/>
              <w:bottom w:val="single" w:sz="4" w:space="0" w:color="184897"/>
            </w:tcBorders>
          </w:tcPr>
          <w:p w14:paraId="041F21BD" w14:textId="77777777" w:rsidR="005F75AF" w:rsidRDefault="005F75AF" w:rsidP="00577430">
            <w:pPr>
              <w:pStyle w:val="TableBody"/>
              <w:jc w:val="both"/>
            </w:pPr>
            <w:r>
              <w:t xml:space="preserve">Wetted </w:t>
            </w:r>
            <w:r w:rsidR="00577430">
              <w:t>surface area</w:t>
            </w:r>
          </w:p>
        </w:tc>
        <w:tc>
          <w:tcPr>
            <w:tcW w:w="3621" w:type="pct"/>
            <w:tcBorders>
              <w:top w:val="single" w:sz="4" w:space="0" w:color="184897"/>
              <w:bottom w:val="single" w:sz="4" w:space="0" w:color="184897"/>
            </w:tcBorders>
          </w:tcPr>
          <w:p w14:paraId="395DF846" w14:textId="77777777" w:rsidR="005F75AF" w:rsidRPr="005F75AF" w:rsidRDefault="005F75AF" w:rsidP="00996D01">
            <w:pPr>
              <w:rPr>
                <w:sz w:val="24"/>
                <w:szCs w:val="24"/>
              </w:rPr>
            </w:pPr>
            <w:r>
              <w:rPr>
                <w:sz w:val="24"/>
                <w:szCs w:val="24"/>
              </w:rPr>
              <w:t>C</w:t>
            </w:r>
            <w:r w:rsidRPr="00FC66F0">
              <w:rPr>
                <w:sz w:val="24"/>
                <w:szCs w:val="24"/>
              </w:rPr>
              <w:t>alculated by the total sum of diameter (D) in contact with drinking water.</w:t>
            </w:r>
          </w:p>
        </w:tc>
      </w:tr>
    </w:tbl>
    <w:p w14:paraId="5930E035" w14:textId="77777777" w:rsidR="009C0A5D" w:rsidRDefault="009C0A5D" w:rsidP="009C0A5D">
      <w:pPr>
        <w:pStyle w:val="Heading1"/>
      </w:pPr>
      <w:r>
        <w:br w:type="page"/>
      </w:r>
    </w:p>
    <w:p w14:paraId="431635E2" w14:textId="56390616" w:rsidR="009C0A5D" w:rsidRPr="000B675B" w:rsidRDefault="009C0A5D" w:rsidP="0044535F">
      <w:pPr>
        <w:rPr>
          <w:color w:val="002060"/>
          <w:sz w:val="40"/>
          <w:szCs w:val="40"/>
        </w:rPr>
      </w:pPr>
      <w:bookmarkStart w:id="4" w:name="_Toc32229015"/>
      <w:bookmarkStart w:id="5" w:name="_Toc33098409"/>
      <w:bookmarkStart w:id="6" w:name="_Toc33098868"/>
      <w:r w:rsidRPr="000B675B">
        <w:rPr>
          <w:color w:val="002060"/>
          <w:sz w:val="40"/>
          <w:szCs w:val="40"/>
        </w:rPr>
        <w:lastRenderedPageBreak/>
        <w:t>Acronyms</w:t>
      </w:r>
      <w:bookmarkEnd w:id="4"/>
      <w:bookmarkEnd w:id="5"/>
      <w:bookmarkEnd w:id="6"/>
      <w:r w:rsidR="005F0ABE">
        <w:rPr>
          <w:color w:val="002060"/>
          <w:sz w:val="40"/>
          <w:szCs w:val="40"/>
        </w:rPr>
        <w:t xml:space="preserve"> and Abbreviations</w:t>
      </w:r>
    </w:p>
    <w:tbl>
      <w:tblPr>
        <w:tblStyle w:val="TableGrid1"/>
        <w:tblW w:w="50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lossary of abbreviations used in this document."/>
      </w:tblPr>
      <w:tblGrid>
        <w:gridCol w:w="2501"/>
        <w:gridCol w:w="6568"/>
      </w:tblGrid>
      <w:tr w:rsidR="009C0A5D" w:rsidRPr="00513B40" w14:paraId="76FBF044" w14:textId="77777777" w:rsidTr="00C21D51">
        <w:trPr>
          <w:tblHeader/>
        </w:trPr>
        <w:tc>
          <w:tcPr>
            <w:tcW w:w="1379" w:type="pct"/>
            <w:tcBorders>
              <w:bottom w:val="single" w:sz="4" w:space="0" w:color="184897"/>
            </w:tcBorders>
            <w:shd w:val="clear" w:color="auto" w:fill="184897"/>
          </w:tcPr>
          <w:p w14:paraId="461DF6C5" w14:textId="77777777" w:rsidR="009C0A5D" w:rsidRPr="00513B40" w:rsidRDefault="009C0A5D" w:rsidP="009C0A5D">
            <w:pPr>
              <w:pStyle w:val="TableHeading"/>
            </w:pPr>
            <w:r w:rsidRPr="00513B40">
              <w:t>Abbreviation</w:t>
            </w:r>
          </w:p>
        </w:tc>
        <w:tc>
          <w:tcPr>
            <w:tcW w:w="3621" w:type="pct"/>
            <w:tcBorders>
              <w:bottom w:val="single" w:sz="4" w:space="0" w:color="184897"/>
            </w:tcBorders>
            <w:shd w:val="clear" w:color="auto" w:fill="184897"/>
          </w:tcPr>
          <w:p w14:paraId="0690AAFA" w14:textId="77777777" w:rsidR="009C0A5D" w:rsidRPr="00513B40" w:rsidRDefault="009C0A5D" w:rsidP="009C0A5D">
            <w:pPr>
              <w:pStyle w:val="TableHeading"/>
            </w:pPr>
            <w:r w:rsidRPr="00513B40">
              <w:t>Full Name</w:t>
            </w:r>
          </w:p>
        </w:tc>
      </w:tr>
      <w:tr w:rsidR="009C0A5D" w:rsidRPr="00B32C56" w14:paraId="7B27B3B3" w14:textId="77777777" w:rsidTr="009C0A5D">
        <w:trPr>
          <w:cantSplit/>
        </w:trPr>
        <w:tc>
          <w:tcPr>
            <w:tcW w:w="1379" w:type="pct"/>
            <w:tcBorders>
              <w:top w:val="single" w:sz="4" w:space="0" w:color="184897"/>
              <w:bottom w:val="single" w:sz="4" w:space="0" w:color="184897"/>
            </w:tcBorders>
          </w:tcPr>
          <w:p w14:paraId="3A3D4A6D" w14:textId="77777777" w:rsidR="009C0A5D" w:rsidRPr="00B32C56" w:rsidRDefault="009C0A5D" w:rsidP="009C0A5D">
            <w:pPr>
              <w:pStyle w:val="TableBody"/>
            </w:pPr>
            <w:r w:rsidRPr="00B32C56">
              <w:t>ABCB</w:t>
            </w:r>
          </w:p>
        </w:tc>
        <w:tc>
          <w:tcPr>
            <w:tcW w:w="3621" w:type="pct"/>
            <w:tcBorders>
              <w:top w:val="single" w:sz="4" w:space="0" w:color="184897"/>
              <w:bottom w:val="single" w:sz="4" w:space="0" w:color="184897"/>
            </w:tcBorders>
          </w:tcPr>
          <w:p w14:paraId="5C5D1CD3" w14:textId="77777777" w:rsidR="009C0A5D" w:rsidRPr="00B32C56" w:rsidRDefault="009C0A5D" w:rsidP="009C0A5D">
            <w:pPr>
              <w:pStyle w:val="TableBody"/>
            </w:pPr>
            <w:r w:rsidRPr="00B32C56">
              <w:t>Australian Building Codes Board</w:t>
            </w:r>
          </w:p>
        </w:tc>
      </w:tr>
      <w:tr w:rsidR="00205BFC" w:rsidRPr="00B32C56" w14:paraId="4FD65B18" w14:textId="77777777" w:rsidTr="009C0A5D">
        <w:trPr>
          <w:cantSplit/>
        </w:trPr>
        <w:tc>
          <w:tcPr>
            <w:tcW w:w="1379" w:type="pct"/>
            <w:tcBorders>
              <w:top w:val="single" w:sz="4" w:space="0" w:color="184897"/>
              <w:bottom w:val="single" w:sz="4" w:space="0" w:color="184897"/>
            </w:tcBorders>
          </w:tcPr>
          <w:p w14:paraId="3D25CD31" w14:textId="77777777" w:rsidR="00205BFC" w:rsidRPr="00B32C56" w:rsidRDefault="00205BFC" w:rsidP="009C0A5D">
            <w:pPr>
              <w:pStyle w:val="TableBody"/>
            </w:pPr>
            <w:r>
              <w:t>ADWG</w:t>
            </w:r>
          </w:p>
        </w:tc>
        <w:tc>
          <w:tcPr>
            <w:tcW w:w="3621" w:type="pct"/>
            <w:tcBorders>
              <w:top w:val="single" w:sz="4" w:space="0" w:color="184897"/>
              <w:bottom w:val="single" w:sz="4" w:space="0" w:color="184897"/>
            </w:tcBorders>
          </w:tcPr>
          <w:p w14:paraId="6E3DB1AE" w14:textId="77777777" w:rsidR="00205BFC" w:rsidRPr="00B32C56" w:rsidRDefault="00205BFC" w:rsidP="009C0A5D">
            <w:pPr>
              <w:pStyle w:val="TableBody"/>
            </w:pPr>
            <w:r>
              <w:t>Australian Drinking Water Guidelines</w:t>
            </w:r>
          </w:p>
        </w:tc>
      </w:tr>
      <w:tr w:rsidR="00413DCC" w:rsidRPr="00B32C56" w14:paraId="2C265E62" w14:textId="77777777" w:rsidTr="009C0A5D">
        <w:trPr>
          <w:cantSplit/>
        </w:trPr>
        <w:tc>
          <w:tcPr>
            <w:tcW w:w="1379" w:type="pct"/>
            <w:tcBorders>
              <w:top w:val="single" w:sz="4" w:space="0" w:color="184897"/>
              <w:bottom w:val="single" w:sz="4" w:space="0" w:color="184897"/>
            </w:tcBorders>
          </w:tcPr>
          <w:p w14:paraId="3E4B8914" w14:textId="2752FBAD" w:rsidR="00413DCC" w:rsidRDefault="00413DCC" w:rsidP="009C0A5D">
            <w:pPr>
              <w:pStyle w:val="TableBody"/>
            </w:pPr>
            <w:r>
              <w:t>Ai Group</w:t>
            </w:r>
          </w:p>
        </w:tc>
        <w:tc>
          <w:tcPr>
            <w:tcW w:w="3621" w:type="pct"/>
            <w:tcBorders>
              <w:top w:val="single" w:sz="4" w:space="0" w:color="184897"/>
              <w:bottom w:val="single" w:sz="4" w:space="0" w:color="184897"/>
            </w:tcBorders>
          </w:tcPr>
          <w:p w14:paraId="72D68E84" w14:textId="5BA8858C" w:rsidR="00413DCC" w:rsidRDefault="00413DCC" w:rsidP="009C0A5D">
            <w:pPr>
              <w:pStyle w:val="TableBody"/>
            </w:pPr>
            <w:r>
              <w:t>Australian Industry Group</w:t>
            </w:r>
          </w:p>
        </w:tc>
      </w:tr>
      <w:tr w:rsidR="00F43521" w:rsidRPr="00B32C56" w14:paraId="17E54664" w14:textId="77777777" w:rsidTr="009C0A5D">
        <w:trPr>
          <w:cantSplit/>
        </w:trPr>
        <w:tc>
          <w:tcPr>
            <w:tcW w:w="1379" w:type="pct"/>
            <w:tcBorders>
              <w:top w:val="single" w:sz="4" w:space="0" w:color="184897"/>
              <w:bottom w:val="single" w:sz="4" w:space="0" w:color="184897"/>
            </w:tcBorders>
          </w:tcPr>
          <w:p w14:paraId="75AC7EDE" w14:textId="79B19F6B" w:rsidR="00F43521" w:rsidRDefault="00F43521" w:rsidP="009C0A5D">
            <w:pPr>
              <w:pStyle w:val="TableBody"/>
            </w:pPr>
            <w:r>
              <w:t>ANSI</w:t>
            </w:r>
          </w:p>
        </w:tc>
        <w:tc>
          <w:tcPr>
            <w:tcW w:w="3621" w:type="pct"/>
            <w:tcBorders>
              <w:top w:val="single" w:sz="4" w:space="0" w:color="184897"/>
              <w:bottom w:val="single" w:sz="4" w:space="0" w:color="184897"/>
            </w:tcBorders>
          </w:tcPr>
          <w:p w14:paraId="758C0694" w14:textId="2E9996DA" w:rsidR="00F43521" w:rsidRDefault="00EB55B1" w:rsidP="009C0A5D">
            <w:pPr>
              <w:pStyle w:val="TableBody"/>
            </w:pPr>
            <w:r>
              <w:t>American National Standards Institute</w:t>
            </w:r>
          </w:p>
        </w:tc>
      </w:tr>
      <w:tr w:rsidR="00EB55B1" w:rsidRPr="00B32C56" w14:paraId="3A7E7DCF" w14:textId="77777777" w:rsidTr="009C0A5D">
        <w:trPr>
          <w:cantSplit/>
        </w:trPr>
        <w:tc>
          <w:tcPr>
            <w:tcW w:w="1379" w:type="pct"/>
            <w:tcBorders>
              <w:top w:val="single" w:sz="4" w:space="0" w:color="184897"/>
              <w:bottom w:val="single" w:sz="4" w:space="0" w:color="184897"/>
            </w:tcBorders>
          </w:tcPr>
          <w:p w14:paraId="36DFC1FA" w14:textId="521B1DD6" w:rsidR="00EB55B1" w:rsidRDefault="00EB55B1" w:rsidP="009C0A5D">
            <w:pPr>
              <w:pStyle w:val="TableBody"/>
            </w:pPr>
            <w:r>
              <w:t>ARIMA</w:t>
            </w:r>
          </w:p>
        </w:tc>
        <w:tc>
          <w:tcPr>
            <w:tcW w:w="3621" w:type="pct"/>
            <w:tcBorders>
              <w:top w:val="single" w:sz="4" w:space="0" w:color="184897"/>
              <w:bottom w:val="single" w:sz="4" w:space="0" w:color="184897"/>
            </w:tcBorders>
          </w:tcPr>
          <w:p w14:paraId="41216DCF" w14:textId="64EB0660" w:rsidR="00EB55B1" w:rsidRDefault="00EB55B1" w:rsidP="009C0A5D">
            <w:pPr>
              <w:pStyle w:val="TableBody"/>
            </w:pPr>
            <w:r>
              <w:t>Australia Metal Recycling Industry Association</w:t>
            </w:r>
          </w:p>
        </w:tc>
      </w:tr>
      <w:tr w:rsidR="00205BFC" w:rsidRPr="00B32C56" w14:paraId="1901E81D" w14:textId="77777777" w:rsidTr="009C0A5D">
        <w:trPr>
          <w:cantSplit/>
        </w:trPr>
        <w:tc>
          <w:tcPr>
            <w:tcW w:w="1379" w:type="pct"/>
            <w:tcBorders>
              <w:top w:val="single" w:sz="4" w:space="0" w:color="184897"/>
              <w:bottom w:val="single" w:sz="4" w:space="0" w:color="184897"/>
            </w:tcBorders>
          </w:tcPr>
          <w:p w14:paraId="6ACDAFC7" w14:textId="77777777" w:rsidR="00205BFC" w:rsidRPr="00B32C56" w:rsidRDefault="00205BFC" w:rsidP="009C0A5D">
            <w:pPr>
              <w:pStyle w:val="TableBody"/>
            </w:pPr>
            <w:r>
              <w:t>AS</w:t>
            </w:r>
          </w:p>
        </w:tc>
        <w:tc>
          <w:tcPr>
            <w:tcW w:w="3621" w:type="pct"/>
            <w:tcBorders>
              <w:top w:val="single" w:sz="4" w:space="0" w:color="184897"/>
              <w:bottom w:val="single" w:sz="4" w:space="0" w:color="184897"/>
            </w:tcBorders>
          </w:tcPr>
          <w:p w14:paraId="6FDD548F" w14:textId="77777777" w:rsidR="00205BFC" w:rsidRPr="00B32C56" w:rsidRDefault="00205BFC" w:rsidP="009C0A5D">
            <w:pPr>
              <w:pStyle w:val="TableBody"/>
            </w:pPr>
            <w:r>
              <w:t>Australian Standard</w:t>
            </w:r>
          </w:p>
        </w:tc>
      </w:tr>
      <w:tr w:rsidR="00205BFC" w:rsidRPr="00B32C56" w14:paraId="76DEDD14" w14:textId="77777777" w:rsidTr="009C0A5D">
        <w:trPr>
          <w:cantSplit/>
        </w:trPr>
        <w:tc>
          <w:tcPr>
            <w:tcW w:w="1379" w:type="pct"/>
            <w:tcBorders>
              <w:top w:val="single" w:sz="4" w:space="0" w:color="184897"/>
              <w:bottom w:val="single" w:sz="4" w:space="0" w:color="184897"/>
            </w:tcBorders>
          </w:tcPr>
          <w:p w14:paraId="7932653E" w14:textId="77777777" w:rsidR="00205BFC" w:rsidRPr="00B32C56" w:rsidRDefault="00205BFC" w:rsidP="009C0A5D">
            <w:pPr>
              <w:pStyle w:val="TableBody"/>
            </w:pPr>
            <w:r>
              <w:t xml:space="preserve">AS/NZS </w:t>
            </w:r>
          </w:p>
        </w:tc>
        <w:tc>
          <w:tcPr>
            <w:tcW w:w="3621" w:type="pct"/>
            <w:tcBorders>
              <w:top w:val="single" w:sz="4" w:space="0" w:color="184897"/>
              <w:bottom w:val="single" w:sz="4" w:space="0" w:color="184897"/>
            </w:tcBorders>
          </w:tcPr>
          <w:p w14:paraId="1D62EB05" w14:textId="77777777" w:rsidR="00205BFC" w:rsidRPr="00B32C56" w:rsidRDefault="00205BFC" w:rsidP="009C0A5D">
            <w:pPr>
              <w:pStyle w:val="TableBody"/>
            </w:pPr>
            <w:r>
              <w:t>Australian and New Zealand Standard</w:t>
            </w:r>
          </w:p>
        </w:tc>
      </w:tr>
      <w:tr w:rsidR="00215764" w:rsidRPr="00B32C56" w14:paraId="6F95CC01" w14:textId="77777777" w:rsidTr="009C0A5D">
        <w:trPr>
          <w:cantSplit/>
        </w:trPr>
        <w:tc>
          <w:tcPr>
            <w:tcW w:w="1379" w:type="pct"/>
            <w:tcBorders>
              <w:top w:val="single" w:sz="4" w:space="0" w:color="184897"/>
              <w:bottom w:val="single" w:sz="4" w:space="0" w:color="184897"/>
            </w:tcBorders>
          </w:tcPr>
          <w:p w14:paraId="5ED4464B" w14:textId="77777777" w:rsidR="00215764" w:rsidRDefault="00215764" w:rsidP="009C0A5D">
            <w:pPr>
              <w:pStyle w:val="TableBody"/>
            </w:pPr>
            <w:r>
              <w:t>AWQC</w:t>
            </w:r>
          </w:p>
        </w:tc>
        <w:tc>
          <w:tcPr>
            <w:tcW w:w="3621" w:type="pct"/>
            <w:tcBorders>
              <w:top w:val="single" w:sz="4" w:space="0" w:color="184897"/>
              <w:bottom w:val="single" w:sz="4" w:space="0" w:color="184897"/>
            </w:tcBorders>
          </w:tcPr>
          <w:p w14:paraId="1099992B" w14:textId="77777777" w:rsidR="00215764" w:rsidRDefault="00215764" w:rsidP="009C0A5D">
            <w:pPr>
              <w:pStyle w:val="TableBody"/>
            </w:pPr>
            <w:r>
              <w:t>Australian Water Quality Centre</w:t>
            </w:r>
          </w:p>
        </w:tc>
      </w:tr>
      <w:tr w:rsidR="0003744F" w:rsidRPr="00B32C56" w14:paraId="205A266C" w14:textId="77777777" w:rsidTr="009C0A5D">
        <w:trPr>
          <w:cantSplit/>
        </w:trPr>
        <w:tc>
          <w:tcPr>
            <w:tcW w:w="1379" w:type="pct"/>
            <w:tcBorders>
              <w:top w:val="single" w:sz="4" w:space="0" w:color="184897"/>
              <w:bottom w:val="single" w:sz="4" w:space="0" w:color="184897"/>
            </w:tcBorders>
          </w:tcPr>
          <w:p w14:paraId="60C023D8" w14:textId="591F1F39" w:rsidR="0003744F" w:rsidRDefault="0003744F" w:rsidP="009C0A5D">
            <w:pPr>
              <w:pStyle w:val="TableBody"/>
            </w:pPr>
            <w:r>
              <w:t>CDA</w:t>
            </w:r>
          </w:p>
        </w:tc>
        <w:tc>
          <w:tcPr>
            <w:tcW w:w="3621" w:type="pct"/>
            <w:tcBorders>
              <w:top w:val="single" w:sz="4" w:space="0" w:color="184897"/>
              <w:bottom w:val="single" w:sz="4" w:space="0" w:color="184897"/>
            </w:tcBorders>
          </w:tcPr>
          <w:p w14:paraId="462BFB72" w14:textId="66C8D89B" w:rsidR="0003744F" w:rsidRDefault="004A3DE1" w:rsidP="00EB55B1">
            <w:pPr>
              <w:pStyle w:val="TableBody"/>
            </w:pPr>
            <w:r w:rsidRPr="004A3DE1">
              <w:rPr>
                <w:rFonts w:cs="Arial"/>
              </w:rPr>
              <w:t>Copper Development Association Inc</w:t>
            </w:r>
            <w:r>
              <w:rPr>
                <w:rFonts w:cs="Arial"/>
              </w:rPr>
              <w:t>orporated</w:t>
            </w:r>
            <w:r w:rsidR="00EB55B1">
              <w:rPr>
                <w:rFonts w:cs="Arial"/>
              </w:rPr>
              <w:t>, US</w:t>
            </w:r>
          </w:p>
        </w:tc>
      </w:tr>
      <w:tr w:rsidR="00F43521" w:rsidRPr="00B32C56" w14:paraId="7331A27C" w14:textId="77777777" w:rsidTr="009C0A5D">
        <w:trPr>
          <w:cantSplit/>
        </w:trPr>
        <w:tc>
          <w:tcPr>
            <w:tcW w:w="1379" w:type="pct"/>
            <w:tcBorders>
              <w:top w:val="single" w:sz="4" w:space="0" w:color="184897"/>
              <w:bottom w:val="single" w:sz="4" w:space="0" w:color="184897"/>
            </w:tcBorders>
          </w:tcPr>
          <w:p w14:paraId="2333DA88" w14:textId="436F1FAF" w:rsidR="00F43521" w:rsidRDefault="00F43521" w:rsidP="009C0A5D">
            <w:pPr>
              <w:pStyle w:val="TableBody"/>
            </w:pPr>
            <w:r>
              <w:t>CHO</w:t>
            </w:r>
          </w:p>
        </w:tc>
        <w:tc>
          <w:tcPr>
            <w:tcW w:w="3621" w:type="pct"/>
            <w:tcBorders>
              <w:top w:val="single" w:sz="4" w:space="0" w:color="184897"/>
              <w:bottom w:val="single" w:sz="4" w:space="0" w:color="184897"/>
            </w:tcBorders>
          </w:tcPr>
          <w:p w14:paraId="175356B2" w14:textId="50DCC9DA" w:rsidR="00F43521" w:rsidRPr="004A3DE1" w:rsidRDefault="00F43521" w:rsidP="009C0A5D">
            <w:pPr>
              <w:pStyle w:val="TableBody"/>
              <w:rPr>
                <w:rFonts w:cs="Arial"/>
              </w:rPr>
            </w:pPr>
            <w:r>
              <w:rPr>
                <w:rFonts w:cs="Arial"/>
              </w:rPr>
              <w:t>Chief Health Officer</w:t>
            </w:r>
          </w:p>
        </w:tc>
      </w:tr>
      <w:tr w:rsidR="009C0A5D" w:rsidRPr="00B32C56" w14:paraId="78CF9D6D" w14:textId="77777777" w:rsidTr="009C0A5D">
        <w:trPr>
          <w:cantSplit/>
        </w:trPr>
        <w:tc>
          <w:tcPr>
            <w:tcW w:w="1379" w:type="pct"/>
            <w:tcBorders>
              <w:top w:val="single" w:sz="4" w:space="0" w:color="184897"/>
              <w:bottom w:val="single" w:sz="4" w:space="0" w:color="184897"/>
            </w:tcBorders>
          </w:tcPr>
          <w:p w14:paraId="1F2EDBFD" w14:textId="77777777" w:rsidR="009C0A5D" w:rsidRPr="00B32C56" w:rsidRDefault="009C0A5D" w:rsidP="009C0A5D">
            <w:pPr>
              <w:pStyle w:val="TableBody"/>
            </w:pPr>
            <w:r w:rsidRPr="00B32C56">
              <w:t>COAG</w:t>
            </w:r>
          </w:p>
        </w:tc>
        <w:tc>
          <w:tcPr>
            <w:tcW w:w="3621" w:type="pct"/>
            <w:tcBorders>
              <w:top w:val="single" w:sz="4" w:space="0" w:color="184897"/>
              <w:bottom w:val="single" w:sz="4" w:space="0" w:color="184897"/>
            </w:tcBorders>
          </w:tcPr>
          <w:p w14:paraId="63BA2FFB" w14:textId="77777777" w:rsidR="009C0A5D" w:rsidRPr="00B32C56" w:rsidRDefault="009C0A5D" w:rsidP="009C0A5D">
            <w:pPr>
              <w:pStyle w:val="TableBody"/>
            </w:pPr>
            <w:r w:rsidRPr="00B32C56">
              <w:t>Council of Australian Governments</w:t>
            </w:r>
          </w:p>
        </w:tc>
      </w:tr>
      <w:tr w:rsidR="000F270D" w:rsidRPr="00B32C56" w14:paraId="3739A21B" w14:textId="77777777" w:rsidTr="009C0A5D">
        <w:trPr>
          <w:cantSplit/>
        </w:trPr>
        <w:tc>
          <w:tcPr>
            <w:tcW w:w="1379" w:type="pct"/>
            <w:tcBorders>
              <w:top w:val="single" w:sz="4" w:space="0" w:color="184897"/>
              <w:bottom w:val="single" w:sz="4" w:space="0" w:color="184897"/>
            </w:tcBorders>
          </w:tcPr>
          <w:p w14:paraId="4FD7585B" w14:textId="77777777" w:rsidR="000F270D" w:rsidRPr="00B32C56" w:rsidRDefault="000F270D" w:rsidP="009C0A5D">
            <w:pPr>
              <w:pStyle w:val="TableBody"/>
            </w:pPr>
            <w:r>
              <w:t>DALY</w:t>
            </w:r>
          </w:p>
        </w:tc>
        <w:tc>
          <w:tcPr>
            <w:tcW w:w="3621" w:type="pct"/>
            <w:tcBorders>
              <w:top w:val="single" w:sz="4" w:space="0" w:color="184897"/>
              <w:bottom w:val="single" w:sz="4" w:space="0" w:color="184897"/>
            </w:tcBorders>
          </w:tcPr>
          <w:p w14:paraId="13657B58" w14:textId="77777777" w:rsidR="000F270D" w:rsidRPr="00B32C56" w:rsidRDefault="000F270D" w:rsidP="009C0A5D">
            <w:pPr>
              <w:pStyle w:val="TableBody"/>
            </w:pPr>
            <w:r>
              <w:t>Disability Adjusted Life Year</w:t>
            </w:r>
          </w:p>
        </w:tc>
      </w:tr>
      <w:tr w:rsidR="005F0ABE" w:rsidRPr="00B32C56" w14:paraId="4EDDC958" w14:textId="77777777" w:rsidTr="009C0A5D">
        <w:trPr>
          <w:cantSplit/>
        </w:trPr>
        <w:tc>
          <w:tcPr>
            <w:tcW w:w="1379" w:type="pct"/>
            <w:tcBorders>
              <w:top w:val="single" w:sz="4" w:space="0" w:color="184897"/>
              <w:bottom w:val="single" w:sz="4" w:space="0" w:color="184897"/>
            </w:tcBorders>
          </w:tcPr>
          <w:p w14:paraId="7176FE00" w14:textId="6D46C06F" w:rsidR="005F0ABE" w:rsidRDefault="005F0ABE" w:rsidP="009C0A5D">
            <w:pPr>
              <w:pStyle w:val="TableBody"/>
            </w:pPr>
            <w:r>
              <w:t>dL</w:t>
            </w:r>
          </w:p>
        </w:tc>
        <w:tc>
          <w:tcPr>
            <w:tcW w:w="3621" w:type="pct"/>
            <w:tcBorders>
              <w:top w:val="single" w:sz="4" w:space="0" w:color="184897"/>
              <w:bottom w:val="single" w:sz="4" w:space="0" w:color="184897"/>
            </w:tcBorders>
          </w:tcPr>
          <w:p w14:paraId="7CFB46F3" w14:textId="3170BA6D" w:rsidR="005F0ABE" w:rsidRDefault="005F0ABE" w:rsidP="009C0A5D">
            <w:pPr>
              <w:pStyle w:val="TableBody"/>
            </w:pPr>
            <w:r w:rsidRPr="005F0ABE">
              <w:t>Deciliter</w:t>
            </w:r>
          </w:p>
        </w:tc>
      </w:tr>
      <w:tr w:rsidR="009C0A5D" w:rsidRPr="00B32C56" w14:paraId="21F9A235" w14:textId="77777777" w:rsidTr="009C0A5D">
        <w:trPr>
          <w:cantSplit/>
        </w:trPr>
        <w:tc>
          <w:tcPr>
            <w:tcW w:w="1379" w:type="pct"/>
            <w:tcBorders>
              <w:top w:val="single" w:sz="4" w:space="0" w:color="184897"/>
              <w:bottom w:val="single" w:sz="4" w:space="0" w:color="184897"/>
            </w:tcBorders>
          </w:tcPr>
          <w:p w14:paraId="390CB60F" w14:textId="77777777" w:rsidR="009C0A5D" w:rsidRPr="00B32C56" w:rsidRDefault="009C0A5D" w:rsidP="009C0A5D">
            <w:pPr>
              <w:pStyle w:val="TableBody"/>
            </w:pPr>
            <w:r>
              <w:t>DTS</w:t>
            </w:r>
          </w:p>
        </w:tc>
        <w:tc>
          <w:tcPr>
            <w:tcW w:w="3621" w:type="pct"/>
            <w:tcBorders>
              <w:top w:val="single" w:sz="4" w:space="0" w:color="184897"/>
              <w:bottom w:val="single" w:sz="4" w:space="0" w:color="184897"/>
            </w:tcBorders>
          </w:tcPr>
          <w:p w14:paraId="37B12588" w14:textId="77777777" w:rsidR="009C0A5D" w:rsidRPr="00B32C56" w:rsidRDefault="009C0A5D" w:rsidP="009C0A5D">
            <w:pPr>
              <w:pStyle w:val="TableBody"/>
            </w:pPr>
            <w:r>
              <w:t>Deemed-to-Satisfy</w:t>
            </w:r>
          </w:p>
        </w:tc>
      </w:tr>
      <w:tr w:rsidR="00FE62EB" w:rsidRPr="00B32C56" w14:paraId="4099D5A9" w14:textId="77777777" w:rsidTr="009C0A5D">
        <w:trPr>
          <w:cantSplit/>
        </w:trPr>
        <w:tc>
          <w:tcPr>
            <w:tcW w:w="1379" w:type="pct"/>
            <w:tcBorders>
              <w:top w:val="single" w:sz="4" w:space="0" w:color="184897"/>
              <w:bottom w:val="single" w:sz="4" w:space="0" w:color="184897"/>
            </w:tcBorders>
          </w:tcPr>
          <w:p w14:paraId="00D08FE4" w14:textId="77777777" w:rsidR="00FE62EB" w:rsidRDefault="00FE62EB" w:rsidP="009C0A5D">
            <w:pPr>
              <w:pStyle w:val="TableBody"/>
            </w:pPr>
            <w:r>
              <w:t>EPA</w:t>
            </w:r>
          </w:p>
        </w:tc>
        <w:tc>
          <w:tcPr>
            <w:tcW w:w="3621" w:type="pct"/>
            <w:tcBorders>
              <w:top w:val="single" w:sz="4" w:space="0" w:color="184897"/>
              <w:bottom w:val="single" w:sz="4" w:space="0" w:color="184897"/>
            </w:tcBorders>
          </w:tcPr>
          <w:p w14:paraId="5C2CDFFD" w14:textId="77777777" w:rsidR="00FE62EB" w:rsidRDefault="00FE62EB" w:rsidP="009C0A5D">
            <w:pPr>
              <w:pStyle w:val="TableBody"/>
            </w:pPr>
            <w:r>
              <w:t>Environmental Protection Agency (US)</w:t>
            </w:r>
          </w:p>
        </w:tc>
      </w:tr>
      <w:tr w:rsidR="00EB55B1" w:rsidRPr="00B32C56" w14:paraId="5B750EFF" w14:textId="77777777" w:rsidTr="009C0A5D">
        <w:trPr>
          <w:cantSplit/>
        </w:trPr>
        <w:tc>
          <w:tcPr>
            <w:tcW w:w="1379" w:type="pct"/>
            <w:tcBorders>
              <w:top w:val="single" w:sz="4" w:space="0" w:color="184897"/>
              <w:bottom w:val="single" w:sz="4" w:space="0" w:color="184897"/>
            </w:tcBorders>
          </w:tcPr>
          <w:p w14:paraId="3BF762BA" w14:textId="21AE19F0" w:rsidR="00EB55B1" w:rsidRDefault="00EB55B1" w:rsidP="009C0A5D">
            <w:pPr>
              <w:pStyle w:val="TableBody"/>
            </w:pPr>
            <w:r>
              <w:t>FAO</w:t>
            </w:r>
          </w:p>
        </w:tc>
        <w:tc>
          <w:tcPr>
            <w:tcW w:w="3621" w:type="pct"/>
            <w:tcBorders>
              <w:top w:val="single" w:sz="4" w:space="0" w:color="184897"/>
              <w:bottom w:val="single" w:sz="4" w:space="0" w:color="184897"/>
            </w:tcBorders>
          </w:tcPr>
          <w:p w14:paraId="1C9356C9" w14:textId="683C334B" w:rsidR="00EB55B1" w:rsidRDefault="00EB55B1" w:rsidP="009C0A5D">
            <w:pPr>
              <w:pStyle w:val="TableBody"/>
            </w:pPr>
            <w:r>
              <w:t>Food and Agriculture Organisation</w:t>
            </w:r>
          </w:p>
        </w:tc>
      </w:tr>
      <w:tr w:rsidR="00714B99" w:rsidRPr="00B32C56" w14:paraId="051BBEFA" w14:textId="77777777" w:rsidTr="009C0A5D">
        <w:trPr>
          <w:cantSplit/>
        </w:trPr>
        <w:tc>
          <w:tcPr>
            <w:tcW w:w="1379" w:type="pct"/>
            <w:tcBorders>
              <w:top w:val="single" w:sz="4" w:space="0" w:color="184897"/>
              <w:bottom w:val="single" w:sz="4" w:space="0" w:color="184897"/>
            </w:tcBorders>
          </w:tcPr>
          <w:p w14:paraId="68A69726" w14:textId="77777777" w:rsidR="00714B99" w:rsidRDefault="00714B99" w:rsidP="009C0A5D">
            <w:pPr>
              <w:pStyle w:val="TableBody"/>
            </w:pPr>
            <w:r>
              <w:t>FPAA</w:t>
            </w:r>
          </w:p>
        </w:tc>
        <w:tc>
          <w:tcPr>
            <w:tcW w:w="3621" w:type="pct"/>
            <w:tcBorders>
              <w:top w:val="single" w:sz="4" w:space="0" w:color="184897"/>
              <w:bottom w:val="single" w:sz="4" w:space="0" w:color="184897"/>
            </w:tcBorders>
          </w:tcPr>
          <w:p w14:paraId="5A017614" w14:textId="77777777" w:rsidR="00714B99" w:rsidRDefault="00714B99" w:rsidP="009C0A5D">
            <w:pPr>
              <w:pStyle w:val="TableBody"/>
            </w:pPr>
            <w:r>
              <w:t>Fire Protection Association Australia</w:t>
            </w:r>
          </w:p>
        </w:tc>
      </w:tr>
      <w:tr w:rsidR="00EB55B1" w:rsidRPr="00B32C56" w14:paraId="0BD4D71D" w14:textId="77777777" w:rsidTr="009C0A5D">
        <w:trPr>
          <w:cantSplit/>
        </w:trPr>
        <w:tc>
          <w:tcPr>
            <w:tcW w:w="1379" w:type="pct"/>
            <w:tcBorders>
              <w:top w:val="single" w:sz="4" w:space="0" w:color="184897"/>
              <w:bottom w:val="single" w:sz="4" w:space="0" w:color="184897"/>
            </w:tcBorders>
          </w:tcPr>
          <w:p w14:paraId="1F7EE2FE" w14:textId="7E8389F1" w:rsidR="00EB55B1" w:rsidRDefault="00EB55B1" w:rsidP="009C0A5D">
            <w:pPr>
              <w:pStyle w:val="TableBody"/>
            </w:pPr>
            <w:r>
              <w:t>GBD</w:t>
            </w:r>
          </w:p>
        </w:tc>
        <w:tc>
          <w:tcPr>
            <w:tcW w:w="3621" w:type="pct"/>
            <w:tcBorders>
              <w:top w:val="single" w:sz="4" w:space="0" w:color="184897"/>
              <w:bottom w:val="single" w:sz="4" w:space="0" w:color="184897"/>
            </w:tcBorders>
          </w:tcPr>
          <w:p w14:paraId="61D6E324" w14:textId="5A681A84" w:rsidR="00EB55B1" w:rsidRDefault="00EB55B1" w:rsidP="009C0A5D">
            <w:pPr>
              <w:pStyle w:val="TableBody"/>
            </w:pPr>
            <w:r>
              <w:t>Global Burden of Disease</w:t>
            </w:r>
          </w:p>
        </w:tc>
      </w:tr>
      <w:tr w:rsidR="00413DCC" w:rsidRPr="00B32C56" w14:paraId="3B1419B0" w14:textId="77777777" w:rsidTr="009C0A5D">
        <w:trPr>
          <w:cantSplit/>
        </w:trPr>
        <w:tc>
          <w:tcPr>
            <w:tcW w:w="1379" w:type="pct"/>
            <w:tcBorders>
              <w:top w:val="single" w:sz="4" w:space="0" w:color="184897"/>
              <w:bottom w:val="single" w:sz="4" w:space="0" w:color="184897"/>
            </w:tcBorders>
          </w:tcPr>
          <w:p w14:paraId="5B242D71" w14:textId="1411AA9D" w:rsidR="00413DCC" w:rsidRDefault="00413DCC" w:rsidP="009C0A5D">
            <w:pPr>
              <w:pStyle w:val="TableBody"/>
            </w:pPr>
            <w:r>
              <w:t>HIA</w:t>
            </w:r>
          </w:p>
        </w:tc>
        <w:tc>
          <w:tcPr>
            <w:tcW w:w="3621" w:type="pct"/>
            <w:tcBorders>
              <w:top w:val="single" w:sz="4" w:space="0" w:color="184897"/>
              <w:bottom w:val="single" w:sz="4" w:space="0" w:color="184897"/>
            </w:tcBorders>
          </w:tcPr>
          <w:p w14:paraId="15F03453" w14:textId="56DFFE8F" w:rsidR="00413DCC" w:rsidRDefault="00413DCC" w:rsidP="009C0A5D">
            <w:pPr>
              <w:pStyle w:val="TableBody"/>
            </w:pPr>
            <w:r>
              <w:t>Housing Industry Association</w:t>
            </w:r>
          </w:p>
        </w:tc>
      </w:tr>
      <w:tr w:rsidR="00413DCC" w:rsidRPr="00B32C56" w14:paraId="5965CDC3" w14:textId="77777777" w:rsidTr="009C0A5D">
        <w:trPr>
          <w:cantSplit/>
        </w:trPr>
        <w:tc>
          <w:tcPr>
            <w:tcW w:w="1379" w:type="pct"/>
            <w:tcBorders>
              <w:top w:val="single" w:sz="4" w:space="0" w:color="184897"/>
              <w:bottom w:val="single" w:sz="4" w:space="0" w:color="184897"/>
            </w:tcBorders>
          </w:tcPr>
          <w:p w14:paraId="3DBF2272" w14:textId="598D059C" w:rsidR="00413DCC" w:rsidRDefault="00413DCC" w:rsidP="009C0A5D">
            <w:pPr>
              <w:pStyle w:val="TableBody"/>
            </w:pPr>
            <w:r>
              <w:t>ICAA</w:t>
            </w:r>
          </w:p>
        </w:tc>
        <w:tc>
          <w:tcPr>
            <w:tcW w:w="3621" w:type="pct"/>
            <w:tcBorders>
              <w:top w:val="single" w:sz="4" w:space="0" w:color="184897"/>
              <w:bottom w:val="single" w:sz="4" w:space="0" w:color="184897"/>
            </w:tcBorders>
          </w:tcPr>
          <w:p w14:paraId="68993A7D" w14:textId="343304FD" w:rsidR="00413DCC" w:rsidRDefault="00413DCC" w:rsidP="009C0A5D">
            <w:pPr>
              <w:pStyle w:val="TableBody"/>
            </w:pPr>
            <w:r>
              <w:t>International Copper Association Australia</w:t>
            </w:r>
          </w:p>
        </w:tc>
      </w:tr>
      <w:tr w:rsidR="00714B99" w:rsidRPr="00B32C56" w14:paraId="2052CC6C" w14:textId="77777777" w:rsidTr="009C0A5D">
        <w:trPr>
          <w:cantSplit/>
        </w:trPr>
        <w:tc>
          <w:tcPr>
            <w:tcW w:w="1379" w:type="pct"/>
            <w:tcBorders>
              <w:top w:val="single" w:sz="4" w:space="0" w:color="184897"/>
              <w:bottom w:val="single" w:sz="4" w:space="0" w:color="184897"/>
            </w:tcBorders>
          </w:tcPr>
          <w:p w14:paraId="147A2AE7" w14:textId="77777777" w:rsidR="00714B99" w:rsidRDefault="00714B99" w:rsidP="009C0A5D">
            <w:pPr>
              <w:pStyle w:val="TableBody"/>
            </w:pPr>
            <w:r>
              <w:t>IGA</w:t>
            </w:r>
          </w:p>
        </w:tc>
        <w:tc>
          <w:tcPr>
            <w:tcW w:w="3621" w:type="pct"/>
            <w:tcBorders>
              <w:top w:val="single" w:sz="4" w:space="0" w:color="184897"/>
              <w:bottom w:val="single" w:sz="4" w:space="0" w:color="184897"/>
            </w:tcBorders>
          </w:tcPr>
          <w:p w14:paraId="2DCCAE98" w14:textId="77777777" w:rsidR="00714B99" w:rsidRDefault="00714B99" w:rsidP="009C0A5D">
            <w:pPr>
              <w:pStyle w:val="TableBody"/>
            </w:pPr>
            <w:r>
              <w:t>Intergovernmental Agreement</w:t>
            </w:r>
          </w:p>
        </w:tc>
      </w:tr>
      <w:tr w:rsidR="00EB55B1" w:rsidRPr="00B32C56" w14:paraId="28E725E9" w14:textId="77777777" w:rsidTr="009C0A5D">
        <w:trPr>
          <w:cantSplit/>
        </w:trPr>
        <w:tc>
          <w:tcPr>
            <w:tcW w:w="1379" w:type="pct"/>
            <w:tcBorders>
              <w:top w:val="single" w:sz="4" w:space="0" w:color="184897"/>
              <w:bottom w:val="single" w:sz="4" w:space="0" w:color="184897"/>
            </w:tcBorders>
          </w:tcPr>
          <w:p w14:paraId="41AC50EE" w14:textId="48077A72" w:rsidR="00EB55B1" w:rsidRDefault="00EB55B1" w:rsidP="009C0A5D">
            <w:pPr>
              <w:pStyle w:val="TableBody"/>
            </w:pPr>
            <w:r>
              <w:t>IHME</w:t>
            </w:r>
          </w:p>
        </w:tc>
        <w:tc>
          <w:tcPr>
            <w:tcW w:w="3621" w:type="pct"/>
            <w:tcBorders>
              <w:top w:val="single" w:sz="4" w:space="0" w:color="184897"/>
              <w:bottom w:val="single" w:sz="4" w:space="0" w:color="184897"/>
            </w:tcBorders>
          </w:tcPr>
          <w:p w14:paraId="0AA9A337" w14:textId="32F382E8" w:rsidR="00EB55B1" w:rsidRDefault="00EB55B1" w:rsidP="009C0A5D">
            <w:pPr>
              <w:pStyle w:val="TableBody"/>
            </w:pPr>
            <w:r>
              <w:t xml:space="preserve">Institute of Health Metrics and Evaluation </w:t>
            </w:r>
          </w:p>
        </w:tc>
      </w:tr>
      <w:tr w:rsidR="009C0A5D" w:rsidRPr="00B32C56" w14:paraId="50D7AA19" w14:textId="77777777" w:rsidTr="009C0A5D">
        <w:trPr>
          <w:cantSplit/>
        </w:trPr>
        <w:tc>
          <w:tcPr>
            <w:tcW w:w="1379" w:type="pct"/>
            <w:tcBorders>
              <w:top w:val="single" w:sz="4" w:space="0" w:color="184897"/>
              <w:bottom w:val="single" w:sz="4" w:space="0" w:color="184897"/>
            </w:tcBorders>
          </w:tcPr>
          <w:p w14:paraId="2378FE7D" w14:textId="77777777" w:rsidR="009C0A5D" w:rsidRDefault="009C0A5D" w:rsidP="009C0A5D">
            <w:pPr>
              <w:pStyle w:val="TableBody"/>
            </w:pPr>
            <w:r>
              <w:t>IRCC</w:t>
            </w:r>
          </w:p>
        </w:tc>
        <w:tc>
          <w:tcPr>
            <w:tcW w:w="3621" w:type="pct"/>
            <w:tcBorders>
              <w:top w:val="single" w:sz="4" w:space="0" w:color="184897"/>
              <w:bottom w:val="single" w:sz="4" w:space="0" w:color="184897"/>
            </w:tcBorders>
          </w:tcPr>
          <w:p w14:paraId="73C7BE2D" w14:textId="77777777" w:rsidR="009C0A5D" w:rsidRDefault="009C0A5D" w:rsidP="009C0A5D">
            <w:pPr>
              <w:pStyle w:val="TableBody"/>
            </w:pPr>
            <w:r w:rsidRPr="00D24284">
              <w:t>Inter-jurisdictional Regulatory Collaboration Committee</w:t>
            </w:r>
          </w:p>
        </w:tc>
      </w:tr>
      <w:tr w:rsidR="009C0A5D" w:rsidRPr="00B32C56" w14:paraId="687B76B5" w14:textId="77777777" w:rsidTr="009C0A5D">
        <w:trPr>
          <w:cantSplit/>
        </w:trPr>
        <w:tc>
          <w:tcPr>
            <w:tcW w:w="1379" w:type="pct"/>
            <w:tcBorders>
              <w:top w:val="single" w:sz="4" w:space="0" w:color="184897"/>
              <w:bottom w:val="single" w:sz="4" w:space="0" w:color="184897"/>
            </w:tcBorders>
          </w:tcPr>
          <w:p w14:paraId="7CA574B1" w14:textId="77777777" w:rsidR="009C0A5D" w:rsidRPr="00B32C56" w:rsidRDefault="009C0A5D" w:rsidP="009C0A5D">
            <w:pPr>
              <w:pStyle w:val="TableBody"/>
            </w:pPr>
            <w:r w:rsidRPr="00B32C56">
              <w:t>JAS-ANZ</w:t>
            </w:r>
          </w:p>
        </w:tc>
        <w:tc>
          <w:tcPr>
            <w:tcW w:w="3621" w:type="pct"/>
            <w:tcBorders>
              <w:top w:val="single" w:sz="4" w:space="0" w:color="184897"/>
              <w:bottom w:val="single" w:sz="4" w:space="0" w:color="184897"/>
            </w:tcBorders>
          </w:tcPr>
          <w:p w14:paraId="727AB4EA" w14:textId="77777777" w:rsidR="009C0A5D" w:rsidRPr="00B32C56" w:rsidRDefault="009C0A5D" w:rsidP="009C0A5D">
            <w:pPr>
              <w:pStyle w:val="TableBody"/>
            </w:pPr>
            <w:r w:rsidRPr="00B32C56">
              <w:t>Joint Accreditation System of Australia and New Zealand</w:t>
            </w:r>
          </w:p>
        </w:tc>
      </w:tr>
      <w:tr w:rsidR="00814644" w:rsidRPr="00B32C56" w14:paraId="4D464460" w14:textId="77777777" w:rsidTr="009C0A5D">
        <w:trPr>
          <w:cantSplit/>
        </w:trPr>
        <w:tc>
          <w:tcPr>
            <w:tcW w:w="1379" w:type="pct"/>
            <w:tcBorders>
              <w:top w:val="single" w:sz="4" w:space="0" w:color="184897"/>
              <w:bottom w:val="single" w:sz="4" w:space="0" w:color="184897"/>
            </w:tcBorders>
          </w:tcPr>
          <w:p w14:paraId="6A2F94CA" w14:textId="78C55CB9" w:rsidR="00814644" w:rsidRPr="00B32C56" w:rsidRDefault="00814644" w:rsidP="009C0A5D">
            <w:pPr>
              <w:pStyle w:val="TableBody"/>
            </w:pPr>
            <w:r>
              <w:t>MCLG</w:t>
            </w:r>
          </w:p>
        </w:tc>
        <w:tc>
          <w:tcPr>
            <w:tcW w:w="3621" w:type="pct"/>
            <w:tcBorders>
              <w:top w:val="single" w:sz="4" w:space="0" w:color="184897"/>
              <w:bottom w:val="single" w:sz="4" w:space="0" w:color="184897"/>
            </w:tcBorders>
          </w:tcPr>
          <w:p w14:paraId="3E6BEBEA" w14:textId="11624490" w:rsidR="00814644" w:rsidRPr="00B32C56" w:rsidRDefault="00814644" w:rsidP="009C0A5D">
            <w:pPr>
              <w:pStyle w:val="TableBody"/>
            </w:pPr>
            <w:r>
              <w:t>Maximum Contamination Level Goal</w:t>
            </w:r>
          </w:p>
        </w:tc>
      </w:tr>
      <w:tr w:rsidR="009C0A5D" w:rsidRPr="00B32C56" w14:paraId="27E7639A" w14:textId="77777777" w:rsidTr="009C0A5D">
        <w:trPr>
          <w:cantSplit/>
        </w:trPr>
        <w:tc>
          <w:tcPr>
            <w:tcW w:w="1379" w:type="pct"/>
            <w:tcBorders>
              <w:top w:val="single" w:sz="4" w:space="0" w:color="184897"/>
              <w:bottom w:val="single" w:sz="4" w:space="0" w:color="184897"/>
            </w:tcBorders>
          </w:tcPr>
          <w:p w14:paraId="6385E7C7" w14:textId="77777777" w:rsidR="009C0A5D" w:rsidRPr="00B32C56" w:rsidRDefault="009C0A5D" w:rsidP="009C0A5D">
            <w:pPr>
              <w:pStyle w:val="TableBody"/>
            </w:pPr>
            <w:r w:rsidRPr="00B32C56">
              <w:t>NCC</w:t>
            </w:r>
          </w:p>
        </w:tc>
        <w:tc>
          <w:tcPr>
            <w:tcW w:w="3621" w:type="pct"/>
            <w:tcBorders>
              <w:top w:val="single" w:sz="4" w:space="0" w:color="184897"/>
              <w:bottom w:val="single" w:sz="4" w:space="0" w:color="184897"/>
            </w:tcBorders>
          </w:tcPr>
          <w:p w14:paraId="231997F5" w14:textId="77777777" w:rsidR="009C0A5D" w:rsidRPr="00B32C56" w:rsidRDefault="009C0A5D" w:rsidP="009C0A5D">
            <w:pPr>
              <w:pStyle w:val="TableBody"/>
            </w:pPr>
            <w:r w:rsidRPr="00B32C56">
              <w:t>National Construction Code</w:t>
            </w:r>
          </w:p>
        </w:tc>
      </w:tr>
      <w:tr w:rsidR="00205BFC" w:rsidRPr="00B32C56" w14:paraId="0230A098" w14:textId="77777777" w:rsidTr="009C0A5D">
        <w:trPr>
          <w:cantSplit/>
        </w:trPr>
        <w:tc>
          <w:tcPr>
            <w:tcW w:w="1379" w:type="pct"/>
            <w:tcBorders>
              <w:top w:val="single" w:sz="4" w:space="0" w:color="184897"/>
              <w:bottom w:val="single" w:sz="4" w:space="0" w:color="184897"/>
            </w:tcBorders>
          </w:tcPr>
          <w:p w14:paraId="72E4DD5D" w14:textId="77777777" w:rsidR="00205BFC" w:rsidRPr="00B32C56" w:rsidRDefault="00205BFC" w:rsidP="009C0A5D">
            <w:pPr>
              <w:pStyle w:val="TableBody"/>
            </w:pPr>
            <w:r>
              <w:t>NHMRC</w:t>
            </w:r>
          </w:p>
        </w:tc>
        <w:tc>
          <w:tcPr>
            <w:tcW w:w="3621" w:type="pct"/>
            <w:tcBorders>
              <w:top w:val="single" w:sz="4" w:space="0" w:color="184897"/>
              <w:bottom w:val="single" w:sz="4" w:space="0" w:color="184897"/>
            </w:tcBorders>
          </w:tcPr>
          <w:p w14:paraId="510D317E" w14:textId="77777777" w:rsidR="00205BFC" w:rsidRPr="00B32C56" w:rsidRDefault="00205BFC" w:rsidP="009C0A5D">
            <w:pPr>
              <w:pStyle w:val="TableBody"/>
            </w:pPr>
            <w:r>
              <w:t>National Health and Medical Research Council</w:t>
            </w:r>
          </w:p>
        </w:tc>
      </w:tr>
      <w:tr w:rsidR="00714B99" w:rsidRPr="00B32C56" w14:paraId="60A5E68E" w14:textId="77777777" w:rsidTr="009C0A5D">
        <w:trPr>
          <w:cantSplit/>
        </w:trPr>
        <w:tc>
          <w:tcPr>
            <w:tcW w:w="1379" w:type="pct"/>
            <w:tcBorders>
              <w:top w:val="single" w:sz="4" w:space="0" w:color="184897"/>
              <w:bottom w:val="single" w:sz="4" w:space="0" w:color="184897"/>
            </w:tcBorders>
          </w:tcPr>
          <w:p w14:paraId="1E8D9753" w14:textId="77777777" w:rsidR="00714B99" w:rsidRDefault="00714B99" w:rsidP="009C0A5D">
            <w:pPr>
              <w:pStyle w:val="TableBody"/>
            </w:pPr>
            <w:r>
              <w:t>NUO</w:t>
            </w:r>
          </w:p>
        </w:tc>
        <w:tc>
          <w:tcPr>
            <w:tcW w:w="3621" w:type="pct"/>
            <w:tcBorders>
              <w:top w:val="single" w:sz="4" w:space="0" w:color="184897"/>
              <w:bottom w:val="single" w:sz="4" w:space="0" w:color="184897"/>
            </w:tcBorders>
          </w:tcPr>
          <w:p w14:paraId="38F31629" w14:textId="77777777" w:rsidR="00714B99" w:rsidRDefault="00B0609C" w:rsidP="009C0A5D">
            <w:pPr>
              <w:pStyle w:val="TableBody"/>
            </w:pPr>
            <w:r>
              <w:t>Network Utility Operator</w:t>
            </w:r>
          </w:p>
        </w:tc>
      </w:tr>
      <w:tr w:rsidR="009C0A5D" w:rsidRPr="00B32C56" w14:paraId="35954F41" w14:textId="77777777" w:rsidTr="009C0A5D">
        <w:trPr>
          <w:cantSplit/>
        </w:trPr>
        <w:tc>
          <w:tcPr>
            <w:tcW w:w="1379" w:type="pct"/>
            <w:tcBorders>
              <w:top w:val="single" w:sz="4" w:space="0" w:color="184897"/>
              <w:bottom w:val="single" w:sz="4" w:space="0" w:color="184897"/>
            </w:tcBorders>
          </w:tcPr>
          <w:p w14:paraId="578AB040" w14:textId="77777777" w:rsidR="009C0A5D" w:rsidRPr="00B32C56" w:rsidRDefault="009C0A5D" w:rsidP="009C0A5D">
            <w:pPr>
              <w:pStyle w:val="TableBody"/>
            </w:pPr>
            <w:r w:rsidRPr="00B32C56">
              <w:t>O</w:t>
            </w:r>
            <w:r w:rsidR="00205BFC">
              <w:t>B</w:t>
            </w:r>
            <w:r w:rsidRPr="00B32C56">
              <w:t>PR</w:t>
            </w:r>
          </w:p>
        </w:tc>
        <w:tc>
          <w:tcPr>
            <w:tcW w:w="3621" w:type="pct"/>
            <w:tcBorders>
              <w:top w:val="single" w:sz="4" w:space="0" w:color="184897"/>
              <w:bottom w:val="single" w:sz="4" w:space="0" w:color="184897"/>
            </w:tcBorders>
          </w:tcPr>
          <w:p w14:paraId="7E9858D8" w14:textId="77777777" w:rsidR="009C0A5D" w:rsidRPr="00B32C56" w:rsidRDefault="009C0A5D" w:rsidP="009C0A5D">
            <w:pPr>
              <w:pStyle w:val="TableBody"/>
            </w:pPr>
            <w:r w:rsidRPr="00B32C56">
              <w:t>Office of Best Practice Regulation</w:t>
            </w:r>
          </w:p>
        </w:tc>
      </w:tr>
      <w:tr w:rsidR="00BF0EB6" w:rsidRPr="00B32C56" w14:paraId="470F48E3" w14:textId="77777777" w:rsidTr="009C0A5D">
        <w:trPr>
          <w:cantSplit/>
        </w:trPr>
        <w:tc>
          <w:tcPr>
            <w:tcW w:w="1379" w:type="pct"/>
            <w:tcBorders>
              <w:top w:val="single" w:sz="4" w:space="0" w:color="184897"/>
              <w:bottom w:val="single" w:sz="4" w:space="0" w:color="184897"/>
            </w:tcBorders>
          </w:tcPr>
          <w:p w14:paraId="3C0E42F6" w14:textId="77777777" w:rsidR="00BF0EB6" w:rsidRDefault="00BF0EB6" w:rsidP="009C0A5D">
            <w:pPr>
              <w:pStyle w:val="TableBody"/>
            </w:pPr>
            <w:r>
              <w:t>pH</w:t>
            </w:r>
          </w:p>
        </w:tc>
        <w:tc>
          <w:tcPr>
            <w:tcW w:w="3621" w:type="pct"/>
            <w:tcBorders>
              <w:top w:val="single" w:sz="4" w:space="0" w:color="184897"/>
              <w:bottom w:val="single" w:sz="4" w:space="0" w:color="184897"/>
            </w:tcBorders>
          </w:tcPr>
          <w:p w14:paraId="0A2BA2C0" w14:textId="77777777" w:rsidR="00BF0EB6" w:rsidRDefault="00E629D6" w:rsidP="009C0A5D">
            <w:pPr>
              <w:pStyle w:val="TableBody"/>
            </w:pPr>
            <w:r>
              <w:t>Potential of Hydrogen</w:t>
            </w:r>
          </w:p>
        </w:tc>
      </w:tr>
      <w:tr w:rsidR="009C0A5D" w:rsidRPr="00B32C56" w14:paraId="3C29EFC0" w14:textId="77777777" w:rsidTr="009C0A5D">
        <w:trPr>
          <w:cantSplit/>
        </w:trPr>
        <w:tc>
          <w:tcPr>
            <w:tcW w:w="1379" w:type="pct"/>
            <w:tcBorders>
              <w:top w:val="single" w:sz="4" w:space="0" w:color="184897"/>
              <w:bottom w:val="single" w:sz="4" w:space="0" w:color="184897"/>
            </w:tcBorders>
          </w:tcPr>
          <w:p w14:paraId="306BFB97" w14:textId="77777777" w:rsidR="009C0A5D" w:rsidRPr="00B32C56" w:rsidRDefault="009C0A5D" w:rsidP="009C0A5D">
            <w:pPr>
              <w:pStyle w:val="TableBody"/>
            </w:pPr>
            <w:r w:rsidRPr="00B32C56">
              <w:t>PCA</w:t>
            </w:r>
          </w:p>
        </w:tc>
        <w:tc>
          <w:tcPr>
            <w:tcW w:w="3621" w:type="pct"/>
            <w:tcBorders>
              <w:top w:val="single" w:sz="4" w:space="0" w:color="184897"/>
              <w:bottom w:val="single" w:sz="4" w:space="0" w:color="184897"/>
            </w:tcBorders>
          </w:tcPr>
          <w:p w14:paraId="399FA281" w14:textId="77777777" w:rsidR="009C0A5D" w:rsidRPr="00B32C56" w:rsidRDefault="009C0A5D" w:rsidP="009C0A5D">
            <w:pPr>
              <w:pStyle w:val="TableBody"/>
            </w:pPr>
            <w:r w:rsidRPr="00B32C56">
              <w:t>Plumbing Code of Australia</w:t>
            </w:r>
          </w:p>
        </w:tc>
      </w:tr>
      <w:tr w:rsidR="00814644" w:rsidRPr="00B32C56" w14:paraId="5CB9B157" w14:textId="77777777" w:rsidTr="009C0A5D">
        <w:trPr>
          <w:cantSplit/>
        </w:trPr>
        <w:tc>
          <w:tcPr>
            <w:tcW w:w="1379" w:type="pct"/>
            <w:tcBorders>
              <w:top w:val="single" w:sz="4" w:space="0" w:color="184897"/>
              <w:bottom w:val="single" w:sz="4" w:space="0" w:color="184897"/>
            </w:tcBorders>
          </w:tcPr>
          <w:p w14:paraId="71ACEEF5" w14:textId="1F48F614" w:rsidR="00814644" w:rsidRPr="00B32C56" w:rsidRDefault="00814644" w:rsidP="009C0A5D">
            <w:pPr>
              <w:pStyle w:val="TableBody"/>
            </w:pPr>
            <w:r>
              <w:lastRenderedPageBreak/>
              <w:t>PCC</w:t>
            </w:r>
          </w:p>
        </w:tc>
        <w:tc>
          <w:tcPr>
            <w:tcW w:w="3621" w:type="pct"/>
            <w:tcBorders>
              <w:top w:val="single" w:sz="4" w:space="0" w:color="184897"/>
              <w:bottom w:val="single" w:sz="4" w:space="0" w:color="184897"/>
            </w:tcBorders>
          </w:tcPr>
          <w:p w14:paraId="1258336E" w14:textId="1FA04103" w:rsidR="00814644" w:rsidRPr="00B32C56" w:rsidRDefault="00814644" w:rsidP="009C0A5D">
            <w:pPr>
              <w:pStyle w:val="TableBody"/>
            </w:pPr>
            <w:r>
              <w:t>Plumbing Code Committee</w:t>
            </w:r>
          </w:p>
        </w:tc>
      </w:tr>
      <w:tr w:rsidR="00FE62EB" w:rsidRPr="00B32C56" w14:paraId="2BE3B399" w14:textId="77777777" w:rsidTr="009C0A5D">
        <w:trPr>
          <w:cantSplit/>
        </w:trPr>
        <w:tc>
          <w:tcPr>
            <w:tcW w:w="1379" w:type="pct"/>
            <w:tcBorders>
              <w:top w:val="single" w:sz="4" w:space="0" w:color="184897"/>
              <w:bottom w:val="single" w:sz="4" w:space="0" w:color="184897"/>
            </w:tcBorders>
          </w:tcPr>
          <w:p w14:paraId="2FDF7E21" w14:textId="77777777" w:rsidR="00FE62EB" w:rsidRPr="00B32C56" w:rsidRDefault="00FE62EB" w:rsidP="009C0A5D">
            <w:pPr>
              <w:pStyle w:val="TableBody"/>
            </w:pPr>
            <w:r>
              <w:t>PCH</w:t>
            </w:r>
          </w:p>
        </w:tc>
        <w:tc>
          <w:tcPr>
            <w:tcW w:w="3621" w:type="pct"/>
            <w:tcBorders>
              <w:top w:val="single" w:sz="4" w:space="0" w:color="184897"/>
              <w:bottom w:val="single" w:sz="4" w:space="0" w:color="184897"/>
            </w:tcBorders>
          </w:tcPr>
          <w:p w14:paraId="2BF6889D" w14:textId="77777777" w:rsidR="00FE62EB" w:rsidRPr="00B32C56" w:rsidRDefault="00FE62EB" w:rsidP="009C0A5D">
            <w:pPr>
              <w:pStyle w:val="TableBody"/>
            </w:pPr>
            <w:r>
              <w:t>Perth Children</w:t>
            </w:r>
            <w:r w:rsidR="00577430">
              <w:t>’s</w:t>
            </w:r>
            <w:r>
              <w:t xml:space="preserve"> Hospital</w:t>
            </w:r>
          </w:p>
        </w:tc>
      </w:tr>
      <w:tr w:rsidR="00413DCC" w:rsidRPr="00B32C56" w14:paraId="5EF79FE5" w14:textId="77777777" w:rsidTr="009C0A5D">
        <w:trPr>
          <w:cantSplit/>
        </w:trPr>
        <w:tc>
          <w:tcPr>
            <w:tcW w:w="1379" w:type="pct"/>
            <w:tcBorders>
              <w:top w:val="single" w:sz="4" w:space="0" w:color="184897"/>
              <w:bottom w:val="single" w:sz="4" w:space="0" w:color="184897"/>
            </w:tcBorders>
          </w:tcPr>
          <w:p w14:paraId="012BE68B" w14:textId="1AC4935E" w:rsidR="00413DCC" w:rsidRDefault="00413DCC" w:rsidP="009C0A5D">
            <w:pPr>
              <w:pStyle w:val="TableBody"/>
            </w:pPr>
            <w:r>
              <w:t>PIPA</w:t>
            </w:r>
          </w:p>
        </w:tc>
        <w:tc>
          <w:tcPr>
            <w:tcW w:w="3621" w:type="pct"/>
            <w:tcBorders>
              <w:top w:val="single" w:sz="4" w:space="0" w:color="184897"/>
              <w:bottom w:val="single" w:sz="4" w:space="0" w:color="184897"/>
            </w:tcBorders>
          </w:tcPr>
          <w:p w14:paraId="0C3817D9" w14:textId="65636FD6" w:rsidR="00413DCC" w:rsidRDefault="00413DCC" w:rsidP="009C0A5D">
            <w:pPr>
              <w:pStyle w:val="TableBody"/>
            </w:pPr>
            <w:r w:rsidRPr="00413DCC">
              <w:t>Plastics Industry Pipe Association of Australia Limited</w:t>
            </w:r>
          </w:p>
        </w:tc>
      </w:tr>
      <w:tr w:rsidR="00413DCC" w:rsidRPr="00B32C56" w14:paraId="2E5179DE" w14:textId="77777777" w:rsidTr="009C0A5D">
        <w:trPr>
          <w:cantSplit/>
        </w:trPr>
        <w:tc>
          <w:tcPr>
            <w:tcW w:w="1379" w:type="pct"/>
            <w:tcBorders>
              <w:top w:val="single" w:sz="4" w:space="0" w:color="184897"/>
              <w:bottom w:val="single" w:sz="4" w:space="0" w:color="184897"/>
            </w:tcBorders>
          </w:tcPr>
          <w:p w14:paraId="640A9CCB" w14:textId="588620A1" w:rsidR="00413DCC" w:rsidRDefault="00413DCC" w:rsidP="009C0A5D">
            <w:pPr>
              <w:pStyle w:val="TableBody"/>
            </w:pPr>
            <w:r>
              <w:t>PPI Group</w:t>
            </w:r>
          </w:p>
        </w:tc>
        <w:tc>
          <w:tcPr>
            <w:tcW w:w="3621" w:type="pct"/>
            <w:tcBorders>
              <w:top w:val="single" w:sz="4" w:space="0" w:color="184897"/>
              <w:bottom w:val="single" w:sz="4" w:space="0" w:color="184897"/>
            </w:tcBorders>
          </w:tcPr>
          <w:p w14:paraId="062E03B9" w14:textId="40F4E102" w:rsidR="00413DCC" w:rsidRDefault="00413DCC" w:rsidP="009C0A5D">
            <w:pPr>
              <w:pStyle w:val="TableBody"/>
            </w:pPr>
            <w:r>
              <w:t>Plumbing Products Industry Group</w:t>
            </w:r>
          </w:p>
        </w:tc>
      </w:tr>
      <w:tr w:rsidR="00814644" w:rsidRPr="00B32C56" w14:paraId="00920A58" w14:textId="77777777" w:rsidTr="009C0A5D">
        <w:trPr>
          <w:cantSplit/>
        </w:trPr>
        <w:tc>
          <w:tcPr>
            <w:tcW w:w="1379" w:type="pct"/>
            <w:tcBorders>
              <w:top w:val="single" w:sz="4" w:space="0" w:color="184897"/>
              <w:bottom w:val="single" w:sz="4" w:space="0" w:color="184897"/>
            </w:tcBorders>
          </w:tcPr>
          <w:p w14:paraId="18B2985A" w14:textId="7411505B" w:rsidR="00814644" w:rsidRDefault="00814644" w:rsidP="009C0A5D">
            <w:pPr>
              <w:pStyle w:val="TableBody"/>
            </w:pPr>
            <w:r>
              <w:t>PVC</w:t>
            </w:r>
          </w:p>
        </w:tc>
        <w:tc>
          <w:tcPr>
            <w:tcW w:w="3621" w:type="pct"/>
            <w:tcBorders>
              <w:top w:val="single" w:sz="4" w:space="0" w:color="184897"/>
              <w:bottom w:val="single" w:sz="4" w:space="0" w:color="184897"/>
            </w:tcBorders>
          </w:tcPr>
          <w:p w14:paraId="168B7EF4" w14:textId="2E07EC72" w:rsidR="00814644" w:rsidRDefault="00814644" w:rsidP="009C0A5D">
            <w:pPr>
              <w:pStyle w:val="TableBody"/>
            </w:pPr>
            <w:r>
              <w:t>Polyvinyl Chloride</w:t>
            </w:r>
          </w:p>
        </w:tc>
      </w:tr>
      <w:tr w:rsidR="00F43521" w:rsidRPr="00B32C56" w14:paraId="19019AD0" w14:textId="77777777" w:rsidTr="009C0A5D">
        <w:trPr>
          <w:cantSplit/>
        </w:trPr>
        <w:tc>
          <w:tcPr>
            <w:tcW w:w="1379" w:type="pct"/>
            <w:tcBorders>
              <w:top w:val="single" w:sz="4" w:space="0" w:color="184897"/>
              <w:bottom w:val="single" w:sz="4" w:space="0" w:color="184897"/>
            </w:tcBorders>
          </w:tcPr>
          <w:p w14:paraId="7EBE5FBF" w14:textId="720AFFFD" w:rsidR="00F43521" w:rsidRDefault="00F43521" w:rsidP="009C0A5D">
            <w:pPr>
              <w:pStyle w:val="TableBody"/>
            </w:pPr>
            <w:r>
              <w:t>QBCC</w:t>
            </w:r>
          </w:p>
        </w:tc>
        <w:tc>
          <w:tcPr>
            <w:tcW w:w="3621" w:type="pct"/>
            <w:tcBorders>
              <w:top w:val="single" w:sz="4" w:space="0" w:color="184897"/>
              <w:bottom w:val="single" w:sz="4" w:space="0" w:color="184897"/>
            </w:tcBorders>
          </w:tcPr>
          <w:p w14:paraId="686C2CDA" w14:textId="573081C3" w:rsidR="00F43521" w:rsidRDefault="00F43521" w:rsidP="009C0A5D">
            <w:pPr>
              <w:pStyle w:val="TableBody"/>
            </w:pPr>
            <w:r>
              <w:t xml:space="preserve">Queensland Building and Construction Commission </w:t>
            </w:r>
          </w:p>
        </w:tc>
      </w:tr>
      <w:tr w:rsidR="009C0A5D" w:rsidRPr="00B32C56" w14:paraId="0E862E65" w14:textId="77777777" w:rsidTr="009C0A5D">
        <w:trPr>
          <w:cantSplit/>
        </w:trPr>
        <w:tc>
          <w:tcPr>
            <w:tcW w:w="1379" w:type="pct"/>
            <w:tcBorders>
              <w:top w:val="single" w:sz="4" w:space="0" w:color="184897"/>
              <w:bottom w:val="single" w:sz="4" w:space="0" w:color="184897"/>
            </w:tcBorders>
          </w:tcPr>
          <w:p w14:paraId="596DAFC6" w14:textId="77777777" w:rsidR="009C0A5D" w:rsidRPr="00B32C56" w:rsidRDefault="009C0A5D" w:rsidP="009C0A5D">
            <w:pPr>
              <w:pStyle w:val="TableBody"/>
            </w:pPr>
            <w:r w:rsidRPr="00B32C56">
              <w:t>RIS</w:t>
            </w:r>
          </w:p>
        </w:tc>
        <w:tc>
          <w:tcPr>
            <w:tcW w:w="3621" w:type="pct"/>
            <w:tcBorders>
              <w:top w:val="single" w:sz="4" w:space="0" w:color="184897"/>
              <w:bottom w:val="single" w:sz="4" w:space="0" w:color="184897"/>
            </w:tcBorders>
          </w:tcPr>
          <w:p w14:paraId="5FFD2BCD" w14:textId="77777777" w:rsidR="009C0A5D" w:rsidRPr="00B32C56" w:rsidRDefault="009C0A5D" w:rsidP="009C0A5D">
            <w:pPr>
              <w:pStyle w:val="TableBody"/>
            </w:pPr>
            <w:r w:rsidRPr="00B32C56">
              <w:t>Regulation Impact Statement</w:t>
            </w:r>
          </w:p>
        </w:tc>
      </w:tr>
      <w:tr w:rsidR="00FE62EB" w:rsidRPr="00B32C56" w14:paraId="59A27A41" w14:textId="77777777" w:rsidTr="009C0A5D">
        <w:trPr>
          <w:cantSplit/>
        </w:trPr>
        <w:tc>
          <w:tcPr>
            <w:tcW w:w="1379" w:type="pct"/>
            <w:tcBorders>
              <w:top w:val="single" w:sz="4" w:space="0" w:color="184897"/>
              <w:bottom w:val="single" w:sz="4" w:space="0" w:color="184897"/>
            </w:tcBorders>
          </w:tcPr>
          <w:p w14:paraId="4CAE80C7" w14:textId="77777777" w:rsidR="00FE62EB" w:rsidRPr="00B32C56" w:rsidRDefault="00FE62EB" w:rsidP="009C0A5D">
            <w:pPr>
              <w:pStyle w:val="TableBody"/>
            </w:pPr>
            <w:r>
              <w:t>TMV</w:t>
            </w:r>
          </w:p>
        </w:tc>
        <w:tc>
          <w:tcPr>
            <w:tcW w:w="3621" w:type="pct"/>
            <w:tcBorders>
              <w:top w:val="single" w:sz="4" w:space="0" w:color="184897"/>
              <w:bottom w:val="single" w:sz="4" w:space="0" w:color="184897"/>
            </w:tcBorders>
          </w:tcPr>
          <w:p w14:paraId="5D8F32F3" w14:textId="77777777" w:rsidR="00FE62EB" w:rsidRPr="00B32C56" w:rsidRDefault="00FE62EB" w:rsidP="009C0A5D">
            <w:pPr>
              <w:pStyle w:val="TableBody"/>
            </w:pPr>
            <w:r>
              <w:t>Thermostatic Mixing Valve</w:t>
            </w:r>
          </w:p>
        </w:tc>
      </w:tr>
      <w:tr w:rsidR="000A3B2C" w:rsidRPr="00B32C56" w14:paraId="3D659309" w14:textId="77777777" w:rsidTr="009C0A5D">
        <w:trPr>
          <w:cantSplit/>
        </w:trPr>
        <w:tc>
          <w:tcPr>
            <w:tcW w:w="1379" w:type="pct"/>
            <w:tcBorders>
              <w:top w:val="single" w:sz="4" w:space="0" w:color="184897"/>
              <w:bottom w:val="single" w:sz="4" w:space="0" w:color="184897"/>
            </w:tcBorders>
          </w:tcPr>
          <w:p w14:paraId="4938F19F" w14:textId="21956B11" w:rsidR="000A3B2C" w:rsidRDefault="001102FB" w:rsidP="001102FB">
            <w:pPr>
              <w:pStyle w:val="TableBody"/>
            </w:pPr>
            <w:r w:rsidRPr="001465C2">
              <w:rPr>
                <w:rFonts w:cs="Arial"/>
                <w:color w:val="333333"/>
                <w:shd w:val="clear" w:color="auto" w:fill="FFFFFF"/>
              </w:rPr>
              <w:t>μ</w:t>
            </w:r>
            <w:r w:rsidRPr="009C0A5D">
              <w:rPr>
                <w:rFonts w:cs="Arial"/>
                <w:bCs/>
                <w:iCs/>
              </w:rPr>
              <w:t>g</w:t>
            </w:r>
            <w:r>
              <w:rPr>
                <w:rFonts w:cs="Arial"/>
                <w:bCs/>
                <w:iCs/>
              </w:rPr>
              <w:t>/mg</w:t>
            </w:r>
            <w:r w:rsidRPr="009C0A5D">
              <w:rPr>
                <w:rFonts w:cs="Arial"/>
                <w:bCs/>
                <w:iCs/>
              </w:rPr>
              <w:t xml:space="preserve"> </w:t>
            </w:r>
          </w:p>
        </w:tc>
        <w:tc>
          <w:tcPr>
            <w:tcW w:w="3621" w:type="pct"/>
            <w:tcBorders>
              <w:top w:val="single" w:sz="4" w:space="0" w:color="184897"/>
              <w:bottom w:val="single" w:sz="4" w:space="0" w:color="184897"/>
            </w:tcBorders>
          </w:tcPr>
          <w:p w14:paraId="289A2AB8" w14:textId="77777777" w:rsidR="000A3B2C" w:rsidRDefault="000A3B2C" w:rsidP="009C0A5D">
            <w:pPr>
              <w:pStyle w:val="TableBody"/>
            </w:pPr>
            <w:r>
              <w:t>Micrograms</w:t>
            </w:r>
          </w:p>
        </w:tc>
      </w:tr>
      <w:tr w:rsidR="000F270D" w:rsidRPr="00B32C56" w14:paraId="66DFC232" w14:textId="77777777" w:rsidTr="009C0A5D">
        <w:trPr>
          <w:cantSplit/>
        </w:trPr>
        <w:tc>
          <w:tcPr>
            <w:tcW w:w="1379" w:type="pct"/>
            <w:tcBorders>
              <w:top w:val="single" w:sz="4" w:space="0" w:color="184897"/>
              <w:bottom w:val="single" w:sz="4" w:space="0" w:color="184897"/>
            </w:tcBorders>
          </w:tcPr>
          <w:p w14:paraId="7CC690F7" w14:textId="77777777" w:rsidR="000F270D" w:rsidRPr="001465C2" w:rsidRDefault="000F270D" w:rsidP="009C0A5D">
            <w:pPr>
              <w:pStyle w:val="TableBody"/>
              <w:rPr>
                <w:rFonts w:cs="Arial"/>
                <w:color w:val="333333"/>
                <w:shd w:val="clear" w:color="auto" w:fill="FFFFFF"/>
              </w:rPr>
            </w:pPr>
            <w:r>
              <w:rPr>
                <w:rFonts w:cs="Arial"/>
                <w:color w:val="333333"/>
                <w:shd w:val="clear" w:color="auto" w:fill="FFFFFF"/>
              </w:rPr>
              <w:t>VSLY</w:t>
            </w:r>
          </w:p>
        </w:tc>
        <w:tc>
          <w:tcPr>
            <w:tcW w:w="3621" w:type="pct"/>
            <w:tcBorders>
              <w:top w:val="single" w:sz="4" w:space="0" w:color="184897"/>
              <w:bottom w:val="single" w:sz="4" w:space="0" w:color="184897"/>
            </w:tcBorders>
          </w:tcPr>
          <w:p w14:paraId="68B4459F" w14:textId="77777777" w:rsidR="000F270D" w:rsidRDefault="000F270D" w:rsidP="009C0A5D">
            <w:pPr>
              <w:pStyle w:val="TableBody"/>
            </w:pPr>
            <w:r>
              <w:t>Value of Statistical Life Year</w:t>
            </w:r>
          </w:p>
        </w:tc>
      </w:tr>
      <w:tr w:rsidR="00205BFC" w:rsidRPr="00B32C56" w14:paraId="14B14E58" w14:textId="77777777" w:rsidTr="009C0A5D">
        <w:trPr>
          <w:cantSplit/>
        </w:trPr>
        <w:tc>
          <w:tcPr>
            <w:tcW w:w="1379" w:type="pct"/>
            <w:tcBorders>
              <w:top w:val="single" w:sz="4" w:space="0" w:color="184897"/>
              <w:bottom w:val="single" w:sz="4" w:space="0" w:color="184897"/>
            </w:tcBorders>
          </w:tcPr>
          <w:p w14:paraId="3129E569" w14:textId="77777777" w:rsidR="00205BFC" w:rsidRPr="001465C2" w:rsidRDefault="00205BFC" w:rsidP="009C0A5D">
            <w:pPr>
              <w:pStyle w:val="TableBody"/>
              <w:rPr>
                <w:rFonts w:cs="Arial"/>
                <w:color w:val="333333"/>
                <w:shd w:val="clear" w:color="auto" w:fill="FFFFFF"/>
              </w:rPr>
            </w:pPr>
            <w:r>
              <w:rPr>
                <w:rFonts w:cs="Arial"/>
                <w:color w:val="333333"/>
                <w:shd w:val="clear" w:color="auto" w:fill="FFFFFF"/>
              </w:rPr>
              <w:t>WHO</w:t>
            </w:r>
          </w:p>
        </w:tc>
        <w:tc>
          <w:tcPr>
            <w:tcW w:w="3621" w:type="pct"/>
            <w:tcBorders>
              <w:top w:val="single" w:sz="4" w:space="0" w:color="184897"/>
              <w:bottom w:val="single" w:sz="4" w:space="0" w:color="184897"/>
            </w:tcBorders>
          </w:tcPr>
          <w:p w14:paraId="2F52C08B" w14:textId="77777777" w:rsidR="00205BFC" w:rsidRDefault="00205BFC" w:rsidP="009C0A5D">
            <w:pPr>
              <w:pStyle w:val="TableBody"/>
            </w:pPr>
            <w:r>
              <w:t xml:space="preserve">World Health </w:t>
            </w:r>
            <w:r w:rsidR="0065313E">
              <w:t>Organisation</w:t>
            </w:r>
          </w:p>
        </w:tc>
      </w:tr>
      <w:tr w:rsidR="00B0609C" w:rsidRPr="00B32C56" w14:paraId="546FCCD9" w14:textId="77777777" w:rsidTr="009C0A5D">
        <w:trPr>
          <w:cantSplit/>
        </w:trPr>
        <w:tc>
          <w:tcPr>
            <w:tcW w:w="1379" w:type="pct"/>
            <w:tcBorders>
              <w:top w:val="single" w:sz="4" w:space="0" w:color="184897"/>
              <w:bottom w:val="single" w:sz="4" w:space="0" w:color="184897"/>
            </w:tcBorders>
          </w:tcPr>
          <w:p w14:paraId="71174222" w14:textId="77777777" w:rsidR="00B0609C" w:rsidRDefault="00B0609C" w:rsidP="009C0A5D">
            <w:pPr>
              <w:pStyle w:val="TableBody"/>
              <w:rPr>
                <w:rFonts w:cs="Arial"/>
                <w:color w:val="333333"/>
                <w:shd w:val="clear" w:color="auto" w:fill="FFFFFF"/>
              </w:rPr>
            </w:pPr>
            <w:r>
              <w:rPr>
                <w:rFonts w:cs="Arial"/>
                <w:color w:val="333333"/>
                <w:shd w:val="clear" w:color="auto" w:fill="FFFFFF"/>
              </w:rPr>
              <w:t>WMCS</w:t>
            </w:r>
          </w:p>
        </w:tc>
        <w:tc>
          <w:tcPr>
            <w:tcW w:w="3621" w:type="pct"/>
            <w:tcBorders>
              <w:top w:val="single" w:sz="4" w:space="0" w:color="184897"/>
              <w:bottom w:val="single" w:sz="4" w:space="0" w:color="184897"/>
            </w:tcBorders>
          </w:tcPr>
          <w:p w14:paraId="24510D16" w14:textId="77777777" w:rsidR="00B0609C" w:rsidRDefault="00B0609C" w:rsidP="009C0A5D">
            <w:pPr>
              <w:pStyle w:val="TableBody"/>
            </w:pPr>
            <w:r>
              <w:t>WaterMark Certification Scheme</w:t>
            </w:r>
          </w:p>
        </w:tc>
      </w:tr>
      <w:tr w:rsidR="00DF50F2" w:rsidRPr="00B32C56" w14:paraId="1C13E739" w14:textId="77777777" w:rsidTr="009C0A5D">
        <w:trPr>
          <w:cantSplit/>
        </w:trPr>
        <w:tc>
          <w:tcPr>
            <w:tcW w:w="1379" w:type="pct"/>
            <w:tcBorders>
              <w:top w:val="single" w:sz="4" w:space="0" w:color="184897"/>
              <w:bottom w:val="single" w:sz="4" w:space="0" w:color="184897"/>
            </w:tcBorders>
          </w:tcPr>
          <w:p w14:paraId="0C7FD240" w14:textId="1C5F5904" w:rsidR="00DF50F2" w:rsidRDefault="00DF50F2" w:rsidP="009C0A5D">
            <w:pPr>
              <w:pStyle w:val="TableBody"/>
              <w:rPr>
                <w:rFonts w:cs="Arial"/>
                <w:color w:val="333333"/>
                <w:shd w:val="clear" w:color="auto" w:fill="FFFFFF"/>
              </w:rPr>
            </w:pPr>
            <w:r>
              <w:rPr>
                <w:rFonts w:cs="Arial"/>
                <w:color w:val="333333"/>
                <w:shd w:val="clear" w:color="auto" w:fill="FFFFFF"/>
              </w:rPr>
              <w:t>WMCAB</w:t>
            </w:r>
          </w:p>
        </w:tc>
        <w:tc>
          <w:tcPr>
            <w:tcW w:w="3621" w:type="pct"/>
            <w:tcBorders>
              <w:top w:val="single" w:sz="4" w:space="0" w:color="184897"/>
              <w:bottom w:val="single" w:sz="4" w:space="0" w:color="184897"/>
            </w:tcBorders>
          </w:tcPr>
          <w:p w14:paraId="1EB18A50" w14:textId="14C1DCF1" w:rsidR="00DF50F2" w:rsidRDefault="00DF50F2" w:rsidP="009C0A5D">
            <w:pPr>
              <w:pStyle w:val="TableBody"/>
            </w:pPr>
            <w:r>
              <w:t>Wat</w:t>
            </w:r>
            <w:r w:rsidR="001102FB">
              <w:t>erMark Conformity Assessment Bo</w:t>
            </w:r>
            <w:r>
              <w:t>dy</w:t>
            </w:r>
          </w:p>
        </w:tc>
      </w:tr>
      <w:tr w:rsidR="00CD16A0" w:rsidRPr="00B32C56" w14:paraId="7076CD18" w14:textId="77777777" w:rsidTr="009C0A5D">
        <w:trPr>
          <w:cantSplit/>
        </w:trPr>
        <w:tc>
          <w:tcPr>
            <w:tcW w:w="1379" w:type="pct"/>
            <w:tcBorders>
              <w:top w:val="single" w:sz="4" w:space="0" w:color="184897"/>
              <w:bottom w:val="single" w:sz="4" w:space="0" w:color="184897"/>
            </w:tcBorders>
          </w:tcPr>
          <w:p w14:paraId="60128216" w14:textId="77777777" w:rsidR="00CD16A0" w:rsidRDefault="00CD16A0" w:rsidP="009C0A5D">
            <w:pPr>
              <w:pStyle w:val="TableBody"/>
              <w:rPr>
                <w:rFonts w:cs="Arial"/>
                <w:color w:val="333333"/>
                <w:shd w:val="clear" w:color="auto" w:fill="FFFFFF"/>
              </w:rPr>
            </w:pPr>
            <w:r>
              <w:rPr>
                <w:rFonts w:cs="Arial"/>
                <w:color w:val="333333"/>
                <w:shd w:val="clear" w:color="auto" w:fill="FFFFFF"/>
              </w:rPr>
              <w:t>WSAA</w:t>
            </w:r>
          </w:p>
        </w:tc>
        <w:tc>
          <w:tcPr>
            <w:tcW w:w="3621" w:type="pct"/>
            <w:tcBorders>
              <w:top w:val="single" w:sz="4" w:space="0" w:color="184897"/>
              <w:bottom w:val="single" w:sz="4" w:space="0" w:color="184897"/>
            </w:tcBorders>
          </w:tcPr>
          <w:p w14:paraId="41157D5A" w14:textId="77777777" w:rsidR="00CD16A0" w:rsidRDefault="00CD16A0" w:rsidP="009C0A5D">
            <w:pPr>
              <w:pStyle w:val="TableBody"/>
            </w:pPr>
            <w:r>
              <w:t>Water Services Association of Australia</w:t>
            </w:r>
          </w:p>
        </w:tc>
      </w:tr>
    </w:tbl>
    <w:p w14:paraId="7FFA0CDB" w14:textId="77777777" w:rsidR="00413DCC" w:rsidRDefault="00413DCC" w:rsidP="000B675B">
      <w:pPr>
        <w:pStyle w:val="Heading1"/>
        <w:spacing w:after="240"/>
        <w:rPr>
          <w:rFonts w:ascii="Arial" w:hAnsi="Arial" w:cs="Arial"/>
          <w:b w:val="0"/>
          <w:bCs w:val="0"/>
        </w:rPr>
      </w:pPr>
      <w:bookmarkStart w:id="7" w:name="_Toc71195722"/>
      <w:bookmarkStart w:id="8" w:name="_Toc71789250"/>
    </w:p>
    <w:p w14:paraId="51CAE62C" w14:textId="77777777" w:rsidR="00413DCC" w:rsidRDefault="00413DCC">
      <w:pPr>
        <w:rPr>
          <w:rFonts w:eastAsiaTheme="majorEastAsia" w:cs="Arial"/>
          <w:color w:val="002060"/>
          <w:sz w:val="40"/>
          <w:szCs w:val="28"/>
        </w:rPr>
      </w:pPr>
      <w:r>
        <w:rPr>
          <w:rFonts w:cs="Arial"/>
          <w:b/>
          <w:bCs/>
        </w:rPr>
        <w:br w:type="page"/>
      </w:r>
    </w:p>
    <w:p w14:paraId="18A70509" w14:textId="36CC2C43" w:rsidR="004B24EC" w:rsidRPr="000B675B" w:rsidRDefault="004B24EC" w:rsidP="000B675B">
      <w:pPr>
        <w:pStyle w:val="Heading1"/>
        <w:spacing w:after="240"/>
        <w:rPr>
          <w:rFonts w:ascii="Arial" w:hAnsi="Arial" w:cs="Arial"/>
          <w:b w:val="0"/>
          <w:bCs w:val="0"/>
        </w:rPr>
      </w:pPr>
      <w:r w:rsidRPr="000B675B">
        <w:rPr>
          <w:rFonts w:ascii="Arial" w:hAnsi="Arial" w:cs="Arial"/>
          <w:b w:val="0"/>
          <w:bCs w:val="0"/>
        </w:rPr>
        <w:lastRenderedPageBreak/>
        <w:t>Introduction</w:t>
      </w:r>
      <w:bookmarkEnd w:id="7"/>
      <w:bookmarkEnd w:id="8"/>
      <w:r w:rsidRPr="000B675B">
        <w:rPr>
          <w:rFonts w:ascii="Arial" w:hAnsi="Arial" w:cs="Arial"/>
          <w:b w:val="0"/>
          <w:bCs w:val="0"/>
        </w:rPr>
        <w:t xml:space="preserve"> </w:t>
      </w:r>
    </w:p>
    <w:p w14:paraId="5A78F2B9" w14:textId="77777777" w:rsidR="0055428E" w:rsidRDefault="00461698" w:rsidP="00C30F2F">
      <w:pPr>
        <w:spacing w:line="360" w:lineRule="auto"/>
        <w:jc w:val="both"/>
        <w:rPr>
          <w:rFonts w:cs="Arial"/>
          <w:bCs/>
          <w:iCs/>
          <w:sz w:val="24"/>
          <w:szCs w:val="24"/>
        </w:rPr>
      </w:pPr>
      <w:r w:rsidRPr="009C0A5D">
        <w:rPr>
          <w:rFonts w:cs="Arial"/>
          <w:bCs/>
          <w:iCs/>
          <w:sz w:val="24"/>
          <w:szCs w:val="24"/>
        </w:rPr>
        <w:t xml:space="preserve">The use of lead </w:t>
      </w:r>
      <w:r w:rsidR="003D61DF" w:rsidRPr="009C0A5D">
        <w:rPr>
          <w:rFonts w:cs="Arial"/>
          <w:bCs/>
          <w:iCs/>
          <w:sz w:val="24"/>
          <w:szCs w:val="24"/>
        </w:rPr>
        <w:t xml:space="preserve">(Pb) </w:t>
      </w:r>
      <w:r w:rsidRPr="009C0A5D">
        <w:rPr>
          <w:rFonts w:cs="Arial"/>
          <w:bCs/>
          <w:iCs/>
          <w:sz w:val="24"/>
          <w:szCs w:val="24"/>
        </w:rPr>
        <w:t>in the manufacture of plumbing products has been common practice for many centuries.</w:t>
      </w:r>
      <w:r w:rsidR="008D4061" w:rsidRPr="009C0A5D">
        <w:rPr>
          <w:rFonts w:cs="Arial"/>
          <w:bCs/>
          <w:iCs/>
          <w:sz w:val="24"/>
          <w:szCs w:val="24"/>
        </w:rPr>
        <w:t xml:space="preserve"> </w:t>
      </w:r>
      <w:bookmarkStart w:id="9" w:name="_Hlk50635998"/>
      <w:r w:rsidR="003D61DF" w:rsidRPr="009C0A5D">
        <w:rPr>
          <w:rFonts w:cs="Arial"/>
          <w:bCs/>
          <w:iCs/>
          <w:sz w:val="24"/>
          <w:szCs w:val="24"/>
        </w:rPr>
        <w:t>It</w:t>
      </w:r>
      <w:r w:rsidR="00EB5723">
        <w:rPr>
          <w:rFonts w:cs="Arial"/>
          <w:bCs/>
          <w:iCs/>
          <w:sz w:val="24"/>
          <w:szCs w:val="24"/>
        </w:rPr>
        <w:t xml:space="preserve"> i</w:t>
      </w:r>
      <w:r w:rsidR="003D61DF" w:rsidRPr="009C0A5D">
        <w:rPr>
          <w:rFonts w:cs="Arial"/>
          <w:bCs/>
          <w:iCs/>
          <w:sz w:val="24"/>
          <w:szCs w:val="24"/>
        </w:rPr>
        <w:t xml:space="preserve">s </w:t>
      </w:r>
      <w:r w:rsidR="008D4061" w:rsidRPr="009C0A5D">
        <w:rPr>
          <w:rFonts w:cs="Arial"/>
          <w:bCs/>
          <w:iCs/>
          <w:sz w:val="24"/>
          <w:szCs w:val="24"/>
        </w:rPr>
        <w:t>most common</w:t>
      </w:r>
      <w:r w:rsidR="003D61DF" w:rsidRPr="009C0A5D">
        <w:rPr>
          <w:rFonts w:cs="Arial"/>
          <w:bCs/>
          <w:iCs/>
          <w:sz w:val="24"/>
          <w:szCs w:val="24"/>
        </w:rPr>
        <w:t xml:space="preserve">ly found in </w:t>
      </w:r>
      <w:r w:rsidR="004E10D9" w:rsidRPr="009C0A5D">
        <w:rPr>
          <w:rFonts w:cs="Arial"/>
          <w:bCs/>
          <w:iCs/>
          <w:sz w:val="24"/>
          <w:szCs w:val="24"/>
        </w:rPr>
        <w:t>copper alloys</w:t>
      </w:r>
      <w:r w:rsidR="007B015C">
        <w:rPr>
          <w:rFonts w:cs="Arial"/>
          <w:bCs/>
          <w:iCs/>
          <w:sz w:val="24"/>
          <w:szCs w:val="24"/>
        </w:rPr>
        <w:t>,</w:t>
      </w:r>
      <w:r w:rsidR="004E10D9" w:rsidRPr="009C0A5D">
        <w:rPr>
          <w:rFonts w:cs="Arial"/>
          <w:bCs/>
          <w:iCs/>
          <w:sz w:val="24"/>
          <w:szCs w:val="24"/>
        </w:rPr>
        <w:t xml:space="preserve"> such as brass and bronze</w:t>
      </w:r>
      <w:r w:rsidR="007B015C">
        <w:rPr>
          <w:rFonts w:cs="Arial"/>
          <w:bCs/>
          <w:iCs/>
          <w:sz w:val="24"/>
          <w:szCs w:val="24"/>
        </w:rPr>
        <w:t>,</w:t>
      </w:r>
      <w:r w:rsidR="008A7865">
        <w:rPr>
          <w:rFonts w:cs="Arial"/>
          <w:bCs/>
          <w:iCs/>
          <w:sz w:val="24"/>
          <w:szCs w:val="24"/>
        </w:rPr>
        <w:t xml:space="preserve"> </w:t>
      </w:r>
      <w:r w:rsidR="007B015C">
        <w:rPr>
          <w:rFonts w:cs="Arial"/>
          <w:bCs/>
          <w:iCs/>
          <w:sz w:val="24"/>
          <w:szCs w:val="24"/>
        </w:rPr>
        <w:t xml:space="preserve">where a small amount </w:t>
      </w:r>
      <w:r w:rsidR="00F05A4C">
        <w:rPr>
          <w:rFonts w:cs="Arial"/>
          <w:bCs/>
          <w:iCs/>
          <w:sz w:val="24"/>
          <w:szCs w:val="24"/>
        </w:rPr>
        <w:t xml:space="preserve">of lead </w:t>
      </w:r>
      <w:r w:rsidR="008A7865">
        <w:rPr>
          <w:rFonts w:cs="Arial"/>
          <w:bCs/>
          <w:iCs/>
          <w:sz w:val="24"/>
          <w:szCs w:val="24"/>
        </w:rPr>
        <w:t xml:space="preserve">is added </w:t>
      </w:r>
      <w:r w:rsidR="007B015C">
        <w:rPr>
          <w:rFonts w:cs="Arial"/>
          <w:bCs/>
          <w:iCs/>
          <w:sz w:val="24"/>
          <w:szCs w:val="24"/>
        </w:rPr>
        <w:t>to provide</w:t>
      </w:r>
      <w:r w:rsidR="008A7865">
        <w:rPr>
          <w:rFonts w:cs="Arial"/>
          <w:bCs/>
          <w:iCs/>
          <w:sz w:val="24"/>
          <w:szCs w:val="24"/>
        </w:rPr>
        <w:t xml:space="preserve"> malleability</w:t>
      </w:r>
      <w:r w:rsidRPr="009C0A5D">
        <w:rPr>
          <w:rFonts w:cs="Arial"/>
          <w:bCs/>
          <w:iCs/>
          <w:sz w:val="24"/>
          <w:szCs w:val="24"/>
        </w:rPr>
        <w:t xml:space="preserve">. </w:t>
      </w:r>
      <w:bookmarkEnd w:id="9"/>
      <w:r w:rsidR="004E10D9" w:rsidRPr="009C0A5D">
        <w:rPr>
          <w:rFonts w:cs="Arial"/>
          <w:bCs/>
          <w:iCs/>
          <w:sz w:val="24"/>
          <w:szCs w:val="24"/>
        </w:rPr>
        <w:t>These</w:t>
      </w:r>
      <w:r w:rsidR="00D83D6E" w:rsidRPr="009C0A5D">
        <w:rPr>
          <w:rFonts w:cs="Arial"/>
          <w:bCs/>
          <w:iCs/>
          <w:sz w:val="24"/>
          <w:szCs w:val="24"/>
        </w:rPr>
        <w:t xml:space="preserve"> alloys are </w:t>
      </w:r>
      <w:r w:rsidR="00BA4F6C" w:rsidRPr="009C0A5D">
        <w:rPr>
          <w:rFonts w:cs="Arial"/>
          <w:bCs/>
          <w:iCs/>
          <w:sz w:val="24"/>
          <w:szCs w:val="24"/>
        </w:rPr>
        <w:t xml:space="preserve">frequently </w:t>
      </w:r>
      <w:r w:rsidR="00D83D6E" w:rsidRPr="009C0A5D">
        <w:rPr>
          <w:rFonts w:cs="Arial"/>
          <w:bCs/>
          <w:iCs/>
          <w:sz w:val="24"/>
          <w:szCs w:val="24"/>
        </w:rPr>
        <w:t xml:space="preserve">used </w:t>
      </w:r>
      <w:r w:rsidR="00867963" w:rsidRPr="009C0A5D">
        <w:rPr>
          <w:rFonts w:cs="Arial"/>
          <w:bCs/>
          <w:iCs/>
          <w:sz w:val="24"/>
          <w:szCs w:val="24"/>
        </w:rPr>
        <w:t xml:space="preserve">as components of </w:t>
      </w:r>
      <w:r w:rsidR="00D83D6E" w:rsidRPr="009C0A5D">
        <w:rPr>
          <w:rFonts w:cs="Arial"/>
          <w:bCs/>
          <w:iCs/>
          <w:sz w:val="24"/>
          <w:szCs w:val="24"/>
        </w:rPr>
        <w:t>plumbing products in</w:t>
      </w:r>
      <w:r w:rsidR="00100956" w:rsidRPr="009C0A5D">
        <w:rPr>
          <w:rFonts w:cs="Arial"/>
          <w:bCs/>
          <w:iCs/>
          <w:sz w:val="24"/>
          <w:szCs w:val="24"/>
        </w:rPr>
        <w:t xml:space="preserve"> contact with drinking water</w:t>
      </w:r>
      <w:r w:rsidR="00867963" w:rsidRPr="009C0A5D">
        <w:rPr>
          <w:rFonts w:cs="Arial"/>
          <w:bCs/>
          <w:iCs/>
          <w:sz w:val="24"/>
          <w:szCs w:val="24"/>
        </w:rPr>
        <w:t xml:space="preserve">. </w:t>
      </w:r>
    </w:p>
    <w:p w14:paraId="6D0495D8" w14:textId="194450F7" w:rsidR="0055428E" w:rsidRDefault="004C228D" w:rsidP="00C30F2F">
      <w:pPr>
        <w:spacing w:line="360" w:lineRule="auto"/>
        <w:jc w:val="both"/>
        <w:rPr>
          <w:rFonts w:cs="Arial"/>
          <w:bCs/>
          <w:iCs/>
          <w:sz w:val="24"/>
          <w:szCs w:val="24"/>
        </w:rPr>
      </w:pPr>
      <w:r>
        <w:rPr>
          <w:rFonts w:cs="Arial"/>
          <w:bCs/>
          <w:iCs/>
          <w:sz w:val="24"/>
          <w:szCs w:val="24"/>
        </w:rPr>
        <w:t>A recent survey by the Australian Building Codes Board (ABCB) of the Australian plumbing industry indicated that</w:t>
      </w:r>
      <w:r w:rsidR="00CF4FD2">
        <w:rPr>
          <w:rFonts w:cs="Arial"/>
          <w:bCs/>
          <w:iCs/>
          <w:sz w:val="24"/>
          <w:szCs w:val="24"/>
        </w:rPr>
        <w:t xml:space="preserve"> of all</w:t>
      </w:r>
      <w:r w:rsidR="004C4931">
        <w:rPr>
          <w:rFonts w:cs="Arial"/>
          <w:bCs/>
          <w:iCs/>
          <w:sz w:val="24"/>
          <w:szCs w:val="24"/>
        </w:rPr>
        <w:t xml:space="preserve"> the</w:t>
      </w:r>
      <w:r w:rsidR="00CF4FD2">
        <w:rPr>
          <w:rFonts w:cs="Arial"/>
          <w:bCs/>
          <w:iCs/>
          <w:sz w:val="24"/>
          <w:szCs w:val="24"/>
        </w:rPr>
        <w:t xml:space="preserve"> plumbing products in contact with drinking water </w:t>
      </w:r>
      <w:r w:rsidR="004C4931">
        <w:rPr>
          <w:rFonts w:cs="Arial"/>
          <w:bCs/>
          <w:iCs/>
          <w:sz w:val="24"/>
          <w:szCs w:val="24"/>
        </w:rPr>
        <w:t>only around 10% of the product was sold as ‘low lead’.</w:t>
      </w:r>
    </w:p>
    <w:p w14:paraId="63F57C39" w14:textId="26E878A2" w:rsidR="00442DC7" w:rsidRPr="009C0A5D" w:rsidRDefault="00442DC7" w:rsidP="00C30F2F">
      <w:pPr>
        <w:spacing w:line="360" w:lineRule="auto"/>
        <w:jc w:val="both"/>
        <w:rPr>
          <w:rFonts w:cs="Arial"/>
          <w:bCs/>
          <w:iCs/>
          <w:sz w:val="24"/>
          <w:szCs w:val="24"/>
        </w:rPr>
      </w:pPr>
      <w:r w:rsidRPr="009C0A5D">
        <w:rPr>
          <w:rFonts w:cs="Arial"/>
          <w:bCs/>
          <w:iCs/>
          <w:sz w:val="24"/>
          <w:szCs w:val="24"/>
        </w:rPr>
        <w:t>The allowable amount of lead</w:t>
      </w:r>
      <w:r>
        <w:rPr>
          <w:rFonts w:cs="Arial"/>
          <w:bCs/>
          <w:iCs/>
          <w:sz w:val="24"/>
          <w:szCs w:val="24"/>
        </w:rPr>
        <w:t xml:space="preserve"> varies depending on the plumbing product and</w:t>
      </w:r>
      <w:r w:rsidRPr="009C0A5D">
        <w:rPr>
          <w:rFonts w:cs="Arial"/>
          <w:bCs/>
          <w:iCs/>
          <w:sz w:val="24"/>
          <w:szCs w:val="24"/>
        </w:rPr>
        <w:t xml:space="preserve"> is regulated in Australia</w:t>
      </w:r>
      <w:r>
        <w:rPr>
          <w:rFonts w:cs="Arial"/>
          <w:bCs/>
          <w:iCs/>
          <w:sz w:val="24"/>
          <w:szCs w:val="24"/>
        </w:rPr>
        <w:t xml:space="preserve"> </w:t>
      </w:r>
      <w:r w:rsidRPr="009C0A5D">
        <w:rPr>
          <w:rFonts w:cs="Arial"/>
          <w:bCs/>
          <w:iCs/>
          <w:sz w:val="24"/>
          <w:szCs w:val="24"/>
        </w:rPr>
        <w:t>through</w:t>
      </w:r>
      <w:r>
        <w:rPr>
          <w:rFonts w:cs="Arial"/>
          <w:bCs/>
          <w:iCs/>
          <w:sz w:val="24"/>
          <w:szCs w:val="24"/>
        </w:rPr>
        <w:t xml:space="preserve"> both manufacturing standards and via</w:t>
      </w:r>
      <w:r w:rsidRPr="009C0A5D">
        <w:rPr>
          <w:rFonts w:cs="Arial"/>
          <w:bCs/>
          <w:iCs/>
          <w:sz w:val="24"/>
          <w:szCs w:val="24"/>
        </w:rPr>
        <w:t xml:space="preserve"> the adoption of </w:t>
      </w:r>
      <w:r>
        <w:rPr>
          <w:rFonts w:cs="Arial"/>
          <w:bCs/>
          <w:iCs/>
          <w:sz w:val="24"/>
          <w:szCs w:val="24"/>
        </w:rPr>
        <w:t xml:space="preserve">the </w:t>
      </w:r>
      <w:r w:rsidRPr="009C0A5D">
        <w:rPr>
          <w:rFonts w:cs="Arial"/>
          <w:bCs/>
          <w:iCs/>
          <w:sz w:val="24"/>
          <w:szCs w:val="24"/>
        </w:rPr>
        <w:t xml:space="preserve">Australian and New Zealand Standard (AS/NZS) 4020 </w:t>
      </w:r>
      <w:r w:rsidRPr="00E93B63">
        <w:rPr>
          <w:rFonts w:cs="Arial"/>
          <w:bCs/>
          <w:i/>
          <w:sz w:val="24"/>
          <w:szCs w:val="24"/>
        </w:rPr>
        <w:t>Testing of Products for Use in Contact with Drinking Water</w:t>
      </w:r>
      <w:r>
        <w:rPr>
          <w:rFonts w:cs="Arial"/>
          <w:bCs/>
          <w:i/>
          <w:sz w:val="24"/>
          <w:szCs w:val="24"/>
        </w:rPr>
        <w:t xml:space="preserve">. </w:t>
      </w:r>
      <w:r>
        <w:rPr>
          <w:rFonts w:cs="Arial"/>
          <w:bCs/>
          <w:iCs/>
          <w:sz w:val="24"/>
          <w:szCs w:val="24"/>
        </w:rPr>
        <w:t>It is</w:t>
      </w:r>
      <w:r w:rsidRPr="009C0A5D">
        <w:rPr>
          <w:rFonts w:cs="Arial"/>
          <w:bCs/>
          <w:iCs/>
          <w:sz w:val="24"/>
          <w:szCs w:val="24"/>
        </w:rPr>
        <w:t xml:space="preserve"> a requirement of the </w:t>
      </w:r>
      <w:r>
        <w:rPr>
          <w:rFonts w:cs="Arial"/>
          <w:bCs/>
          <w:iCs/>
          <w:sz w:val="24"/>
          <w:szCs w:val="24"/>
        </w:rPr>
        <w:t>National Construction Code (NCC) Volume Three, that</w:t>
      </w:r>
      <w:r w:rsidRPr="009C0A5D">
        <w:rPr>
          <w:rFonts w:cs="Arial"/>
          <w:bCs/>
          <w:iCs/>
          <w:sz w:val="24"/>
          <w:szCs w:val="24"/>
        </w:rPr>
        <w:t xml:space="preserve"> lead water levels not exceed 10 micrograms (</w:t>
      </w:r>
      <w:r w:rsidRPr="001465C2">
        <w:rPr>
          <w:rFonts w:cs="Arial"/>
          <w:color w:val="333333"/>
          <w:sz w:val="24"/>
          <w:szCs w:val="24"/>
          <w:shd w:val="clear" w:color="auto" w:fill="FFFFFF"/>
        </w:rPr>
        <w:t>μ</w:t>
      </w:r>
      <w:r w:rsidRPr="009C0A5D">
        <w:rPr>
          <w:rFonts w:cs="Arial"/>
          <w:bCs/>
          <w:iCs/>
          <w:sz w:val="24"/>
          <w:szCs w:val="24"/>
        </w:rPr>
        <w:t>g) per litre (L) of water when tested in accordance with the Standard.</w:t>
      </w:r>
      <w:r w:rsidRPr="009C0A5D">
        <w:rPr>
          <w:rStyle w:val="FootnoteReference"/>
          <w:rFonts w:cs="Arial"/>
          <w:bCs/>
          <w:iCs/>
          <w:sz w:val="24"/>
          <w:szCs w:val="24"/>
        </w:rPr>
        <w:footnoteReference w:id="2"/>
      </w:r>
      <w:r w:rsidRPr="009C0A5D">
        <w:rPr>
          <w:rFonts w:cs="Arial"/>
          <w:bCs/>
          <w:iCs/>
          <w:sz w:val="24"/>
          <w:szCs w:val="24"/>
        </w:rPr>
        <w:t xml:space="preserve"> </w:t>
      </w:r>
      <w:r>
        <w:rPr>
          <w:rFonts w:cs="Arial"/>
          <w:bCs/>
          <w:iCs/>
          <w:sz w:val="24"/>
          <w:szCs w:val="24"/>
        </w:rPr>
        <w:t xml:space="preserve">This requirement was first introduced in 1991 and has contributed to a measurable reduction of lead exposure from drinking water in Australia. </w:t>
      </w:r>
    </w:p>
    <w:p w14:paraId="5BAB812E" w14:textId="28D0E441" w:rsidR="00442DC7" w:rsidRPr="009C0A5D" w:rsidRDefault="00442DC7" w:rsidP="00C30F2F">
      <w:pPr>
        <w:spacing w:line="360" w:lineRule="auto"/>
        <w:jc w:val="both"/>
        <w:rPr>
          <w:rFonts w:cs="Arial"/>
          <w:bCs/>
          <w:iCs/>
          <w:sz w:val="24"/>
          <w:szCs w:val="24"/>
        </w:rPr>
      </w:pPr>
      <w:r w:rsidRPr="009C0A5D">
        <w:rPr>
          <w:rFonts w:cs="Arial"/>
          <w:bCs/>
          <w:iCs/>
          <w:sz w:val="24"/>
          <w:szCs w:val="24"/>
        </w:rPr>
        <w:t>Lead has long been recognised as a cumulative toxicant and there is no blood</w:t>
      </w:r>
      <w:r>
        <w:rPr>
          <w:rFonts w:cs="Arial"/>
          <w:bCs/>
          <w:iCs/>
          <w:sz w:val="24"/>
          <w:szCs w:val="24"/>
        </w:rPr>
        <w:t xml:space="preserve"> </w:t>
      </w:r>
      <w:r w:rsidRPr="009C0A5D">
        <w:rPr>
          <w:rFonts w:cs="Arial"/>
          <w:bCs/>
          <w:iCs/>
          <w:sz w:val="24"/>
          <w:szCs w:val="24"/>
        </w:rPr>
        <w:t>lead level which is considered safe.</w:t>
      </w:r>
      <w:r w:rsidRPr="009C0A5D">
        <w:rPr>
          <w:rStyle w:val="FootnoteReference"/>
          <w:rFonts w:cs="Arial"/>
          <w:bCs/>
          <w:iCs/>
          <w:sz w:val="24"/>
          <w:szCs w:val="24"/>
        </w:rPr>
        <w:footnoteReference w:id="3"/>
      </w:r>
      <w:r>
        <w:rPr>
          <w:rFonts w:cs="Arial"/>
          <w:bCs/>
          <w:iCs/>
          <w:sz w:val="24"/>
          <w:szCs w:val="24"/>
        </w:rPr>
        <w:t xml:space="preserve"> O</w:t>
      </w:r>
      <w:r w:rsidRPr="009C0A5D">
        <w:rPr>
          <w:rFonts w:cs="Arial"/>
          <w:bCs/>
          <w:iCs/>
          <w:sz w:val="24"/>
          <w:szCs w:val="24"/>
        </w:rPr>
        <w:t xml:space="preserve">nce lead enters the blood, it is distributed to organs such as the brain, kidneys, liver and bones. At high lead exposure, lead has been known to cause coma, convulsion and death. </w:t>
      </w:r>
      <w:r>
        <w:rPr>
          <w:rFonts w:cs="Arial"/>
          <w:bCs/>
          <w:iCs/>
          <w:sz w:val="24"/>
          <w:szCs w:val="24"/>
        </w:rPr>
        <w:t xml:space="preserve">The health impacts of lead are most profound in children under 4 years of age and pregnant women. </w:t>
      </w:r>
    </w:p>
    <w:p w14:paraId="5D879FD2" w14:textId="5B6BA554" w:rsidR="00442DC7" w:rsidRPr="007E264B" w:rsidRDefault="00442DC7" w:rsidP="00C30F2F">
      <w:pPr>
        <w:spacing w:line="360" w:lineRule="auto"/>
        <w:jc w:val="both"/>
        <w:rPr>
          <w:rFonts w:cs="Arial"/>
          <w:bCs/>
          <w:iCs/>
          <w:sz w:val="24"/>
          <w:szCs w:val="24"/>
          <w:vertAlign w:val="superscript"/>
        </w:rPr>
      </w:pPr>
      <w:r w:rsidRPr="009C0A5D">
        <w:rPr>
          <w:rFonts w:cs="Arial"/>
          <w:bCs/>
          <w:iCs/>
          <w:sz w:val="24"/>
          <w:szCs w:val="24"/>
        </w:rPr>
        <w:t>At blood</w:t>
      </w:r>
      <w:r>
        <w:rPr>
          <w:rFonts w:cs="Arial"/>
          <w:bCs/>
          <w:iCs/>
          <w:sz w:val="24"/>
          <w:szCs w:val="24"/>
        </w:rPr>
        <w:t xml:space="preserve"> </w:t>
      </w:r>
      <w:r w:rsidRPr="009C0A5D">
        <w:rPr>
          <w:rFonts w:cs="Arial"/>
          <w:bCs/>
          <w:iCs/>
          <w:sz w:val="24"/>
          <w:szCs w:val="24"/>
        </w:rPr>
        <w:t xml:space="preserve">lead levels which were previously considered safe, lead is now known to </w:t>
      </w:r>
      <w:r>
        <w:rPr>
          <w:rFonts w:cs="Arial"/>
          <w:bCs/>
          <w:iCs/>
          <w:sz w:val="24"/>
          <w:szCs w:val="24"/>
        </w:rPr>
        <w:t>be associated with</w:t>
      </w:r>
      <w:r w:rsidRPr="009C0A5D">
        <w:rPr>
          <w:rFonts w:cs="Arial"/>
          <w:bCs/>
          <w:iCs/>
          <w:sz w:val="24"/>
          <w:szCs w:val="24"/>
        </w:rPr>
        <w:t xml:space="preserve"> a spectrum of health consequences which include reduced intelligence quotient (IQ), behavioural changes </w:t>
      </w:r>
      <w:r>
        <w:rPr>
          <w:rFonts w:cs="Arial"/>
          <w:bCs/>
          <w:iCs/>
          <w:sz w:val="24"/>
          <w:szCs w:val="24"/>
        </w:rPr>
        <w:t>(</w:t>
      </w:r>
      <w:r w:rsidRPr="009C0A5D">
        <w:rPr>
          <w:rFonts w:cs="Arial"/>
          <w:bCs/>
          <w:iCs/>
          <w:sz w:val="24"/>
          <w:szCs w:val="24"/>
        </w:rPr>
        <w:t>such as reduced attention span and increased antisocial behaviour</w:t>
      </w:r>
      <w:r>
        <w:rPr>
          <w:rFonts w:cs="Arial"/>
          <w:bCs/>
          <w:iCs/>
          <w:sz w:val="24"/>
          <w:szCs w:val="24"/>
        </w:rPr>
        <w:t>)</w:t>
      </w:r>
      <w:r w:rsidRPr="009C0A5D">
        <w:rPr>
          <w:rFonts w:cs="Arial"/>
          <w:bCs/>
          <w:iCs/>
          <w:sz w:val="24"/>
          <w:szCs w:val="24"/>
        </w:rPr>
        <w:t xml:space="preserve">, anaemia, hypertension, renal impairment, immunotoxicity and toxicity to reproductive organs. These effects are believed to be irreversible and have resulted in both the World Health Organisation (WHO) and the </w:t>
      </w:r>
      <w:r w:rsidR="00DD3048" w:rsidRPr="0043705D">
        <w:rPr>
          <w:rFonts w:cs="Arial"/>
          <w:sz w:val="24"/>
          <w:szCs w:val="24"/>
          <w:shd w:val="clear" w:color="auto" w:fill="FFFFFF"/>
        </w:rPr>
        <w:lastRenderedPageBreak/>
        <w:t>independent statutory agency the</w:t>
      </w:r>
      <w:r w:rsidR="00DD3048">
        <w:rPr>
          <w:rFonts w:cs="Arial"/>
          <w:color w:val="354052"/>
          <w:sz w:val="23"/>
          <w:szCs w:val="23"/>
          <w:shd w:val="clear" w:color="auto" w:fill="FFFFFF"/>
        </w:rPr>
        <w:t xml:space="preserve"> </w:t>
      </w:r>
      <w:r w:rsidRPr="009C0A5D">
        <w:rPr>
          <w:rFonts w:cs="Arial"/>
          <w:bCs/>
          <w:iCs/>
          <w:sz w:val="24"/>
          <w:szCs w:val="24"/>
        </w:rPr>
        <w:t xml:space="preserve">National Health and Medical Research Council (NHMRC) encouraging governments to </w:t>
      </w:r>
      <w:r>
        <w:rPr>
          <w:rFonts w:cs="Arial"/>
          <w:bCs/>
          <w:iCs/>
          <w:sz w:val="24"/>
          <w:szCs w:val="24"/>
        </w:rPr>
        <w:t>eliminate</w:t>
      </w:r>
      <w:r w:rsidRPr="009C0A5D">
        <w:rPr>
          <w:rFonts w:cs="Arial"/>
          <w:bCs/>
          <w:iCs/>
          <w:sz w:val="24"/>
          <w:szCs w:val="24"/>
        </w:rPr>
        <w:t xml:space="preserve"> </w:t>
      </w:r>
      <w:r>
        <w:rPr>
          <w:rFonts w:cs="Arial"/>
          <w:bCs/>
          <w:iCs/>
          <w:sz w:val="24"/>
          <w:szCs w:val="24"/>
        </w:rPr>
        <w:t>non-essential uses of lead</w:t>
      </w:r>
      <w:r w:rsidRPr="009C0A5D">
        <w:rPr>
          <w:rFonts w:cs="Arial"/>
          <w:bCs/>
          <w:iCs/>
          <w:sz w:val="24"/>
          <w:szCs w:val="24"/>
        </w:rPr>
        <w:t>.</w:t>
      </w:r>
      <w:r w:rsidRPr="009C0A5D">
        <w:rPr>
          <w:rStyle w:val="FootnoteReference"/>
          <w:rFonts w:cs="Arial"/>
          <w:bCs/>
          <w:iCs/>
          <w:sz w:val="24"/>
          <w:szCs w:val="24"/>
        </w:rPr>
        <w:footnoteReference w:id="4"/>
      </w:r>
      <w:r w:rsidRPr="007E264B">
        <w:rPr>
          <w:rFonts w:cs="Arial"/>
          <w:bCs/>
          <w:iCs/>
          <w:sz w:val="24"/>
          <w:szCs w:val="24"/>
          <w:vertAlign w:val="superscript"/>
        </w:rPr>
        <w:t>,</w:t>
      </w:r>
      <w:r>
        <w:rPr>
          <w:rStyle w:val="FootnoteReference"/>
          <w:rFonts w:cs="Arial"/>
          <w:bCs/>
          <w:iCs/>
          <w:sz w:val="24"/>
          <w:szCs w:val="24"/>
        </w:rPr>
        <w:footnoteReference w:id="5"/>
      </w:r>
    </w:p>
    <w:p w14:paraId="370B1A86" w14:textId="77777777" w:rsidR="00442DC7" w:rsidRDefault="00442DC7" w:rsidP="00F85893">
      <w:pPr>
        <w:spacing w:line="360" w:lineRule="auto"/>
        <w:jc w:val="both"/>
        <w:rPr>
          <w:rFonts w:cs="Arial"/>
          <w:bCs/>
          <w:iCs/>
          <w:sz w:val="24"/>
          <w:szCs w:val="24"/>
        </w:rPr>
      </w:pPr>
      <w:r>
        <w:rPr>
          <w:rFonts w:cs="Arial"/>
          <w:bCs/>
          <w:iCs/>
          <w:sz w:val="24"/>
          <w:szCs w:val="24"/>
        </w:rPr>
        <w:t>People can be exposed to lead from</w:t>
      </w:r>
      <w:r w:rsidRPr="009C0A5D">
        <w:rPr>
          <w:rFonts w:cs="Arial"/>
          <w:bCs/>
          <w:iCs/>
          <w:sz w:val="24"/>
          <w:szCs w:val="24"/>
        </w:rPr>
        <w:t xml:space="preserve"> </w:t>
      </w:r>
      <w:r>
        <w:rPr>
          <w:rFonts w:cs="Arial"/>
          <w:bCs/>
          <w:iCs/>
          <w:sz w:val="24"/>
          <w:szCs w:val="24"/>
        </w:rPr>
        <w:t>i</w:t>
      </w:r>
      <w:r w:rsidRPr="00F85893">
        <w:rPr>
          <w:rFonts w:cs="Arial"/>
          <w:bCs/>
          <w:iCs/>
          <w:sz w:val="24"/>
          <w:szCs w:val="24"/>
        </w:rPr>
        <w:t>ngestion of airborne dust, water, food and soil</w:t>
      </w:r>
      <w:r>
        <w:rPr>
          <w:rFonts w:cs="Arial"/>
          <w:bCs/>
          <w:iCs/>
          <w:sz w:val="24"/>
          <w:szCs w:val="24"/>
        </w:rPr>
        <w:t xml:space="preserve">. </w:t>
      </w:r>
      <w:r w:rsidRPr="009C0A5D">
        <w:rPr>
          <w:rFonts w:cs="Arial"/>
          <w:bCs/>
          <w:iCs/>
          <w:sz w:val="24"/>
          <w:szCs w:val="24"/>
        </w:rPr>
        <w:t xml:space="preserve"> </w:t>
      </w:r>
      <w:r>
        <w:rPr>
          <w:rFonts w:cs="Arial"/>
          <w:bCs/>
          <w:iCs/>
          <w:sz w:val="24"/>
          <w:szCs w:val="24"/>
        </w:rPr>
        <w:t>T</w:t>
      </w:r>
      <w:r w:rsidRPr="009C0A5D">
        <w:rPr>
          <w:rFonts w:cs="Arial"/>
          <w:bCs/>
          <w:iCs/>
          <w:sz w:val="24"/>
          <w:szCs w:val="24"/>
        </w:rPr>
        <w:t xml:space="preserve">he most common source of lead in </w:t>
      </w:r>
      <w:r>
        <w:rPr>
          <w:rFonts w:cs="Arial"/>
          <w:bCs/>
          <w:iCs/>
          <w:sz w:val="24"/>
          <w:szCs w:val="24"/>
        </w:rPr>
        <w:t>drinking</w:t>
      </w:r>
      <w:r w:rsidRPr="009C0A5D">
        <w:rPr>
          <w:rFonts w:cs="Arial"/>
          <w:bCs/>
          <w:iCs/>
          <w:sz w:val="24"/>
          <w:szCs w:val="24"/>
        </w:rPr>
        <w:t xml:space="preserve"> water is caused by lead leaching from plumbing products</w:t>
      </w:r>
      <w:r>
        <w:rPr>
          <w:rFonts w:cs="Arial"/>
          <w:bCs/>
          <w:iCs/>
          <w:sz w:val="24"/>
          <w:szCs w:val="24"/>
        </w:rPr>
        <w:t xml:space="preserve"> from within the premises</w:t>
      </w:r>
      <w:r w:rsidRPr="009C0A5D">
        <w:rPr>
          <w:rFonts w:cs="Arial"/>
          <w:bCs/>
          <w:iCs/>
          <w:sz w:val="24"/>
          <w:szCs w:val="24"/>
        </w:rPr>
        <w:t>.</w:t>
      </w:r>
      <w:r>
        <w:rPr>
          <w:rStyle w:val="FootnoteReference"/>
          <w:rFonts w:cs="Arial"/>
          <w:bCs/>
          <w:iCs/>
          <w:sz w:val="24"/>
          <w:szCs w:val="24"/>
        </w:rPr>
        <w:footnoteReference w:id="6"/>
      </w:r>
      <w:r w:rsidRPr="009C0A5D">
        <w:rPr>
          <w:rFonts w:cs="Arial"/>
          <w:bCs/>
          <w:iCs/>
          <w:sz w:val="24"/>
          <w:szCs w:val="24"/>
        </w:rPr>
        <w:t xml:space="preserve"> </w:t>
      </w:r>
    </w:p>
    <w:p w14:paraId="40055B59" w14:textId="031C2317" w:rsidR="00442DC7" w:rsidRDefault="00442DC7" w:rsidP="004E1A8B">
      <w:pPr>
        <w:spacing w:line="360" w:lineRule="auto"/>
        <w:jc w:val="both"/>
        <w:rPr>
          <w:rFonts w:cs="Arial"/>
          <w:bCs/>
          <w:iCs/>
          <w:sz w:val="24"/>
          <w:szCs w:val="24"/>
        </w:rPr>
      </w:pPr>
      <w:r>
        <w:rPr>
          <w:rFonts w:cs="Arial"/>
          <w:bCs/>
          <w:iCs/>
          <w:sz w:val="24"/>
          <w:szCs w:val="24"/>
        </w:rPr>
        <w:t>To mitigate the risk associated with lead exposure in Australia, d</w:t>
      </w:r>
      <w:r w:rsidRPr="003A53FA">
        <w:rPr>
          <w:rFonts w:cs="Arial"/>
          <w:bCs/>
          <w:iCs/>
          <w:sz w:val="24"/>
          <w:szCs w:val="24"/>
        </w:rPr>
        <w:t>rinking water is routinely tested for</w:t>
      </w:r>
      <w:r>
        <w:rPr>
          <w:rFonts w:cs="Arial"/>
          <w:bCs/>
          <w:iCs/>
          <w:sz w:val="24"/>
          <w:szCs w:val="24"/>
        </w:rPr>
        <w:t xml:space="preserve"> the presence of</w:t>
      </w:r>
      <w:r w:rsidRPr="003A53FA">
        <w:rPr>
          <w:rFonts w:cs="Arial"/>
          <w:bCs/>
          <w:iCs/>
          <w:sz w:val="24"/>
          <w:szCs w:val="24"/>
        </w:rPr>
        <w:t xml:space="preserve"> </w:t>
      </w:r>
      <w:r>
        <w:rPr>
          <w:rFonts w:cs="Arial"/>
          <w:bCs/>
          <w:iCs/>
          <w:sz w:val="24"/>
          <w:szCs w:val="24"/>
        </w:rPr>
        <w:t xml:space="preserve">metals, including lead, by Network Utility Operators (NUOs). Such intervention is effective and Australian drinking water supplied to the premises is ranked in the top 15% for water quality in the world. </w:t>
      </w:r>
      <w:r w:rsidRPr="004E1A8B">
        <w:rPr>
          <w:rFonts w:cs="Arial"/>
          <w:bCs/>
          <w:iCs/>
          <w:sz w:val="24"/>
          <w:szCs w:val="24"/>
        </w:rPr>
        <w:t>Hence, where lead is present in drinking water in quantities above that permitted by AS/NZS 4020, the likely cause is plumbing products in contact with drinking water from within the property.</w:t>
      </w:r>
    </w:p>
    <w:p w14:paraId="288E48EA" w14:textId="77777777" w:rsidR="00442DC7" w:rsidRPr="00E7693B" w:rsidRDefault="00442DC7" w:rsidP="003E21EE">
      <w:pPr>
        <w:pStyle w:val="Heading2"/>
        <w:spacing w:after="240"/>
        <w:rPr>
          <w:rFonts w:ascii="Arial" w:hAnsi="Arial" w:cs="Arial"/>
          <w:b w:val="0"/>
          <w:bCs w:val="0"/>
          <w:szCs w:val="32"/>
        </w:rPr>
      </w:pPr>
      <w:bookmarkStart w:id="11" w:name="_Toc71195724"/>
      <w:bookmarkStart w:id="12" w:name="_Toc71789251"/>
      <w:r>
        <w:rPr>
          <w:rFonts w:ascii="Arial" w:hAnsi="Arial" w:cs="Arial"/>
          <w:b w:val="0"/>
          <w:bCs w:val="0"/>
          <w:szCs w:val="32"/>
        </w:rPr>
        <w:t>Background</w:t>
      </w:r>
      <w:bookmarkEnd w:id="11"/>
      <w:bookmarkEnd w:id="12"/>
    </w:p>
    <w:p w14:paraId="758FFBD7" w14:textId="77777777" w:rsidR="00442DC7" w:rsidRPr="009C0A5D" w:rsidRDefault="00442DC7" w:rsidP="00C30F2F">
      <w:pPr>
        <w:spacing w:line="360" w:lineRule="auto"/>
        <w:jc w:val="both"/>
        <w:rPr>
          <w:rFonts w:cs="Arial"/>
          <w:bCs/>
          <w:iCs/>
          <w:sz w:val="24"/>
          <w:szCs w:val="24"/>
        </w:rPr>
      </w:pPr>
      <w:r w:rsidRPr="009C0A5D">
        <w:rPr>
          <w:rFonts w:cs="Arial"/>
          <w:bCs/>
          <w:iCs/>
          <w:sz w:val="24"/>
          <w:szCs w:val="24"/>
        </w:rPr>
        <w:t xml:space="preserve">Plumbing products in contact with drinking water have received negative attention for their potential to leach lead. </w:t>
      </w:r>
      <w:r>
        <w:rPr>
          <w:rFonts w:cs="Arial"/>
          <w:bCs/>
          <w:iCs/>
          <w:sz w:val="24"/>
          <w:szCs w:val="24"/>
        </w:rPr>
        <w:t>In 2016</w:t>
      </w:r>
      <w:r w:rsidRPr="009C0A5D">
        <w:rPr>
          <w:rFonts w:cs="Arial"/>
          <w:bCs/>
          <w:iCs/>
          <w:sz w:val="24"/>
          <w:szCs w:val="24"/>
        </w:rPr>
        <w:t xml:space="preserve">, the Perth Children’s Hospital </w:t>
      </w:r>
      <w:r>
        <w:rPr>
          <w:rFonts w:cs="Arial"/>
          <w:bCs/>
          <w:iCs/>
          <w:sz w:val="24"/>
          <w:szCs w:val="24"/>
        </w:rPr>
        <w:t xml:space="preserve">(PCH) </w:t>
      </w:r>
      <w:r w:rsidRPr="009C0A5D">
        <w:rPr>
          <w:rFonts w:cs="Arial"/>
          <w:bCs/>
          <w:iCs/>
          <w:sz w:val="24"/>
          <w:szCs w:val="24"/>
        </w:rPr>
        <w:t xml:space="preserve">was found to have lead leaching from in-line fittings within the drinking water supply </w:t>
      </w:r>
      <w:r>
        <w:rPr>
          <w:rFonts w:cs="Arial"/>
          <w:bCs/>
          <w:iCs/>
          <w:sz w:val="24"/>
          <w:szCs w:val="24"/>
        </w:rPr>
        <w:t xml:space="preserve">exceeding </w:t>
      </w:r>
      <w:r w:rsidRPr="009C0A5D">
        <w:rPr>
          <w:rFonts w:cs="Arial"/>
          <w:bCs/>
          <w:iCs/>
          <w:sz w:val="24"/>
          <w:szCs w:val="24"/>
        </w:rPr>
        <w:t>10</w:t>
      </w:r>
      <w:r>
        <w:rPr>
          <w:rFonts w:cs="Arial"/>
          <w:bCs/>
          <w:iCs/>
          <w:sz w:val="24"/>
          <w:szCs w:val="24"/>
        </w:rPr>
        <w:t xml:space="preserve"> </w:t>
      </w:r>
      <w:r w:rsidRPr="001465C2">
        <w:rPr>
          <w:rFonts w:cs="Arial"/>
          <w:color w:val="333333"/>
          <w:sz w:val="24"/>
          <w:szCs w:val="24"/>
          <w:shd w:val="clear" w:color="auto" w:fill="FFFFFF"/>
        </w:rPr>
        <w:t>μ</w:t>
      </w:r>
      <w:r w:rsidRPr="009C0A5D">
        <w:rPr>
          <w:rFonts w:cs="Arial"/>
          <w:bCs/>
          <w:iCs/>
          <w:sz w:val="24"/>
          <w:szCs w:val="24"/>
        </w:rPr>
        <w:t>g/</w:t>
      </w:r>
      <w:r>
        <w:rPr>
          <w:rFonts w:cs="Arial"/>
          <w:bCs/>
          <w:iCs/>
          <w:sz w:val="24"/>
          <w:szCs w:val="24"/>
        </w:rPr>
        <w:t>L</w:t>
      </w:r>
      <w:r w:rsidRPr="009C0A5D">
        <w:rPr>
          <w:rFonts w:cs="Arial"/>
          <w:bCs/>
          <w:iCs/>
          <w:sz w:val="24"/>
          <w:szCs w:val="24"/>
        </w:rPr>
        <w:t>. A study in New South Wales</w:t>
      </w:r>
      <w:r>
        <w:rPr>
          <w:rFonts w:cs="Arial"/>
          <w:bCs/>
          <w:iCs/>
          <w:sz w:val="24"/>
          <w:szCs w:val="24"/>
        </w:rPr>
        <w:t xml:space="preserve"> in the same year</w:t>
      </w:r>
      <w:r w:rsidRPr="009C0A5D">
        <w:rPr>
          <w:rFonts w:cs="Arial"/>
          <w:bCs/>
          <w:iCs/>
          <w:sz w:val="24"/>
          <w:szCs w:val="24"/>
        </w:rPr>
        <w:t xml:space="preserve"> also found that </w:t>
      </w:r>
      <w:r>
        <w:rPr>
          <w:rFonts w:cs="Arial"/>
          <w:bCs/>
          <w:iCs/>
          <w:sz w:val="24"/>
          <w:szCs w:val="24"/>
        </w:rPr>
        <w:t>8%</w:t>
      </w:r>
      <w:r w:rsidRPr="009C0A5D">
        <w:rPr>
          <w:rFonts w:cs="Arial"/>
          <w:bCs/>
          <w:iCs/>
          <w:sz w:val="24"/>
          <w:szCs w:val="24"/>
        </w:rPr>
        <w:t xml:space="preserve"> of 212 homes</w:t>
      </w:r>
      <w:r>
        <w:rPr>
          <w:rFonts w:cs="Arial"/>
          <w:bCs/>
          <w:iCs/>
          <w:sz w:val="24"/>
          <w:szCs w:val="24"/>
        </w:rPr>
        <w:t xml:space="preserve"> studied</w:t>
      </w:r>
      <w:r w:rsidRPr="009C0A5D">
        <w:rPr>
          <w:rFonts w:cs="Arial"/>
          <w:bCs/>
          <w:iCs/>
          <w:sz w:val="24"/>
          <w:szCs w:val="24"/>
        </w:rPr>
        <w:t xml:space="preserve"> presented lead levels that exceeded 10</w:t>
      </w:r>
      <w:r>
        <w:rPr>
          <w:rFonts w:cs="Arial"/>
          <w:bCs/>
          <w:iCs/>
          <w:sz w:val="24"/>
          <w:szCs w:val="24"/>
        </w:rPr>
        <w:t xml:space="preserve"> </w:t>
      </w:r>
      <w:r w:rsidRPr="001465C2">
        <w:rPr>
          <w:rFonts w:cs="Arial"/>
          <w:color w:val="333333"/>
          <w:sz w:val="24"/>
          <w:szCs w:val="24"/>
          <w:shd w:val="clear" w:color="auto" w:fill="FFFFFF"/>
        </w:rPr>
        <w:t>μ</w:t>
      </w:r>
      <w:r w:rsidRPr="009C0A5D">
        <w:rPr>
          <w:rFonts w:cs="Arial"/>
          <w:bCs/>
          <w:iCs/>
          <w:sz w:val="24"/>
          <w:szCs w:val="24"/>
        </w:rPr>
        <w:t>g/L.</w:t>
      </w:r>
      <w:r w:rsidRPr="00145840">
        <w:rPr>
          <w:rStyle w:val="FootnoteReference"/>
          <w:rFonts w:cs="Arial"/>
          <w:bCs/>
          <w:iCs/>
          <w:sz w:val="24"/>
          <w:szCs w:val="24"/>
        </w:rPr>
        <w:footnoteReference w:id="7"/>
      </w:r>
      <w:r>
        <w:rPr>
          <w:rFonts w:cs="Arial"/>
          <w:bCs/>
          <w:iCs/>
          <w:sz w:val="24"/>
          <w:szCs w:val="24"/>
        </w:rPr>
        <w:t xml:space="preserve"> </w:t>
      </w:r>
    </w:p>
    <w:p w14:paraId="2FBD6835" w14:textId="6BC58743" w:rsidR="00442DC7" w:rsidRDefault="00442DC7" w:rsidP="00C30F2F">
      <w:pPr>
        <w:spacing w:line="360" w:lineRule="auto"/>
        <w:jc w:val="both"/>
        <w:rPr>
          <w:rFonts w:cs="Arial"/>
          <w:bCs/>
          <w:iCs/>
          <w:sz w:val="24"/>
          <w:szCs w:val="24"/>
        </w:rPr>
      </w:pPr>
      <w:r>
        <w:rPr>
          <w:rFonts w:cs="Arial"/>
          <w:bCs/>
          <w:iCs/>
          <w:sz w:val="24"/>
          <w:szCs w:val="24"/>
        </w:rPr>
        <w:t>Incidences of high lead levels in drinking water</w:t>
      </w:r>
      <w:r w:rsidRPr="009C0A5D">
        <w:rPr>
          <w:rFonts w:cs="Arial"/>
          <w:bCs/>
          <w:iCs/>
          <w:sz w:val="24"/>
          <w:szCs w:val="24"/>
        </w:rPr>
        <w:t xml:space="preserve"> have resulted in the issuing of advice from the Environmental Health Standing Committee (enHealth)</w:t>
      </w:r>
      <w:r w:rsidR="00287BEC">
        <w:rPr>
          <w:rFonts w:cs="Arial"/>
          <w:bCs/>
          <w:iCs/>
          <w:sz w:val="24"/>
          <w:szCs w:val="24"/>
        </w:rPr>
        <w:t xml:space="preserve">, </w:t>
      </w:r>
      <w:r w:rsidR="00287BEC" w:rsidRPr="002D1E18">
        <w:rPr>
          <w:rFonts w:cs="Arial"/>
          <w:color w:val="000000"/>
          <w:sz w:val="24"/>
          <w:szCs w:val="24"/>
          <w:shd w:val="clear" w:color="auto" w:fill="FFFFFF"/>
        </w:rPr>
        <w:t xml:space="preserve">a standing committee made up of heath representatives of states and territories and the Commonwealth that provides national advice on environmental health matters, </w:t>
      </w:r>
      <w:r w:rsidR="00A348E2" w:rsidRPr="00D801C3">
        <w:rPr>
          <w:rFonts w:cs="Arial"/>
          <w:bCs/>
          <w:iCs/>
          <w:sz w:val="24"/>
          <w:szCs w:val="24"/>
        </w:rPr>
        <w:t>that</w:t>
      </w:r>
      <w:r w:rsidR="00A348E2">
        <w:rPr>
          <w:rFonts w:cs="Arial"/>
          <w:bCs/>
          <w:iCs/>
          <w:sz w:val="24"/>
          <w:szCs w:val="24"/>
        </w:rPr>
        <w:t xml:space="preserve"> </w:t>
      </w:r>
      <w:r>
        <w:rPr>
          <w:rFonts w:cs="Arial"/>
          <w:bCs/>
          <w:iCs/>
          <w:sz w:val="24"/>
          <w:szCs w:val="24"/>
        </w:rPr>
        <w:t>encourag</w:t>
      </w:r>
      <w:r w:rsidR="00A348E2">
        <w:rPr>
          <w:rFonts w:cs="Arial"/>
          <w:bCs/>
          <w:iCs/>
          <w:sz w:val="24"/>
          <w:szCs w:val="24"/>
        </w:rPr>
        <w:t>ed</w:t>
      </w:r>
      <w:r>
        <w:rPr>
          <w:rFonts w:cs="Arial"/>
          <w:bCs/>
          <w:iCs/>
          <w:sz w:val="24"/>
          <w:szCs w:val="24"/>
        </w:rPr>
        <w:t xml:space="preserve"> occupants to draw water each morning before use for a period of 30 seconds.</w:t>
      </w:r>
      <w:r w:rsidRPr="00C30F2F">
        <w:rPr>
          <w:vertAlign w:val="superscript"/>
        </w:rPr>
        <w:footnoteReference w:id="8"/>
      </w:r>
      <w:r>
        <w:rPr>
          <w:rFonts w:cs="Arial"/>
          <w:bCs/>
          <w:iCs/>
          <w:sz w:val="24"/>
          <w:szCs w:val="24"/>
        </w:rPr>
        <w:t xml:space="preserve"> I</w:t>
      </w:r>
      <w:r w:rsidR="008B6DF1">
        <w:rPr>
          <w:rFonts w:cs="Arial"/>
          <w:bCs/>
          <w:iCs/>
          <w:sz w:val="24"/>
          <w:szCs w:val="24"/>
        </w:rPr>
        <w:t xml:space="preserve">ncidences </w:t>
      </w:r>
      <w:r>
        <w:rPr>
          <w:rFonts w:cs="Arial"/>
          <w:bCs/>
          <w:iCs/>
          <w:sz w:val="24"/>
          <w:szCs w:val="24"/>
        </w:rPr>
        <w:t xml:space="preserve">also led to </w:t>
      </w:r>
      <w:r w:rsidRPr="009C0A5D">
        <w:rPr>
          <w:rFonts w:cs="Arial"/>
          <w:bCs/>
          <w:iCs/>
          <w:sz w:val="24"/>
          <w:szCs w:val="24"/>
        </w:rPr>
        <w:t xml:space="preserve">the ABCB </w:t>
      </w:r>
      <w:r>
        <w:rPr>
          <w:rFonts w:cs="Arial"/>
          <w:bCs/>
          <w:iCs/>
          <w:sz w:val="24"/>
          <w:szCs w:val="24"/>
        </w:rPr>
        <w:t>undertaking</w:t>
      </w:r>
      <w:r w:rsidRPr="009C0A5D">
        <w:rPr>
          <w:rFonts w:cs="Arial"/>
          <w:bCs/>
          <w:iCs/>
          <w:sz w:val="24"/>
          <w:szCs w:val="24"/>
        </w:rPr>
        <w:t xml:space="preserve"> a project to investigate options to address the issue</w:t>
      </w:r>
      <w:r>
        <w:rPr>
          <w:rFonts w:cs="Arial"/>
          <w:bCs/>
          <w:iCs/>
          <w:sz w:val="24"/>
          <w:szCs w:val="24"/>
        </w:rPr>
        <w:t xml:space="preserve">, including the commissioning of a report in 2018 by Macquarie University, </w:t>
      </w:r>
      <w:r w:rsidRPr="00D17186">
        <w:rPr>
          <w:rFonts w:cs="Arial"/>
          <w:bCs/>
          <w:i/>
          <w:iCs/>
          <w:sz w:val="24"/>
          <w:szCs w:val="24"/>
        </w:rPr>
        <w:t xml:space="preserve">Lead in </w:t>
      </w:r>
      <w:r w:rsidRPr="00D17186">
        <w:rPr>
          <w:rFonts w:cs="Arial"/>
          <w:bCs/>
          <w:i/>
          <w:iCs/>
          <w:sz w:val="24"/>
          <w:szCs w:val="24"/>
        </w:rPr>
        <w:lastRenderedPageBreak/>
        <w:t>Plumbing Products and Materials</w:t>
      </w:r>
      <w:r>
        <w:rPr>
          <w:rFonts w:cs="Arial"/>
          <w:bCs/>
          <w:iCs/>
          <w:sz w:val="24"/>
          <w:szCs w:val="24"/>
        </w:rPr>
        <w:t>,</w:t>
      </w:r>
      <w:r w:rsidRPr="00927FF5">
        <w:rPr>
          <w:rFonts w:cs="Arial"/>
          <w:bCs/>
          <w:iCs/>
          <w:sz w:val="24"/>
          <w:szCs w:val="24"/>
        </w:rPr>
        <w:t xml:space="preserve"> </w:t>
      </w:r>
      <w:r>
        <w:rPr>
          <w:rFonts w:cs="Arial"/>
          <w:bCs/>
          <w:iCs/>
          <w:sz w:val="24"/>
          <w:szCs w:val="24"/>
        </w:rPr>
        <w:t>which evaluated the extent lead is used in the manufacture of plumbing products and materials in contact with drinking water in Australia</w:t>
      </w:r>
      <w:r w:rsidRPr="009C0A5D">
        <w:rPr>
          <w:rFonts w:cs="Arial"/>
          <w:bCs/>
          <w:iCs/>
          <w:sz w:val="24"/>
          <w:szCs w:val="24"/>
        </w:rPr>
        <w:t>.</w:t>
      </w:r>
      <w:r>
        <w:rPr>
          <w:rStyle w:val="FootnoteReference"/>
          <w:rFonts w:cs="Arial"/>
          <w:bCs/>
          <w:iCs/>
          <w:sz w:val="24"/>
          <w:szCs w:val="24"/>
        </w:rPr>
        <w:footnoteReference w:id="9"/>
      </w:r>
      <w:r w:rsidRPr="009C0A5D">
        <w:rPr>
          <w:rFonts w:cs="Arial"/>
          <w:bCs/>
          <w:iCs/>
          <w:sz w:val="24"/>
          <w:szCs w:val="24"/>
        </w:rPr>
        <w:t xml:space="preserve"> </w:t>
      </w:r>
    </w:p>
    <w:p w14:paraId="105391E6" w14:textId="3E67D1AF" w:rsidR="00442DC7" w:rsidRDefault="00442DC7" w:rsidP="00C30F2F">
      <w:pPr>
        <w:spacing w:line="360" w:lineRule="auto"/>
        <w:jc w:val="both"/>
        <w:rPr>
          <w:rFonts w:cs="Arial"/>
          <w:bCs/>
          <w:iCs/>
          <w:sz w:val="24"/>
          <w:szCs w:val="24"/>
        </w:rPr>
      </w:pPr>
      <w:r w:rsidRPr="009C0A5D">
        <w:rPr>
          <w:rFonts w:cs="Arial"/>
          <w:bCs/>
          <w:iCs/>
          <w:sz w:val="24"/>
          <w:szCs w:val="24"/>
        </w:rPr>
        <w:t xml:space="preserve">In May 2019, a </w:t>
      </w:r>
      <w:r>
        <w:rPr>
          <w:rFonts w:cs="Arial"/>
          <w:bCs/>
          <w:iCs/>
          <w:sz w:val="24"/>
          <w:szCs w:val="24"/>
        </w:rPr>
        <w:t>Lead in Plumbing Products</w:t>
      </w:r>
      <w:r w:rsidR="00E67721">
        <w:rPr>
          <w:rFonts w:cs="Arial"/>
          <w:bCs/>
          <w:iCs/>
          <w:sz w:val="24"/>
          <w:szCs w:val="24"/>
        </w:rPr>
        <w:t xml:space="preserve"> F</w:t>
      </w:r>
      <w:r w:rsidRPr="009C0A5D">
        <w:rPr>
          <w:rFonts w:cs="Arial"/>
          <w:bCs/>
          <w:iCs/>
          <w:sz w:val="24"/>
          <w:szCs w:val="24"/>
        </w:rPr>
        <w:t xml:space="preserve">orum was convened </w:t>
      </w:r>
      <w:r>
        <w:rPr>
          <w:rFonts w:cs="Arial"/>
          <w:bCs/>
          <w:iCs/>
          <w:sz w:val="24"/>
          <w:szCs w:val="24"/>
        </w:rPr>
        <w:t xml:space="preserve">by the ABCB </w:t>
      </w:r>
      <w:r w:rsidRPr="009C0A5D">
        <w:rPr>
          <w:rFonts w:cs="Arial"/>
          <w:bCs/>
          <w:iCs/>
          <w:sz w:val="24"/>
          <w:szCs w:val="24"/>
        </w:rPr>
        <w:t>with representatives of plumbing manufacture</w:t>
      </w:r>
      <w:r>
        <w:rPr>
          <w:rFonts w:cs="Arial"/>
          <w:bCs/>
          <w:iCs/>
          <w:sz w:val="24"/>
          <w:szCs w:val="24"/>
        </w:rPr>
        <w:t>r</w:t>
      </w:r>
      <w:r w:rsidRPr="009C0A5D">
        <w:rPr>
          <w:rFonts w:cs="Arial"/>
          <w:bCs/>
          <w:iCs/>
          <w:sz w:val="24"/>
          <w:szCs w:val="24"/>
        </w:rPr>
        <w:t>s</w:t>
      </w:r>
      <w:r>
        <w:rPr>
          <w:rFonts w:cs="Arial"/>
          <w:bCs/>
          <w:iCs/>
          <w:sz w:val="24"/>
          <w:szCs w:val="24"/>
        </w:rPr>
        <w:t>,</w:t>
      </w:r>
      <w:r w:rsidRPr="009C0A5D">
        <w:rPr>
          <w:rFonts w:cs="Arial"/>
          <w:bCs/>
          <w:iCs/>
          <w:sz w:val="24"/>
          <w:szCs w:val="24"/>
        </w:rPr>
        <w:t xml:space="preserve"> </w:t>
      </w:r>
      <w:r>
        <w:rPr>
          <w:rFonts w:cs="Arial"/>
          <w:bCs/>
          <w:iCs/>
          <w:sz w:val="24"/>
          <w:szCs w:val="24"/>
        </w:rPr>
        <w:t>c</w:t>
      </w:r>
      <w:r w:rsidRPr="009C0A5D">
        <w:rPr>
          <w:rFonts w:cs="Arial"/>
          <w:bCs/>
          <w:iCs/>
          <w:sz w:val="24"/>
          <w:szCs w:val="24"/>
        </w:rPr>
        <w:t xml:space="preserve">hairpersons of </w:t>
      </w:r>
      <w:r>
        <w:rPr>
          <w:rFonts w:cs="Arial"/>
          <w:bCs/>
          <w:iCs/>
          <w:sz w:val="24"/>
          <w:szCs w:val="24"/>
        </w:rPr>
        <w:t>Standards Australia’s technical committees responsible for the relevant product specifications</w:t>
      </w:r>
      <w:r w:rsidRPr="009C0A5D">
        <w:rPr>
          <w:rFonts w:cs="Arial"/>
          <w:bCs/>
          <w:iCs/>
          <w:sz w:val="24"/>
          <w:szCs w:val="24"/>
        </w:rPr>
        <w:t xml:space="preserve">, enHealth and plumbing suppliers and retailers. </w:t>
      </w:r>
      <w:r>
        <w:rPr>
          <w:rFonts w:cs="Arial"/>
          <w:bCs/>
          <w:iCs/>
          <w:sz w:val="24"/>
          <w:szCs w:val="24"/>
        </w:rPr>
        <w:t xml:space="preserve">During the forum, </w:t>
      </w:r>
      <w:r w:rsidRPr="009C0A5D">
        <w:rPr>
          <w:rFonts w:cs="Arial"/>
          <w:bCs/>
          <w:iCs/>
          <w:sz w:val="24"/>
          <w:szCs w:val="24"/>
        </w:rPr>
        <w:t xml:space="preserve">participants considered the need to further reduce lead levels in plumbing products and a survey of attendees </w:t>
      </w:r>
      <w:r>
        <w:rPr>
          <w:rFonts w:cs="Arial"/>
          <w:bCs/>
          <w:iCs/>
          <w:sz w:val="24"/>
          <w:szCs w:val="24"/>
        </w:rPr>
        <w:t xml:space="preserve">revealed that </w:t>
      </w:r>
      <w:r w:rsidRPr="009C0A5D">
        <w:rPr>
          <w:rFonts w:cs="Arial"/>
          <w:bCs/>
          <w:iCs/>
          <w:sz w:val="24"/>
          <w:szCs w:val="24"/>
        </w:rPr>
        <w:t xml:space="preserve">92% agreed </w:t>
      </w:r>
      <w:r>
        <w:rPr>
          <w:rFonts w:cs="Arial"/>
          <w:bCs/>
          <w:iCs/>
          <w:sz w:val="24"/>
          <w:szCs w:val="24"/>
        </w:rPr>
        <w:t>that lead content</w:t>
      </w:r>
      <w:r w:rsidRPr="009C0A5D">
        <w:rPr>
          <w:rFonts w:cs="Arial"/>
          <w:bCs/>
          <w:iCs/>
          <w:sz w:val="24"/>
          <w:szCs w:val="24"/>
        </w:rPr>
        <w:t xml:space="preserve"> in plumbing products</w:t>
      </w:r>
      <w:r>
        <w:rPr>
          <w:rFonts w:cs="Arial"/>
          <w:bCs/>
          <w:iCs/>
          <w:sz w:val="24"/>
          <w:szCs w:val="24"/>
        </w:rPr>
        <w:t xml:space="preserve"> in contact with drinking water</w:t>
      </w:r>
      <w:r w:rsidRPr="009C0A5D">
        <w:rPr>
          <w:rFonts w:cs="Arial"/>
          <w:bCs/>
          <w:iCs/>
          <w:sz w:val="24"/>
          <w:szCs w:val="24"/>
        </w:rPr>
        <w:t xml:space="preserve"> should be reduced.</w:t>
      </w:r>
    </w:p>
    <w:p w14:paraId="7110D375" w14:textId="6A2D6F14" w:rsidR="00442DC7" w:rsidRPr="00E7693B" w:rsidRDefault="00442DC7" w:rsidP="00E7693B">
      <w:pPr>
        <w:pStyle w:val="Heading3"/>
        <w:rPr>
          <w:rFonts w:ascii="Arial" w:hAnsi="Arial" w:cs="Arial"/>
          <w:b w:val="0"/>
        </w:rPr>
      </w:pPr>
      <w:bookmarkStart w:id="14" w:name="_Toc71195725"/>
      <w:bookmarkStart w:id="15" w:name="_Toc71789252"/>
      <w:r w:rsidRPr="00E7693B">
        <w:rPr>
          <w:rFonts w:ascii="Arial" w:hAnsi="Arial" w:cs="Arial"/>
          <w:b w:val="0"/>
        </w:rPr>
        <w:t xml:space="preserve">Controlling </w:t>
      </w:r>
      <w:r>
        <w:rPr>
          <w:rFonts w:ascii="Arial" w:hAnsi="Arial" w:cs="Arial"/>
          <w:b w:val="0"/>
        </w:rPr>
        <w:t>l</w:t>
      </w:r>
      <w:r w:rsidRPr="00E7693B">
        <w:rPr>
          <w:rFonts w:ascii="Arial" w:hAnsi="Arial" w:cs="Arial"/>
          <w:b w:val="0"/>
        </w:rPr>
        <w:t xml:space="preserve">ead </w:t>
      </w:r>
      <w:r>
        <w:rPr>
          <w:rFonts w:ascii="Arial" w:hAnsi="Arial" w:cs="Arial"/>
          <w:b w:val="0"/>
        </w:rPr>
        <w:t>c</w:t>
      </w:r>
      <w:r w:rsidRPr="00E7693B">
        <w:rPr>
          <w:rFonts w:ascii="Arial" w:hAnsi="Arial" w:cs="Arial"/>
          <w:b w:val="0"/>
        </w:rPr>
        <w:t>ontent</w:t>
      </w:r>
      <w:bookmarkEnd w:id="14"/>
      <w:r>
        <w:rPr>
          <w:rFonts w:ascii="Arial" w:hAnsi="Arial" w:cs="Arial"/>
          <w:b w:val="0"/>
        </w:rPr>
        <w:t xml:space="preserve"> in drinking water</w:t>
      </w:r>
      <w:bookmarkEnd w:id="15"/>
    </w:p>
    <w:p w14:paraId="2D8D2478" w14:textId="381855E6" w:rsidR="00442DC7" w:rsidRDefault="00442DC7" w:rsidP="009D68D9">
      <w:pPr>
        <w:spacing w:before="120" w:line="360" w:lineRule="auto"/>
        <w:jc w:val="both"/>
        <w:rPr>
          <w:rFonts w:cs="Arial"/>
          <w:bCs/>
          <w:iCs/>
          <w:sz w:val="24"/>
          <w:szCs w:val="24"/>
        </w:rPr>
      </w:pPr>
      <w:r>
        <w:rPr>
          <w:rFonts w:cs="Arial"/>
          <w:bCs/>
          <w:iCs/>
          <w:sz w:val="24"/>
          <w:szCs w:val="24"/>
        </w:rPr>
        <w:t>Current i</w:t>
      </w:r>
      <w:r w:rsidRPr="009C0A5D">
        <w:rPr>
          <w:rFonts w:cs="Arial"/>
          <w:bCs/>
          <w:iCs/>
          <w:sz w:val="24"/>
          <w:szCs w:val="24"/>
        </w:rPr>
        <w:t xml:space="preserve">nterventions that seek to reduce lead </w:t>
      </w:r>
      <w:r>
        <w:rPr>
          <w:rFonts w:cs="Arial"/>
          <w:bCs/>
          <w:iCs/>
          <w:sz w:val="24"/>
          <w:szCs w:val="24"/>
        </w:rPr>
        <w:t>content in drinking water occur within a framework</w:t>
      </w:r>
      <w:r w:rsidR="00EF1D24">
        <w:rPr>
          <w:rFonts w:cs="Arial"/>
          <w:bCs/>
          <w:iCs/>
          <w:sz w:val="24"/>
          <w:szCs w:val="24"/>
        </w:rPr>
        <w:t>,</w:t>
      </w:r>
      <w:r>
        <w:rPr>
          <w:rFonts w:cs="Arial"/>
          <w:bCs/>
          <w:iCs/>
          <w:sz w:val="24"/>
          <w:szCs w:val="24"/>
        </w:rPr>
        <w:t xml:space="preserve"> which has been shown to be successful. These </w:t>
      </w:r>
      <w:r w:rsidRPr="009C0A5D">
        <w:rPr>
          <w:rFonts w:cs="Arial"/>
          <w:bCs/>
          <w:iCs/>
          <w:sz w:val="24"/>
          <w:szCs w:val="24"/>
        </w:rPr>
        <w:t>include</w:t>
      </w:r>
      <w:r>
        <w:rPr>
          <w:rFonts w:cs="Arial"/>
          <w:bCs/>
          <w:iCs/>
          <w:sz w:val="24"/>
          <w:szCs w:val="24"/>
        </w:rPr>
        <w:t>:</w:t>
      </w:r>
    </w:p>
    <w:p w14:paraId="1ABCD7E7" w14:textId="6C0B3B17" w:rsidR="00442DC7" w:rsidRDefault="00442DC7" w:rsidP="00413DCC">
      <w:pPr>
        <w:pStyle w:val="ListParagraph"/>
        <w:numPr>
          <w:ilvl w:val="0"/>
          <w:numId w:val="48"/>
        </w:numPr>
        <w:spacing w:before="120" w:line="360" w:lineRule="auto"/>
        <w:jc w:val="both"/>
        <w:rPr>
          <w:rFonts w:cs="Arial"/>
          <w:bCs/>
          <w:iCs/>
          <w:sz w:val="24"/>
          <w:szCs w:val="24"/>
        </w:rPr>
      </w:pPr>
      <w:r>
        <w:rPr>
          <w:rFonts w:cs="Arial"/>
          <w:bCs/>
          <w:iCs/>
          <w:sz w:val="24"/>
          <w:szCs w:val="24"/>
        </w:rPr>
        <w:t>W</w:t>
      </w:r>
      <w:r w:rsidRPr="009D68D9">
        <w:rPr>
          <w:rFonts w:cs="Arial"/>
          <w:bCs/>
          <w:iCs/>
          <w:sz w:val="24"/>
          <w:szCs w:val="24"/>
        </w:rPr>
        <w:t>ater treatment by pH adjustment and other water treatment strategies to reduce lead solubility, which can reduce dissolved lead concentrations but not eliminate the problem</w:t>
      </w:r>
      <w:r>
        <w:rPr>
          <w:rFonts w:cs="Arial"/>
          <w:bCs/>
          <w:iCs/>
          <w:sz w:val="24"/>
          <w:szCs w:val="24"/>
        </w:rPr>
        <w:t>.</w:t>
      </w:r>
    </w:p>
    <w:p w14:paraId="59B37742" w14:textId="77777777" w:rsidR="00442DC7" w:rsidRDefault="00442DC7" w:rsidP="00413DCC">
      <w:pPr>
        <w:pStyle w:val="ListParagraph"/>
        <w:numPr>
          <w:ilvl w:val="0"/>
          <w:numId w:val="48"/>
        </w:numPr>
        <w:spacing w:before="120" w:line="360" w:lineRule="auto"/>
        <w:jc w:val="both"/>
        <w:rPr>
          <w:rFonts w:cs="Arial"/>
          <w:bCs/>
          <w:iCs/>
          <w:sz w:val="24"/>
          <w:szCs w:val="24"/>
        </w:rPr>
      </w:pPr>
      <w:r>
        <w:rPr>
          <w:rFonts w:cs="Arial"/>
          <w:bCs/>
          <w:iCs/>
          <w:sz w:val="24"/>
          <w:szCs w:val="24"/>
        </w:rPr>
        <w:t xml:space="preserve">Water testing standards, such as AS/NZS 4020, which ensure a product’s contribution of lead in drinking water does not exceed 10 </w:t>
      </w:r>
      <w:r w:rsidRPr="001465C2">
        <w:rPr>
          <w:rFonts w:cs="Arial"/>
          <w:color w:val="333333"/>
          <w:sz w:val="24"/>
          <w:szCs w:val="24"/>
          <w:shd w:val="clear" w:color="auto" w:fill="FFFFFF"/>
        </w:rPr>
        <w:t>μ</w:t>
      </w:r>
      <w:r>
        <w:rPr>
          <w:rFonts w:cs="Arial"/>
          <w:bCs/>
          <w:iCs/>
          <w:sz w:val="24"/>
          <w:szCs w:val="24"/>
        </w:rPr>
        <w:t xml:space="preserve">g/L. </w:t>
      </w:r>
    </w:p>
    <w:p w14:paraId="54F2FD9C" w14:textId="144CED64" w:rsidR="00442DC7" w:rsidRPr="006240BA" w:rsidRDefault="00442DC7" w:rsidP="00413DCC">
      <w:pPr>
        <w:pStyle w:val="ListParagraph"/>
        <w:numPr>
          <w:ilvl w:val="0"/>
          <w:numId w:val="48"/>
        </w:numPr>
        <w:spacing w:before="120" w:line="360" w:lineRule="auto"/>
        <w:jc w:val="both"/>
        <w:rPr>
          <w:rFonts w:cs="Arial"/>
          <w:bCs/>
          <w:iCs/>
          <w:sz w:val="24"/>
          <w:szCs w:val="24"/>
        </w:rPr>
      </w:pPr>
      <w:r>
        <w:rPr>
          <w:rFonts w:cs="Arial"/>
          <w:bCs/>
          <w:iCs/>
          <w:sz w:val="24"/>
          <w:szCs w:val="24"/>
        </w:rPr>
        <w:t xml:space="preserve">Placing limits on the maximum allowable lead levels within product specifications, which allow up to 6% lead content for some plumbing products in contact with drinking water. </w:t>
      </w:r>
    </w:p>
    <w:p w14:paraId="08F83353" w14:textId="64202450" w:rsidR="00442DC7" w:rsidRPr="009C0A5D" w:rsidRDefault="00442DC7" w:rsidP="00A31C80">
      <w:pPr>
        <w:spacing w:line="360" w:lineRule="auto"/>
        <w:jc w:val="both"/>
        <w:rPr>
          <w:rFonts w:cs="Arial"/>
          <w:bCs/>
          <w:iCs/>
          <w:sz w:val="24"/>
          <w:szCs w:val="24"/>
        </w:rPr>
      </w:pPr>
      <w:r>
        <w:rPr>
          <w:rFonts w:cs="Arial"/>
          <w:bCs/>
          <w:iCs/>
          <w:sz w:val="24"/>
          <w:szCs w:val="24"/>
        </w:rPr>
        <w:t>Despite the success of these interventions, researchers at t</w:t>
      </w:r>
      <w:r w:rsidRPr="009C0A5D">
        <w:rPr>
          <w:rFonts w:cs="Arial"/>
          <w:bCs/>
          <w:iCs/>
          <w:sz w:val="24"/>
          <w:szCs w:val="24"/>
        </w:rPr>
        <w:t>he</w:t>
      </w:r>
      <w:r>
        <w:rPr>
          <w:rFonts w:cs="Arial"/>
          <w:bCs/>
          <w:iCs/>
          <w:sz w:val="24"/>
          <w:szCs w:val="24"/>
        </w:rPr>
        <w:t xml:space="preserve"> Macquarie University </w:t>
      </w:r>
      <w:r w:rsidRPr="009C0A5D">
        <w:rPr>
          <w:rFonts w:cs="Arial"/>
          <w:bCs/>
          <w:iCs/>
          <w:sz w:val="24"/>
          <w:szCs w:val="24"/>
        </w:rPr>
        <w:t>found</w:t>
      </w:r>
      <w:r>
        <w:rPr>
          <w:rFonts w:cs="Arial"/>
          <w:bCs/>
          <w:iCs/>
          <w:sz w:val="24"/>
          <w:szCs w:val="24"/>
        </w:rPr>
        <w:t xml:space="preserve"> that the most effective means in further reducing lead content in drinking water was interventions targeted at its source, through the use </w:t>
      </w:r>
      <w:r w:rsidRPr="009C0A5D">
        <w:rPr>
          <w:rFonts w:cs="Arial"/>
          <w:bCs/>
          <w:iCs/>
          <w:sz w:val="24"/>
          <w:szCs w:val="24"/>
        </w:rPr>
        <w:t>of</w:t>
      </w:r>
      <w:r>
        <w:rPr>
          <w:rFonts w:cs="Arial"/>
          <w:bCs/>
          <w:iCs/>
          <w:sz w:val="24"/>
          <w:szCs w:val="24"/>
        </w:rPr>
        <w:t xml:space="preserve"> low lead </w:t>
      </w:r>
      <w:r w:rsidRPr="009C0A5D">
        <w:rPr>
          <w:rFonts w:cs="Arial"/>
          <w:bCs/>
          <w:iCs/>
          <w:sz w:val="24"/>
          <w:szCs w:val="24"/>
        </w:rPr>
        <w:t>plumbing products and materials.</w:t>
      </w:r>
      <w:r>
        <w:rPr>
          <w:rStyle w:val="FootnoteReference"/>
          <w:rFonts w:cs="Arial"/>
          <w:bCs/>
          <w:iCs/>
          <w:sz w:val="24"/>
          <w:szCs w:val="24"/>
        </w:rPr>
        <w:footnoteReference w:id="10"/>
      </w:r>
    </w:p>
    <w:p w14:paraId="34D5AEFA" w14:textId="070724B8" w:rsidR="00442DC7" w:rsidRPr="009C0A5D" w:rsidRDefault="00442DC7" w:rsidP="00C30F2F">
      <w:pPr>
        <w:spacing w:line="360" w:lineRule="auto"/>
        <w:jc w:val="both"/>
        <w:rPr>
          <w:rFonts w:cs="Arial"/>
          <w:bCs/>
          <w:iCs/>
          <w:sz w:val="24"/>
          <w:szCs w:val="24"/>
        </w:rPr>
      </w:pPr>
      <w:r w:rsidRPr="009C0A5D">
        <w:rPr>
          <w:rFonts w:cs="Arial"/>
          <w:bCs/>
          <w:iCs/>
          <w:sz w:val="24"/>
          <w:szCs w:val="24"/>
        </w:rPr>
        <w:t>Internationally, regulations pertaining to the use of lead in plumbing products in contact with drinking water have undergone reform in recent years. In 2014, USA federal legislation that was designed to substantially reduce the lead content of plumbing fixtures and fittings in contact with drinking water</w:t>
      </w:r>
      <w:r w:rsidR="00EF1D24" w:rsidRPr="00EF1D24">
        <w:rPr>
          <w:rFonts w:cs="Arial"/>
          <w:bCs/>
          <w:iCs/>
          <w:sz w:val="24"/>
          <w:szCs w:val="24"/>
        </w:rPr>
        <w:t xml:space="preserve"> </w:t>
      </w:r>
      <w:r w:rsidR="00EF1D24" w:rsidRPr="009C0A5D">
        <w:rPr>
          <w:rFonts w:cs="Arial"/>
          <w:bCs/>
          <w:iCs/>
          <w:sz w:val="24"/>
          <w:szCs w:val="24"/>
        </w:rPr>
        <w:t>commenced</w:t>
      </w:r>
      <w:r w:rsidRPr="009C0A5D">
        <w:rPr>
          <w:rFonts w:cs="Arial"/>
          <w:bCs/>
          <w:iCs/>
          <w:sz w:val="24"/>
          <w:szCs w:val="24"/>
        </w:rPr>
        <w:t xml:space="preserve">. The prescribed </w:t>
      </w:r>
      <w:r w:rsidRPr="009C0A5D">
        <w:rPr>
          <w:rFonts w:cs="Arial"/>
          <w:bCs/>
          <w:iCs/>
          <w:sz w:val="24"/>
          <w:szCs w:val="24"/>
        </w:rPr>
        <w:lastRenderedPageBreak/>
        <w:t>legislation requires a maximum limit of 0.25% lead calculated across the wetted surface of a pipe, pipe fitting, plumbing fitting and fixture and 0.2% lead for solder and flux on newly manufacture</w:t>
      </w:r>
      <w:r>
        <w:rPr>
          <w:rFonts w:cs="Arial"/>
          <w:bCs/>
          <w:iCs/>
          <w:sz w:val="24"/>
          <w:szCs w:val="24"/>
        </w:rPr>
        <w:t>d</w:t>
      </w:r>
      <w:r w:rsidRPr="009C0A5D">
        <w:rPr>
          <w:rFonts w:cs="Arial"/>
          <w:bCs/>
          <w:iCs/>
          <w:sz w:val="24"/>
          <w:szCs w:val="24"/>
        </w:rPr>
        <w:t xml:space="preserve"> or installed products.</w:t>
      </w:r>
      <w:r w:rsidRPr="00C30F2F">
        <w:rPr>
          <w:vertAlign w:val="superscript"/>
        </w:rPr>
        <w:footnoteReference w:id="11"/>
      </w:r>
      <w:r>
        <w:rPr>
          <w:rFonts w:cs="Arial"/>
          <w:bCs/>
          <w:iCs/>
          <w:sz w:val="24"/>
          <w:szCs w:val="24"/>
        </w:rPr>
        <w:t xml:space="preserve"> </w:t>
      </w:r>
      <w:r w:rsidRPr="009C0A5D">
        <w:rPr>
          <w:rFonts w:cs="Arial"/>
          <w:bCs/>
          <w:iCs/>
          <w:sz w:val="24"/>
          <w:szCs w:val="24"/>
        </w:rPr>
        <w:t>The</w:t>
      </w:r>
      <w:r>
        <w:rPr>
          <w:rFonts w:cs="Arial"/>
          <w:bCs/>
          <w:iCs/>
          <w:sz w:val="24"/>
          <w:szCs w:val="24"/>
        </w:rPr>
        <w:t>se</w:t>
      </w:r>
      <w:r w:rsidRPr="009C0A5D">
        <w:rPr>
          <w:rFonts w:cs="Arial"/>
          <w:bCs/>
          <w:iCs/>
          <w:sz w:val="24"/>
          <w:szCs w:val="24"/>
        </w:rPr>
        <w:t xml:space="preserve"> </w:t>
      </w:r>
      <w:r>
        <w:rPr>
          <w:rFonts w:cs="Arial"/>
          <w:bCs/>
          <w:iCs/>
          <w:sz w:val="24"/>
          <w:szCs w:val="24"/>
        </w:rPr>
        <w:t xml:space="preserve">new </w:t>
      </w:r>
      <w:r w:rsidRPr="009C0A5D">
        <w:rPr>
          <w:rFonts w:cs="Arial"/>
          <w:bCs/>
          <w:iCs/>
          <w:sz w:val="24"/>
          <w:szCs w:val="24"/>
        </w:rPr>
        <w:t xml:space="preserve">requirements </w:t>
      </w:r>
      <w:r>
        <w:rPr>
          <w:rFonts w:cs="Arial"/>
          <w:bCs/>
          <w:iCs/>
          <w:sz w:val="24"/>
          <w:szCs w:val="24"/>
        </w:rPr>
        <w:t>resulted in a</w:t>
      </w:r>
      <w:r w:rsidRPr="009C0A5D">
        <w:rPr>
          <w:rFonts w:cs="Arial"/>
          <w:bCs/>
          <w:iCs/>
          <w:sz w:val="24"/>
          <w:szCs w:val="24"/>
        </w:rPr>
        <w:t xml:space="preserve"> substantial reduction</w:t>
      </w:r>
      <w:r>
        <w:rPr>
          <w:rFonts w:cs="Arial"/>
          <w:bCs/>
          <w:iCs/>
          <w:sz w:val="24"/>
          <w:szCs w:val="24"/>
        </w:rPr>
        <w:t xml:space="preserve"> from</w:t>
      </w:r>
      <w:r w:rsidRPr="009C0A5D">
        <w:rPr>
          <w:rFonts w:cs="Arial"/>
          <w:bCs/>
          <w:iCs/>
          <w:sz w:val="24"/>
          <w:szCs w:val="24"/>
        </w:rPr>
        <w:t xml:space="preserve"> the previously permissible maximum</w:t>
      </w:r>
      <w:r>
        <w:rPr>
          <w:rFonts w:cs="Arial"/>
          <w:bCs/>
          <w:iCs/>
          <w:sz w:val="24"/>
          <w:szCs w:val="24"/>
        </w:rPr>
        <w:t xml:space="preserve"> lead</w:t>
      </w:r>
      <w:r w:rsidRPr="009C0A5D">
        <w:rPr>
          <w:rFonts w:cs="Arial"/>
          <w:bCs/>
          <w:iCs/>
          <w:sz w:val="24"/>
          <w:szCs w:val="24"/>
        </w:rPr>
        <w:t xml:space="preserve"> content of 8%</w:t>
      </w:r>
      <w:r>
        <w:rPr>
          <w:rFonts w:cs="Arial"/>
          <w:bCs/>
          <w:iCs/>
          <w:sz w:val="24"/>
          <w:szCs w:val="24"/>
        </w:rPr>
        <w:t xml:space="preserve"> and reflects the lowest lead level content which is technically achievable at this time</w:t>
      </w:r>
      <w:r w:rsidRPr="009C0A5D">
        <w:rPr>
          <w:rFonts w:cs="Arial"/>
          <w:bCs/>
          <w:iCs/>
          <w:sz w:val="24"/>
          <w:szCs w:val="24"/>
        </w:rPr>
        <w:t xml:space="preserve">. </w:t>
      </w:r>
      <w:r>
        <w:rPr>
          <w:rFonts w:cs="Arial"/>
          <w:bCs/>
          <w:iCs/>
          <w:sz w:val="24"/>
          <w:szCs w:val="24"/>
        </w:rPr>
        <w:t xml:space="preserve">This was enacted as part of the response to the </w:t>
      </w:r>
      <w:r w:rsidRPr="00621141">
        <w:rPr>
          <w:rFonts w:cs="Arial"/>
          <w:bCs/>
          <w:iCs/>
          <w:sz w:val="24"/>
          <w:szCs w:val="24"/>
        </w:rPr>
        <w:t>Maximum Contaminant Level Goal</w:t>
      </w:r>
      <w:r>
        <w:rPr>
          <w:rFonts w:cs="Arial"/>
          <w:bCs/>
          <w:iCs/>
          <w:sz w:val="24"/>
          <w:szCs w:val="24"/>
        </w:rPr>
        <w:t xml:space="preserve"> (MCLG) of zero being set by the (US) Environmental Protection Agency (EPA). </w:t>
      </w:r>
      <w:r w:rsidRPr="009C0A5D">
        <w:rPr>
          <w:rFonts w:cs="Arial"/>
          <w:bCs/>
          <w:iCs/>
          <w:sz w:val="24"/>
          <w:szCs w:val="24"/>
        </w:rPr>
        <w:t>Sweden</w:t>
      </w:r>
      <w:r w:rsidRPr="00F91172">
        <w:rPr>
          <w:vertAlign w:val="superscript"/>
        </w:rPr>
        <w:footnoteReference w:id="12"/>
      </w:r>
      <w:r w:rsidRPr="009C0A5D">
        <w:rPr>
          <w:rFonts w:cs="Arial"/>
          <w:bCs/>
          <w:iCs/>
          <w:sz w:val="24"/>
          <w:szCs w:val="24"/>
        </w:rPr>
        <w:t xml:space="preserve"> and Canada</w:t>
      </w:r>
      <w:r w:rsidRPr="00C30F2F">
        <w:rPr>
          <w:vertAlign w:val="superscript"/>
        </w:rPr>
        <w:footnoteReference w:id="13"/>
      </w:r>
      <w:r w:rsidRPr="009C0A5D">
        <w:rPr>
          <w:rFonts w:cs="Arial"/>
          <w:bCs/>
          <w:iCs/>
          <w:sz w:val="24"/>
          <w:szCs w:val="24"/>
        </w:rPr>
        <w:t xml:space="preserve"> have also recently reduced the permissible lead level</w:t>
      </w:r>
      <w:r>
        <w:rPr>
          <w:rFonts w:cs="Arial"/>
          <w:bCs/>
          <w:iCs/>
          <w:sz w:val="24"/>
          <w:szCs w:val="24"/>
        </w:rPr>
        <w:t xml:space="preserve"> in </w:t>
      </w:r>
      <w:r w:rsidRPr="009C0A5D">
        <w:rPr>
          <w:rFonts w:cs="Arial"/>
          <w:bCs/>
          <w:iCs/>
          <w:sz w:val="24"/>
          <w:szCs w:val="24"/>
        </w:rPr>
        <w:t>water</w:t>
      </w:r>
      <w:r>
        <w:rPr>
          <w:rFonts w:cs="Arial"/>
          <w:bCs/>
          <w:iCs/>
          <w:sz w:val="24"/>
          <w:szCs w:val="24"/>
        </w:rPr>
        <w:t xml:space="preserve"> belo</w:t>
      </w:r>
      <w:r w:rsidR="00EF1D24">
        <w:rPr>
          <w:rFonts w:cs="Arial"/>
          <w:bCs/>
          <w:iCs/>
          <w:sz w:val="24"/>
          <w:szCs w:val="24"/>
        </w:rPr>
        <w:t xml:space="preserve">w that of the Australian limit of </w:t>
      </w:r>
      <w:r>
        <w:rPr>
          <w:rFonts w:cs="Arial"/>
          <w:bCs/>
          <w:iCs/>
          <w:sz w:val="24"/>
          <w:szCs w:val="24"/>
        </w:rPr>
        <w:t xml:space="preserve">10 </w:t>
      </w:r>
      <w:r w:rsidRPr="001465C2">
        <w:rPr>
          <w:rFonts w:cs="Arial"/>
          <w:color w:val="333333"/>
          <w:sz w:val="24"/>
          <w:szCs w:val="24"/>
          <w:shd w:val="clear" w:color="auto" w:fill="FFFFFF"/>
        </w:rPr>
        <w:t>μ</w:t>
      </w:r>
      <w:r>
        <w:rPr>
          <w:rFonts w:cs="Arial"/>
          <w:bCs/>
          <w:iCs/>
          <w:sz w:val="24"/>
          <w:szCs w:val="24"/>
        </w:rPr>
        <w:t>g/L</w:t>
      </w:r>
      <w:r w:rsidRPr="009C0A5D">
        <w:rPr>
          <w:rFonts w:cs="Arial"/>
          <w:bCs/>
          <w:iCs/>
          <w:sz w:val="24"/>
          <w:szCs w:val="24"/>
        </w:rPr>
        <w:t>.</w:t>
      </w:r>
    </w:p>
    <w:p w14:paraId="04A66CAA" w14:textId="77777777" w:rsidR="00442DC7" w:rsidRPr="009C0A5D" w:rsidRDefault="00442DC7" w:rsidP="00C30F2F">
      <w:pPr>
        <w:spacing w:line="360" w:lineRule="auto"/>
        <w:jc w:val="both"/>
        <w:rPr>
          <w:rFonts w:cs="Arial"/>
          <w:bCs/>
          <w:iCs/>
          <w:sz w:val="24"/>
          <w:szCs w:val="24"/>
        </w:rPr>
      </w:pPr>
      <w:r w:rsidRPr="009C0A5D">
        <w:rPr>
          <w:rFonts w:cs="Arial"/>
          <w:bCs/>
          <w:iCs/>
          <w:sz w:val="24"/>
          <w:szCs w:val="24"/>
        </w:rPr>
        <w:t>Water testing standards internationally have also improved</w:t>
      </w:r>
      <w:r>
        <w:rPr>
          <w:rFonts w:cs="Arial"/>
          <w:bCs/>
          <w:iCs/>
          <w:sz w:val="24"/>
          <w:szCs w:val="24"/>
        </w:rPr>
        <w:t>,</w:t>
      </w:r>
      <w:r w:rsidRPr="009C0A5D">
        <w:rPr>
          <w:rFonts w:cs="Arial"/>
          <w:bCs/>
          <w:iCs/>
          <w:sz w:val="24"/>
          <w:szCs w:val="24"/>
        </w:rPr>
        <w:t xml:space="preserve"> resulting in </w:t>
      </w:r>
      <w:r>
        <w:rPr>
          <w:rFonts w:cs="Arial"/>
          <w:bCs/>
          <w:iCs/>
          <w:sz w:val="24"/>
          <w:szCs w:val="24"/>
        </w:rPr>
        <w:t>some</w:t>
      </w:r>
      <w:r w:rsidRPr="009C0A5D">
        <w:rPr>
          <w:rFonts w:cs="Arial"/>
          <w:bCs/>
          <w:iCs/>
          <w:sz w:val="24"/>
          <w:szCs w:val="24"/>
        </w:rPr>
        <w:t xml:space="preserve"> </w:t>
      </w:r>
      <w:r>
        <w:rPr>
          <w:rFonts w:cs="Arial"/>
          <w:bCs/>
          <w:iCs/>
          <w:sz w:val="24"/>
          <w:szCs w:val="24"/>
        </w:rPr>
        <w:t>stakeholders</w:t>
      </w:r>
      <w:r w:rsidRPr="009C0A5D">
        <w:rPr>
          <w:rFonts w:cs="Arial"/>
          <w:bCs/>
          <w:iCs/>
          <w:sz w:val="24"/>
          <w:szCs w:val="24"/>
        </w:rPr>
        <w:t xml:space="preserve"> suggesting that the test methods used in Australia with respect to lead are now out-dated, inconsistent with international practice and do not reflect how lead enters the water supply.</w:t>
      </w:r>
      <w:r>
        <w:rPr>
          <w:rStyle w:val="FootnoteReference"/>
          <w:rFonts w:cs="Arial"/>
          <w:bCs/>
          <w:iCs/>
          <w:sz w:val="24"/>
          <w:szCs w:val="24"/>
        </w:rPr>
        <w:footnoteReference w:id="14"/>
      </w:r>
      <w:r w:rsidRPr="00BB4D60">
        <w:rPr>
          <w:rFonts w:cs="Arial"/>
          <w:bCs/>
          <w:iCs/>
          <w:sz w:val="24"/>
          <w:szCs w:val="24"/>
          <w:vertAlign w:val="superscript"/>
        </w:rPr>
        <w:t>,</w:t>
      </w:r>
      <w:r>
        <w:rPr>
          <w:rStyle w:val="FootnoteReference"/>
          <w:rFonts w:cs="Arial"/>
          <w:bCs/>
          <w:iCs/>
          <w:sz w:val="24"/>
          <w:szCs w:val="24"/>
        </w:rPr>
        <w:footnoteReference w:id="15"/>
      </w:r>
      <w:r w:rsidRPr="009C0A5D">
        <w:rPr>
          <w:rFonts w:cs="Arial"/>
          <w:bCs/>
          <w:iCs/>
          <w:sz w:val="24"/>
          <w:szCs w:val="24"/>
        </w:rPr>
        <w:t xml:space="preserve"> The test methods for lead within AS/NZS 4020 have not substantially changed since the introduction of the test in 1991.</w:t>
      </w:r>
      <w:r w:rsidRPr="00C30F2F">
        <w:rPr>
          <w:vertAlign w:val="superscript"/>
        </w:rPr>
        <w:footnoteReference w:id="16"/>
      </w:r>
    </w:p>
    <w:p w14:paraId="7FA35FF0" w14:textId="5DAB8AB9" w:rsidR="00442DC7" w:rsidRDefault="00442DC7" w:rsidP="00C30F2F">
      <w:pPr>
        <w:spacing w:line="360" w:lineRule="auto"/>
        <w:jc w:val="both"/>
        <w:rPr>
          <w:rFonts w:cs="Arial"/>
          <w:bCs/>
          <w:iCs/>
          <w:sz w:val="24"/>
          <w:szCs w:val="24"/>
        </w:rPr>
      </w:pPr>
      <w:r w:rsidRPr="009C0A5D">
        <w:rPr>
          <w:rFonts w:cs="Arial"/>
          <w:bCs/>
          <w:iCs/>
          <w:sz w:val="24"/>
          <w:szCs w:val="24"/>
        </w:rPr>
        <w:t>Many factors influence the variability of lead in water. These factors include</w:t>
      </w:r>
      <w:r>
        <w:rPr>
          <w:rFonts w:cs="Arial"/>
          <w:bCs/>
          <w:iCs/>
          <w:sz w:val="24"/>
          <w:szCs w:val="24"/>
        </w:rPr>
        <w:t>;</w:t>
      </w:r>
      <w:r w:rsidRPr="009C0A5D">
        <w:rPr>
          <w:rFonts w:cs="Arial"/>
          <w:bCs/>
          <w:iCs/>
          <w:sz w:val="24"/>
          <w:szCs w:val="24"/>
        </w:rPr>
        <w:t xml:space="preserve"> the materials used in the plumbing system</w:t>
      </w:r>
      <w:r>
        <w:rPr>
          <w:rFonts w:cs="Arial"/>
          <w:bCs/>
          <w:iCs/>
          <w:sz w:val="24"/>
          <w:szCs w:val="24"/>
        </w:rPr>
        <w:t>;</w:t>
      </w:r>
      <w:r w:rsidRPr="009C0A5D">
        <w:rPr>
          <w:rFonts w:cs="Arial"/>
          <w:bCs/>
          <w:iCs/>
          <w:sz w:val="24"/>
          <w:szCs w:val="24"/>
        </w:rPr>
        <w:t xml:space="preserve"> the </w:t>
      </w:r>
      <w:r>
        <w:rPr>
          <w:rFonts w:cs="Arial"/>
          <w:bCs/>
          <w:iCs/>
          <w:sz w:val="24"/>
          <w:szCs w:val="24"/>
        </w:rPr>
        <w:t>age of the plumbing system and its</w:t>
      </w:r>
      <w:r w:rsidRPr="009C0A5D">
        <w:rPr>
          <w:rFonts w:cs="Arial"/>
          <w:bCs/>
          <w:iCs/>
          <w:sz w:val="24"/>
          <w:szCs w:val="24"/>
        </w:rPr>
        <w:t xml:space="preserve"> complexity</w:t>
      </w:r>
      <w:r>
        <w:rPr>
          <w:rFonts w:cs="Arial"/>
          <w:bCs/>
          <w:iCs/>
          <w:sz w:val="24"/>
          <w:szCs w:val="24"/>
        </w:rPr>
        <w:t>;</w:t>
      </w:r>
      <w:r w:rsidRPr="009C0A5D">
        <w:rPr>
          <w:rFonts w:cs="Arial"/>
          <w:bCs/>
          <w:iCs/>
          <w:sz w:val="24"/>
          <w:szCs w:val="24"/>
        </w:rPr>
        <w:t xml:space="preserve"> introduced chemicals</w:t>
      </w:r>
      <w:r>
        <w:rPr>
          <w:rFonts w:cs="Arial"/>
          <w:bCs/>
          <w:iCs/>
          <w:sz w:val="24"/>
          <w:szCs w:val="24"/>
        </w:rPr>
        <w:t>;</w:t>
      </w:r>
      <w:r w:rsidRPr="009C0A5D">
        <w:rPr>
          <w:rFonts w:cs="Arial"/>
          <w:bCs/>
          <w:iCs/>
          <w:sz w:val="24"/>
          <w:szCs w:val="24"/>
        </w:rPr>
        <w:t xml:space="preserve"> water quality fluctuations (pH)</w:t>
      </w:r>
      <w:r>
        <w:rPr>
          <w:rFonts w:cs="Arial"/>
          <w:bCs/>
          <w:iCs/>
          <w:sz w:val="24"/>
          <w:szCs w:val="24"/>
        </w:rPr>
        <w:t>, water treatment strategies such as the use of corrosion inhibitors</w:t>
      </w:r>
      <w:r w:rsidRPr="009C0A5D">
        <w:rPr>
          <w:rFonts w:cs="Arial"/>
          <w:bCs/>
          <w:iCs/>
          <w:sz w:val="24"/>
          <w:szCs w:val="24"/>
        </w:rPr>
        <w:t xml:space="preserve"> and behavioural factors</w:t>
      </w:r>
      <w:r>
        <w:rPr>
          <w:rFonts w:cs="Arial"/>
          <w:bCs/>
          <w:iCs/>
          <w:sz w:val="24"/>
          <w:szCs w:val="24"/>
        </w:rPr>
        <w:t>,</w:t>
      </w:r>
      <w:r w:rsidRPr="009C0A5D">
        <w:rPr>
          <w:rFonts w:cs="Arial"/>
          <w:bCs/>
          <w:iCs/>
          <w:sz w:val="24"/>
          <w:szCs w:val="24"/>
        </w:rPr>
        <w:t xml:space="preserve"> such as usage patterns, flow rates</w:t>
      </w:r>
      <w:r>
        <w:rPr>
          <w:rFonts w:cs="Arial"/>
          <w:bCs/>
          <w:iCs/>
          <w:sz w:val="24"/>
          <w:szCs w:val="24"/>
        </w:rPr>
        <w:t xml:space="preserve"> and</w:t>
      </w:r>
      <w:r w:rsidRPr="009C0A5D">
        <w:rPr>
          <w:rFonts w:cs="Arial"/>
          <w:bCs/>
          <w:iCs/>
          <w:sz w:val="24"/>
          <w:szCs w:val="24"/>
        </w:rPr>
        <w:t xml:space="preserve"> stagnation. </w:t>
      </w:r>
      <w:r w:rsidRPr="00E93B63">
        <w:rPr>
          <w:rFonts w:cs="Arial"/>
          <w:bCs/>
          <w:iCs/>
          <w:sz w:val="24"/>
          <w:szCs w:val="24"/>
        </w:rPr>
        <w:t>Some of these variables are not reflected in the AS/NZS 4020 testing regime.</w:t>
      </w:r>
    </w:p>
    <w:p w14:paraId="39A48481" w14:textId="13E2FAA5" w:rsidR="00442DC7" w:rsidRDefault="00B22235" w:rsidP="00C30F2F">
      <w:pPr>
        <w:spacing w:line="360" w:lineRule="auto"/>
        <w:jc w:val="both"/>
        <w:rPr>
          <w:rFonts w:cs="Arial"/>
          <w:bCs/>
          <w:iCs/>
          <w:sz w:val="24"/>
          <w:szCs w:val="24"/>
        </w:rPr>
      </w:pPr>
      <w:r>
        <w:rPr>
          <w:rFonts w:cs="Arial"/>
          <w:bCs/>
          <w:iCs/>
          <w:sz w:val="24"/>
          <w:szCs w:val="24"/>
        </w:rPr>
        <w:t>T</w:t>
      </w:r>
      <w:r w:rsidR="00442DC7">
        <w:rPr>
          <w:rFonts w:cs="Arial"/>
          <w:bCs/>
          <w:iCs/>
          <w:sz w:val="24"/>
          <w:szCs w:val="24"/>
        </w:rPr>
        <w:t>he most critical factor influencing the level of lead in drinking water is the lead content in the plumbing product itself. Laboratory testing has shown that lead leaches from copper alloy plumbing products in contact with drinking water. The findings of a review</w:t>
      </w:r>
      <w:r w:rsidR="00442DC7" w:rsidRPr="00B44667">
        <w:rPr>
          <w:rFonts w:cs="Arial"/>
          <w:sz w:val="24"/>
          <w:szCs w:val="24"/>
        </w:rPr>
        <w:t xml:space="preserve"> </w:t>
      </w:r>
      <w:r w:rsidR="00442DC7">
        <w:rPr>
          <w:rFonts w:cs="Arial"/>
          <w:sz w:val="24"/>
          <w:szCs w:val="24"/>
        </w:rPr>
        <w:t xml:space="preserve">of Australian and </w:t>
      </w:r>
      <w:r w:rsidR="00442DC7" w:rsidRPr="002A7C18">
        <w:rPr>
          <w:rFonts w:cs="Arial"/>
          <w:sz w:val="24"/>
          <w:szCs w:val="24"/>
        </w:rPr>
        <w:t xml:space="preserve">international </w:t>
      </w:r>
      <w:r w:rsidR="00442DC7">
        <w:rPr>
          <w:rFonts w:cs="Arial"/>
          <w:sz w:val="24"/>
          <w:szCs w:val="24"/>
        </w:rPr>
        <w:t>literature by</w:t>
      </w:r>
      <w:r w:rsidR="00442DC7" w:rsidRPr="002A7C18">
        <w:rPr>
          <w:rFonts w:cs="Arial"/>
          <w:sz w:val="24"/>
          <w:szCs w:val="24"/>
        </w:rPr>
        <w:t xml:space="preserve"> </w:t>
      </w:r>
      <w:r w:rsidR="00442DC7">
        <w:rPr>
          <w:rFonts w:cs="Arial"/>
          <w:bCs/>
          <w:iCs/>
          <w:sz w:val="24"/>
          <w:szCs w:val="24"/>
        </w:rPr>
        <w:t>Macquarie University also demonstrates that</w:t>
      </w:r>
      <w:r w:rsidR="00442DC7" w:rsidRPr="00460C6E">
        <w:rPr>
          <w:rFonts w:cs="Arial"/>
          <w:sz w:val="24"/>
          <w:szCs w:val="24"/>
        </w:rPr>
        <w:t xml:space="preserve"> </w:t>
      </w:r>
      <w:bookmarkStart w:id="17" w:name="_Hlk67534652"/>
      <w:r w:rsidR="00442DC7">
        <w:rPr>
          <w:rFonts w:cs="Arial"/>
          <w:sz w:val="24"/>
          <w:szCs w:val="24"/>
        </w:rPr>
        <w:t xml:space="preserve">lead is known to leach into drinking water from copper alloy plumbing products </w:t>
      </w:r>
      <w:bookmarkEnd w:id="17"/>
      <w:r w:rsidR="00442DC7">
        <w:rPr>
          <w:rFonts w:cs="Arial"/>
          <w:sz w:val="24"/>
          <w:szCs w:val="24"/>
        </w:rPr>
        <w:t xml:space="preserve">through a </w:t>
      </w:r>
      <w:r w:rsidR="00442DC7" w:rsidRPr="002A7C18">
        <w:rPr>
          <w:rFonts w:cs="Arial"/>
          <w:sz w:val="24"/>
          <w:szCs w:val="24"/>
        </w:rPr>
        <w:t xml:space="preserve">variety of factors </w:t>
      </w:r>
      <w:r w:rsidR="00442DC7">
        <w:rPr>
          <w:rFonts w:cs="Arial"/>
          <w:sz w:val="24"/>
          <w:szCs w:val="24"/>
        </w:rPr>
        <w:t>influencing</w:t>
      </w:r>
      <w:r w:rsidR="00442DC7" w:rsidRPr="002A7C18">
        <w:rPr>
          <w:rFonts w:cs="Arial"/>
          <w:sz w:val="24"/>
          <w:szCs w:val="24"/>
        </w:rPr>
        <w:t xml:space="preserve"> the passivation and release of lead into drinking water.</w:t>
      </w:r>
      <w:r w:rsidR="00442DC7">
        <w:rPr>
          <w:rFonts w:cs="Arial"/>
          <w:bCs/>
          <w:iCs/>
          <w:sz w:val="24"/>
          <w:szCs w:val="24"/>
        </w:rPr>
        <w:t xml:space="preserve"> This occurs through a long-term process known as dezincification and is causing instances of non-compliance with the acceptable maximum set by Australian </w:t>
      </w:r>
      <w:r w:rsidR="00442DC7">
        <w:rPr>
          <w:rFonts w:cs="Arial"/>
          <w:bCs/>
          <w:iCs/>
          <w:sz w:val="24"/>
          <w:szCs w:val="24"/>
        </w:rPr>
        <w:lastRenderedPageBreak/>
        <w:t xml:space="preserve">plumbing regulations. The short-term release of lead through the dissolution of a leaded film (a by-product of the manufacturing process) is also believed to be causing non-compliances in practice where plumbing products in contact with drinking water are not adequately rinsed after machining by the manufacturer. </w:t>
      </w:r>
    </w:p>
    <w:p w14:paraId="777C2EB0" w14:textId="77777777" w:rsidR="00442DC7" w:rsidRPr="00712915" w:rsidRDefault="00442DC7" w:rsidP="00996D01">
      <w:pPr>
        <w:pStyle w:val="Heading2"/>
        <w:spacing w:after="240"/>
        <w:rPr>
          <w:rFonts w:ascii="Arial" w:hAnsi="Arial" w:cs="Arial"/>
          <w:b w:val="0"/>
          <w:bCs w:val="0"/>
          <w:szCs w:val="32"/>
        </w:rPr>
      </w:pPr>
      <w:bookmarkStart w:id="18" w:name="_Toc53963024"/>
      <w:bookmarkStart w:id="19" w:name="_Toc71195726"/>
      <w:bookmarkStart w:id="20" w:name="_Toc71789253"/>
      <w:r w:rsidRPr="00712915">
        <w:rPr>
          <w:rFonts w:ascii="Arial" w:hAnsi="Arial" w:cs="Arial"/>
          <w:b w:val="0"/>
          <w:bCs w:val="0"/>
          <w:szCs w:val="32"/>
        </w:rPr>
        <w:t>Purpose and Scope</w:t>
      </w:r>
      <w:bookmarkEnd w:id="18"/>
      <w:bookmarkEnd w:id="19"/>
      <w:bookmarkEnd w:id="20"/>
    </w:p>
    <w:p w14:paraId="7218105E" w14:textId="2C507111" w:rsidR="00442DC7" w:rsidRPr="009C0A5D" w:rsidRDefault="00442DC7" w:rsidP="00BB21C2">
      <w:pPr>
        <w:spacing w:line="360" w:lineRule="auto"/>
        <w:jc w:val="both"/>
        <w:rPr>
          <w:rFonts w:cs="Arial"/>
          <w:bCs/>
          <w:iCs/>
          <w:sz w:val="24"/>
          <w:szCs w:val="24"/>
        </w:rPr>
      </w:pPr>
      <w:r>
        <w:rPr>
          <w:rFonts w:cs="Arial"/>
          <w:bCs/>
          <w:iCs/>
          <w:sz w:val="24"/>
          <w:szCs w:val="24"/>
        </w:rPr>
        <w:t xml:space="preserve">This Decision Regulation Impact Statement (RIS) considers whether reducing lead content in plumbing products in contact with drinking water can have a measurable impact on reducing the lead content in drinking water and blood lead levels, particularly in the vulnerable population. </w:t>
      </w:r>
    </w:p>
    <w:p w14:paraId="64DBBABD" w14:textId="6AB1F696" w:rsidR="00D801C3" w:rsidRDefault="00442DC7" w:rsidP="00C30F2F">
      <w:pPr>
        <w:spacing w:line="360" w:lineRule="auto"/>
        <w:jc w:val="both"/>
        <w:rPr>
          <w:rFonts w:cs="Arial"/>
          <w:bCs/>
          <w:iCs/>
          <w:sz w:val="24"/>
          <w:szCs w:val="24"/>
        </w:rPr>
      </w:pPr>
      <w:r>
        <w:rPr>
          <w:rFonts w:cs="Arial"/>
          <w:bCs/>
          <w:iCs/>
          <w:sz w:val="24"/>
          <w:szCs w:val="24"/>
        </w:rPr>
        <w:t>The scope of this Decision RIS is focused on plumbing products in contact with drinking water from within the property only. Other plumbing products (i.e. products not in contact with water intended for drinking) and those used within the infrastructure of NUOs is not within scope of this analysis</w:t>
      </w:r>
      <w:r w:rsidRPr="00064661">
        <w:rPr>
          <w:rFonts w:cs="Arial"/>
          <w:bCs/>
          <w:iCs/>
          <w:sz w:val="24"/>
          <w:szCs w:val="24"/>
        </w:rPr>
        <w:t xml:space="preserve">. NUO infrastructure is excluded on the basis that there is no evidence to indicate high levels of lead leaching into the drinking water supply up to the point of connection to the </w:t>
      </w:r>
      <w:r>
        <w:rPr>
          <w:rFonts w:cs="Arial"/>
          <w:bCs/>
          <w:iCs/>
          <w:sz w:val="24"/>
          <w:szCs w:val="24"/>
        </w:rPr>
        <w:t>property</w:t>
      </w:r>
      <w:r w:rsidRPr="00064661">
        <w:rPr>
          <w:rFonts w:cs="Arial"/>
          <w:bCs/>
          <w:iCs/>
          <w:sz w:val="24"/>
          <w:szCs w:val="24"/>
        </w:rPr>
        <w:t>.</w:t>
      </w:r>
      <w:r w:rsidR="00FD08C5">
        <w:rPr>
          <w:rFonts w:cs="Arial"/>
          <w:bCs/>
          <w:iCs/>
          <w:sz w:val="24"/>
          <w:szCs w:val="24"/>
        </w:rPr>
        <w:t xml:space="preserve"> Other products </w:t>
      </w:r>
      <w:r w:rsidR="00D801C3">
        <w:rPr>
          <w:rFonts w:cs="Arial"/>
          <w:bCs/>
          <w:iCs/>
          <w:sz w:val="24"/>
          <w:szCs w:val="24"/>
        </w:rPr>
        <w:t xml:space="preserve">reviewed and </w:t>
      </w:r>
      <w:r w:rsidR="00FD08C5">
        <w:rPr>
          <w:rFonts w:cs="Arial"/>
          <w:bCs/>
          <w:iCs/>
          <w:sz w:val="24"/>
          <w:szCs w:val="24"/>
        </w:rPr>
        <w:t>excluded on the basis of the low likelihood of water from these products being consumed for drinking purposes</w:t>
      </w:r>
      <w:r w:rsidR="00D801C3">
        <w:rPr>
          <w:rFonts w:cs="Arial"/>
          <w:bCs/>
          <w:iCs/>
          <w:sz w:val="24"/>
          <w:szCs w:val="24"/>
        </w:rPr>
        <w:t xml:space="preserve"> are also discussed</w:t>
      </w:r>
      <w:r w:rsidR="00FD08C5">
        <w:rPr>
          <w:rFonts w:cs="Arial"/>
          <w:bCs/>
          <w:iCs/>
          <w:sz w:val="24"/>
          <w:szCs w:val="24"/>
        </w:rPr>
        <w:t>.</w:t>
      </w:r>
      <w:r w:rsidRPr="00064661">
        <w:rPr>
          <w:rFonts w:cs="Arial"/>
          <w:bCs/>
          <w:iCs/>
          <w:sz w:val="24"/>
          <w:szCs w:val="24"/>
        </w:rPr>
        <w:t xml:space="preserve"> </w:t>
      </w:r>
    </w:p>
    <w:p w14:paraId="2038DEDC" w14:textId="05B6559A" w:rsidR="00442DC7" w:rsidRDefault="00442DC7" w:rsidP="00C30F2F">
      <w:pPr>
        <w:spacing w:line="360" w:lineRule="auto"/>
        <w:jc w:val="both"/>
        <w:rPr>
          <w:rFonts w:cs="Arial"/>
          <w:bCs/>
          <w:iCs/>
          <w:sz w:val="24"/>
          <w:szCs w:val="24"/>
        </w:rPr>
      </w:pPr>
      <w:r w:rsidRPr="00064661">
        <w:rPr>
          <w:rFonts w:cs="Arial"/>
          <w:bCs/>
          <w:iCs/>
          <w:sz w:val="24"/>
          <w:szCs w:val="24"/>
        </w:rPr>
        <w:t>The focus is on new products and does not include premature replacement of existing plumbing</w:t>
      </w:r>
      <w:r>
        <w:rPr>
          <w:rFonts w:cs="Arial"/>
          <w:bCs/>
          <w:iCs/>
          <w:sz w:val="24"/>
          <w:szCs w:val="24"/>
        </w:rPr>
        <w:t xml:space="preserve"> products. </w:t>
      </w:r>
    </w:p>
    <w:p w14:paraId="40CA6960" w14:textId="77777777" w:rsidR="00442DC7" w:rsidRDefault="00442DC7">
      <w:pPr>
        <w:rPr>
          <w:rFonts w:cs="Arial"/>
          <w:bCs/>
          <w:iCs/>
          <w:sz w:val="24"/>
          <w:szCs w:val="24"/>
        </w:rPr>
      </w:pPr>
      <w:r>
        <w:rPr>
          <w:rFonts w:cs="Arial"/>
          <w:bCs/>
          <w:iCs/>
          <w:sz w:val="24"/>
          <w:szCs w:val="24"/>
        </w:rPr>
        <w:br w:type="page"/>
      </w:r>
    </w:p>
    <w:p w14:paraId="30395E58" w14:textId="77777777" w:rsidR="00442DC7" w:rsidRPr="00712915" w:rsidRDefault="00442DC7" w:rsidP="008734AE">
      <w:pPr>
        <w:pStyle w:val="Heading2"/>
        <w:spacing w:after="240"/>
        <w:rPr>
          <w:rFonts w:ascii="Arial" w:hAnsi="Arial" w:cs="Arial"/>
          <w:b w:val="0"/>
          <w:bCs w:val="0"/>
          <w:szCs w:val="32"/>
        </w:rPr>
      </w:pPr>
      <w:bookmarkStart w:id="21" w:name="_Toc53963025"/>
      <w:bookmarkStart w:id="22" w:name="_Toc71195727"/>
      <w:bookmarkStart w:id="23" w:name="_Toc71789254"/>
      <w:r>
        <w:rPr>
          <w:rFonts w:ascii="Arial" w:hAnsi="Arial" w:cs="Arial"/>
          <w:b w:val="0"/>
          <w:bCs w:val="0"/>
          <w:szCs w:val="32"/>
        </w:rPr>
        <w:lastRenderedPageBreak/>
        <w:t>Themes in responses to</w:t>
      </w:r>
      <w:r w:rsidRPr="00712915">
        <w:rPr>
          <w:rFonts w:ascii="Arial" w:hAnsi="Arial" w:cs="Arial"/>
          <w:b w:val="0"/>
          <w:bCs w:val="0"/>
          <w:szCs w:val="32"/>
        </w:rPr>
        <w:t xml:space="preserve"> the Consultation RIS</w:t>
      </w:r>
      <w:bookmarkEnd w:id="21"/>
      <w:bookmarkEnd w:id="22"/>
      <w:bookmarkEnd w:id="23"/>
    </w:p>
    <w:p w14:paraId="23E520F9" w14:textId="583A6A39" w:rsidR="00442DC7" w:rsidRDefault="00442DC7" w:rsidP="00C30F2F">
      <w:pPr>
        <w:spacing w:line="360" w:lineRule="auto"/>
        <w:jc w:val="both"/>
        <w:rPr>
          <w:rFonts w:cs="Arial"/>
          <w:bCs/>
          <w:iCs/>
          <w:sz w:val="24"/>
          <w:szCs w:val="24"/>
        </w:rPr>
      </w:pPr>
      <w:r>
        <w:rPr>
          <w:rFonts w:cs="Arial"/>
          <w:bCs/>
          <w:iCs/>
          <w:sz w:val="24"/>
          <w:szCs w:val="24"/>
        </w:rPr>
        <w:t xml:space="preserve">The Consultation RIS was open for public comment between 7 December 2020 and </w:t>
      </w:r>
      <w:r>
        <w:rPr>
          <w:rFonts w:cs="Arial"/>
          <w:bCs/>
          <w:iCs/>
          <w:sz w:val="24"/>
          <w:szCs w:val="24"/>
        </w:rPr>
        <w:br/>
        <w:t>1 March 2021. Interested parties were encouraged to provide responses to the questions listed throughout the document and all responses have been taken into account in producing this Decision RIS.</w:t>
      </w:r>
    </w:p>
    <w:p w14:paraId="282EC37B" w14:textId="6178B0FF" w:rsidR="00442DC7" w:rsidRPr="00E00560" w:rsidRDefault="00362D62" w:rsidP="00C30F2F">
      <w:pPr>
        <w:spacing w:line="360" w:lineRule="auto"/>
        <w:jc w:val="both"/>
        <w:rPr>
          <w:rFonts w:cs="Arial"/>
          <w:sz w:val="24"/>
          <w:szCs w:val="24"/>
        </w:rPr>
      </w:pPr>
      <w:r>
        <w:rPr>
          <w:rFonts w:cs="Arial"/>
          <w:sz w:val="24"/>
          <w:szCs w:val="24"/>
        </w:rPr>
        <w:t>The ABCB received 40</w:t>
      </w:r>
      <w:r w:rsidR="00442DC7">
        <w:rPr>
          <w:rFonts w:cs="Arial"/>
          <w:sz w:val="24"/>
          <w:szCs w:val="24"/>
        </w:rPr>
        <w:t xml:space="preserve"> submissions in response to the Consultation RIS, comprising of individuals, plumbing practitioners, health specialists, government bodies, manufacturers and industry bodies.</w:t>
      </w:r>
    </w:p>
    <w:p w14:paraId="250E030D" w14:textId="77777777" w:rsidR="00442DC7" w:rsidRPr="00E00560" w:rsidRDefault="00442DC7" w:rsidP="00C30F2F">
      <w:pPr>
        <w:spacing w:line="360" w:lineRule="auto"/>
        <w:jc w:val="both"/>
        <w:rPr>
          <w:rFonts w:eastAsiaTheme="majorEastAsia" w:cs="Arial"/>
          <w:color w:val="002060"/>
          <w:sz w:val="24"/>
          <w:szCs w:val="24"/>
        </w:rPr>
      </w:pPr>
      <w:r>
        <w:rPr>
          <w:rFonts w:cs="Arial"/>
          <w:bCs/>
          <w:iCs/>
          <w:sz w:val="24"/>
          <w:szCs w:val="24"/>
        </w:rPr>
        <w:t xml:space="preserve">Non-confidential responses can be accessed via the ABCB’s </w:t>
      </w:r>
      <w:hyperlink r:id="rId19" w:history="1">
        <w:r w:rsidRPr="00127D3A">
          <w:rPr>
            <w:rStyle w:val="Hyperlink"/>
            <w:rFonts w:cs="Arial"/>
            <w:bCs/>
            <w:iCs/>
            <w:sz w:val="24"/>
            <w:szCs w:val="24"/>
          </w:rPr>
          <w:t>Consultation Hub</w:t>
        </w:r>
      </w:hyperlink>
      <w:r>
        <w:rPr>
          <w:rStyle w:val="Hyperlink"/>
          <w:rFonts w:cs="Arial"/>
          <w:bCs/>
          <w:iCs/>
          <w:sz w:val="24"/>
          <w:szCs w:val="24"/>
        </w:rPr>
        <w:t>.</w:t>
      </w:r>
      <w:r>
        <w:rPr>
          <w:rFonts w:cs="Arial"/>
          <w:bCs/>
          <w:iCs/>
          <w:sz w:val="24"/>
          <w:szCs w:val="24"/>
        </w:rPr>
        <w:t xml:space="preserve">  </w:t>
      </w:r>
    </w:p>
    <w:p w14:paraId="2597DA7F" w14:textId="77777777" w:rsidR="00442DC7" w:rsidRPr="00901E24" w:rsidRDefault="00442DC7" w:rsidP="009F3FDB">
      <w:pPr>
        <w:rPr>
          <w:color w:val="002060"/>
          <w:sz w:val="32"/>
          <w:szCs w:val="32"/>
        </w:rPr>
      </w:pPr>
      <w:r w:rsidRPr="00901E24">
        <w:rPr>
          <w:color w:val="002060"/>
          <w:sz w:val="32"/>
          <w:szCs w:val="32"/>
        </w:rPr>
        <w:t>Qualitative themes from consultation</w:t>
      </w:r>
    </w:p>
    <w:p w14:paraId="4DA60CA2" w14:textId="77777777" w:rsidR="00442DC7" w:rsidRDefault="00442DC7" w:rsidP="004F50C7">
      <w:pPr>
        <w:spacing w:line="360" w:lineRule="auto"/>
        <w:jc w:val="both"/>
        <w:rPr>
          <w:rFonts w:cs="Arial"/>
          <w:sz w:val="24"/>
          <w:szCs w:val="24"/>
        </w:rPr>
      </w:pPr>
      <w:r>
        <w:rPr>
          <w:rFonts w:cs="Arial"/>
          <w:sz w:val="24"/>
          <w:szCs w:val="24"/>
        </w:rPr>
        <w:t xml:space="preserve">Several important themes were identified from the responses to the Consultation RIS. These themes have been summarised below: </w:t>
      </w:r>
    </w:p>
    <w:p w14:paraId="763F7C2A" w14:textId="77777777" w:rsidR="00442DC7" w:rsidRPr="00CB7045" w:rsidRDefault="00442DC7" w:rsidP="009F3FDB">
      <w:pPr>
        <w:rPr>
          <w:b/>
          <w:bCs/>
          <w:iCs/>
          <w:color w:val="002060"/>
        </w:rPr>
      </w:pPr>
      <w:bookmarkStart w:id="24" w:name="_Toc70887775"/>
      <w:bookmarkStart w:id="25" w:name="_Toc71195728"/>
      <w:bookmarkStart w:id="26" w:name="_Toc71789255"/>
      <w:r w:rsidRPr="003108B7">
        <w:rPr>
          <w:rStyle w:val="Heading2Char"/>
          <w:rFonts w:ascii="Arial" w:hAnsi="Arial" w:cs="Arial"/>
          <w:b w:val="0"/>
          <w:bCs w:val="0"/>
          <w:sz w:val="28"/>
          <w:szCs w:val="28"/>
        </w:rPr>
        <w:t>Quantification of the problem</w:t>
      </w:r>
      <w:bookmarkEnd w:id="24"/>
      <w:bookmarkEnd w:id="25"/>
      <w:bookmarkEnd w:id="26"/>
      <w:r w:rsidRPr="009F3FDB">
        <w:rPr>
          <w:b/>
          <w:bCs/>
          <w:iCs/>
          <w:color w:val="002060"/>
        </w:rPr>
        <w:t xml:space="preserve"> </w:t>
      </w:r>
      <w:r w:rsidRPr="003108B7">
        <w:rPr>
          <w:rStyle w:val="Heading2Char"/>
          <w:rFonts w:ascii="Arial" w:hAnsi="Arial" w:cs="Arial"/>
          <w:b w:val="0"/>
          <w:bCs w:val="0"/>
          <w:sz w:val="28"/>
          <w:szCs w:val="28"/>
        </w:rPr>
        <w:t xml:space="preserve">and </w:t>
      </w:r>
      <w:r>
        <w:rPr>
          <w:rStyle w:val="Heading2Char"/>
          <w:rFonts w:ascii="Arial" w:hAnsi="Arial" w:cs="Arial"/>
          <w:b w:val="0"/>
          <w:bCs w:val="0"/>
          <w:sz w:val="28"/>
          <w:szCs w:val="28"/>
        </w:rPr>
        <w:t xml:space="preserve">areas of </w:t>
      </w:r>
      <w:r w:rsidRPr="003108B7">
        <w:rPr>
          <w:rStyle w:val="Heading2Char"/>
          <w:rFonts w:ascii="Arial" w:hAnsi="Arial" w:cs="Arial"/>
          <w:b w:val="0"/>
          <w:bCs w:val="0"/>
          <w:sz w:val="28"/>
          <w:szCs w:val="28"/>
        </w:rPr>
        <w:t>uncertainty</w:t>
      </w:r>
    </w:p>
    <w:p w14:paraId="7C8B44E0" w14:textId="695D3CD6" w:rsidR="00442DC7" w:rsidRDefault="00442DC7" w:rsidP="009D68D9">
      <w:pPr>
        <w:spacing w:before="240" w:line="360" w:lineRule="auto"/>
        <w:jc w:val="both"/>
        <w:rPr>
          <w:rFonts w:cs="Arial"/>
          <w:sz w:val="24"/>
          <w:szCs w:val="24"/>
        </w:rPr>
      </w:pPr>
      <w:r w:rsidRPr="00E00560">
        <w:rPr>
          <w:rFonts w:cs="Arial"/>
          <w:sz w:val="24"/>
          <w:szCs w:val="24"/>
        </w:rPr>
        <w:t xml:space="preserve">There was </w:t>
      </w:r>
      <w:r>
        <w:rPr>
          <w:rFonts w:cs="Arial"/>
          <w:sz w:val="24"/>
          <w:szCs w:val="24"/>
        </w:rPr>
        <w:t>widespread agreement on</w:t>
      </w:r>
      <w:r w:rsidRPr="00E00560">
        <w:rPr>
          <w:rFonts w:cs="Arial"/>
          <w:sz w:val="24"/>
          <w:szCs w:val="24"/>
        </w:rPr>
        <w:t xml:space="preserve"> the </w:t>
      </w:r>
      <w:r w:rsidR="00287BEC">
        <w:rPr>
          <w:rFonts w:cs="Arial"/>
          <w:sz w:val="24"/>
          <w:szCs w:val="24"/>
        </w:rPr>
        <w:t>issue</w:t>
      </w:r>
      <w:r w:rsidR="003A6051">
        <w:rPr>
          <w:rFonts w:cs="Arial"/>
          <w:sz w:val="24"/>
          <w:szCs w:val="24"/>
        </w:rPr>
        <w:t xml:space="preserve"> </w:t>
      </w:r>
      <w:r w:rsidRPr="00CB7045">
        <w:rPr>
          <w:rFonts w:cs="Arial"/>
          <w:sz w:val="24"/>
          <w:szCs w:val="24"/>
        </w:rPr>
        <w:t>with 89%</w:t>
      </w:r>
      <w:r>
        <w:rPr>
          <w:rFonts w:cs="Arial"/>
          <w:sz w:val="24"/>
          <w:szCs w:val="24"/>
        </w:rPr>
        <w:t xml:space="preserve"> </w:t>
      </w:r>
      <w:r w:rsidR="00287BEC">
        <w:rPr>
          <w:rFonts w:cs="Arial"/>
          <w:sz w:val="24"/>
          <w:szCs w:val="24"/>
        </w:rPr>
        <w:t xml:space="preserve">of respondents supporting the description of the nature of the problem </w:t>
      </w:r>
      <w:r>
        <w:rPr>
          <w:rFonts w:cs="Arial"/>
          <w:sz w:val="24"/>
          <w:szCs w:val="24"/>
        </w:rPr>
        <w:t>and 71%</w:t>
      </w:r>
      <w:r w:rsidR="00287BEC">
        <w:rPr>
          <w:rFonts w:cs="Arial"/>
          <w:sz w:val="24"/>
          <w:szCs w:val="24"/>
        </w:rPr>
        <w:t xml:space="preserve"> of respondents supporting the description of the extent</w:t>
      </w:r>
      <w:r>
        <w:rPr>
          <w:rFonts w:cs="Arial"/>
          <w:sz w:val="24"/>
          <w:szCs w:val="24"/>
        </w:rPr>
        <w:t xml:space="preserve">. While the outcomes of the existing available studies were recognised, some stakeholders questioned the validity of the studies being extrapolated across Australia and saw merit in a national study being conducted. </w:t>
      </w:r>
    </w:p>
    <w:p w14:paraId="05DE3BB1" w14:textId="77777777" w:rsidR="00442DC7" w:rsidRDefault="00442DC7" w:rsidP="00754591">
      <w:pPr>
        <w:spacing w:before="240" w:line="360" w:lineRule="auto"/>
        <w:jc w:val="both"/>
        <w:rPr>
          <w:sz w:val="24"/>
          <w:szCs w:val="24"/>
        </w:rPr>
      </w:pPr>
      <w:r>
        <w:rPr>
          <w:sz w:val="24"/>
          <w:szCs w:val="24"/>
        </w:rPr>
        <w:t xml:space="preserve">Broadly, there were two opposing views on how uncertainty should be treated by decision makers when deciding which option to implement. </w:t>
      </w:r>
    </w:p>
    <w:p w14:paraId="4DA6EC18" w14:textId="28A195F2" w:rsidR="00442DC7" w:rsidRDefault="00442DC7" w:rsidP="008B7B34">
      <w:pPr>
        <w:spacing w:line="360" w:lineRule="auto"/>
        <w:jc w:val="both"/>
        <w:rPr>
          <w:sz w:val="24"/>
          <w:szCs w:val="24"/>
        </w:rPr>
      </w:pPr>
      <w:r>
        <w:rPr>
          <w:rFonts w:cs="Arial"/>
          <w:sz w:val="24"/>
          <w:szCs w:val="24"/>
        </w:rPr>
        <w:t>One Australian manufacturer (Enware) felt that the information gaps were too significant to enable an informed decision. They advocated for more r</w:t>
      </w:r>
      <w:bookmarkStart w:id="27" w:name="_Hlk70589277"/>
      <w:r>
        <w:rPr>
          <w:sz w:val="24"/>
          <w:szCs w:val="24"/>
        </w:rPr>
        <w:t xml:space="preserve">esearch and data collection on a national level to determine the true extent plumbing products in contact with drinking water contributed to the problem of lead exposure in Australia. This opinion was in part based on belief that moving to low lead products may result in product substitution, increasing bacterial contamination. </w:t>
      </w:r>
    </w:p>
    <w:p w14:paraId="17BC469D" w14:textId="44CC67DE" w:rsidR="00442DC7" w:rsidRDefault="00442DC7" w:rsidP="0079412B">
      <w:pPr>
        <w:spacing w:before="240" w:line="360" w:lineRule="auto"/>
        <w:jc w:val="both"/>
        <w:rPr>
          <w:sz w:val="24"/>
          <w:szCs w:val="24"/>
        </w:rPr>
      </w:pPr>
      <w:r>
        <w:rPr>
          <w:sz w:val="24"/>
          <w:szCs w:val="24"/>
        </w:rPr>
        <w:t>While the cited studies correctly identify copper and copper alloys as</w:t>
      </w:r>
      <w:r w:rsidRPr="00E00560">
        <w:rPr>
          <w:sz w:val="24"/>
          <w:szCs w:val="24"/>
        </w:rPr>
        <w:t xml:space="preserve"> inhibiting the growth and colonisation of various waterborne opportunistic pathogens</w:t>
      </w:r>
      <w:r>
        <w:rPr>
          <w:sz w:val="24"/>
          <w:szCs w:val="24"/>
        </w:rPr>
        <w:t xml:space="preserve">, the studies </w:t>
      </w:r>
      <w:r>
        <w:rPr>
          <w:sz w:val="24"/>
          <w:szCs w:val="24"/>
        </w:rPr>
        <w:lastRenderedPageBreak/>
        <w:t xml:space="preserve">fall short in concluding that products manufactured from other materials are unsafe and not fit-for-use, as currently deemed by the PCA. Such conclusion would warrant a much larger investigation into all plumbing products and materials and not only those containing lead. </w:t>
      </w:r>
    </w:p>
    <w:p w14:paraId="2CEDAC1C" w14:textId="77777777" w:rsidR="00442DC7" w:rsidRDefault="00442DC7" w:rsidP="0079412B">
      <w:pPr>
        <w:spacing w:before="240" w:line="360" w:lineRule="auto"/>
        <w:jc w:val="both"/>
        <w:rPr>
          <w:sz w:val="24"/>
          <w:szCs w:val="24"/>
        </w:rPr>
      </w:pPr>
      <w:r>
        <w:rPr>
          <w:sz w:val="24"/>
          <w:szCs w:val="24"/>
        </w:rPr>
        <w:t xml:space="preserve">Further, </w:t>
      </w:r>
      <w:bookmarkStart w:id="28" w:name="_Hlk72151375"/>
      <w:r>
        <w:rPr>
          <w:sz w:val="24"/>
          <w:szCs w:val="24"/>
        </w:rPr>
        <w:t xml:space="preserve">there will always be relative advantages and disadvantages between material types. Hence, differences should not automatically infer that a material is unsafe but rather reflect that there are trade-off considerations when selecting products of differing materials. </w:t>
      </w:r>
      <w:bookmarkEnd w:id="28"/>
    </w:p>
    <w:p w14:paraId="07C76D7C" w14:textId="7CD03304" w:rsidR="00442DC7" w:rsidRDefault="00442DC7" w:rsidP="0079412B">
      <w:pPr>
        <w:spacing w:before="240" w:line="360" w:lineRule="auto"/>
        <w:jc w:val="both"/>
        <w:rPr>
          <w:sz w:val="24"/>
          <w:szCs w:val="24"/>
        </w:rPr>
      </w:pPr>
      <w:r>
        <w:rPr>
          <w:sz w:val="24"/>
          <w:szCs w:val="24"/>
        </w:rPr>
        <w:t xml:space="preserve">The alternative view, progressed in submissions from enHealth and the NHMRC, was to acknowledge the problem was occurring in Australia, </w:t>
      </w:r>
      <w:r w:rsidR="00287BEC">
        <w:rPr>
          <w:sz w:val="24"/>
          <w:szCs w:val="24"/>
        </w:rPr>
        <w:t xml:space="preserve">however, due to </w:t>
      </w:r>
      <w:r>
        <w:rPr>
          <w:sz w:val="24"/>
          <w:szCs w:val="24"/>
        </w:rPr>
        <w:t xml:space="preserve"> differing rates, and the limitations of the existing data, </w:t>
      </w:r>
      <w:r w:rsidR="00B754BB">
        <w:rPr>
          <w:sz w:val="24"/>
          <w:szCs w:val="24"/>
        </w:rPr>
        <w:t>the problem</w:t>
      </w:r>
      <w:r w:rsidR="00287BEC">
        <w:rPr>
          <w:sz w:val="24"/>
          <w:szCs w:val="24"/>
        </w:rPr>
        <w:t xml:space="preserve"> </w:t>
      </w:r>
      <w:r>
        <w:rPr>
          <w:sz w:val="24"/>
          <w:szCs w:val="24"/>
        </w:rPr>
        <w:t xml:space="preserve">may not be capable of being further quantitatively defined. This opinion reflects a more strategic goal of health authorities, both domestically and internationally, to reduce exposure from all sources, thereby reducing the cumulative and irreversible effect of lead exposure on precautionary grounds. </w:t>
      </w:r>
    </w:p>
    <w:p w14:paraId="08BFE7E5" w14:textId="77777777" w:rsidR="00442DC7" w:rsidRPr="003108B7" w:rsidRDefault="00442DC7" w:rsidP="007D3B98">
      <w:pPr>
        <w:spacing w:before="240"/>
        <w:rPr>
          <w:rStyle w:val="Heading2Char"/>
          <w:rFonts w:ascii="Arial" w:hAnsi="Arial" w:cs="Arial"/>
          <w:b w:val="0"/>
          <w:bCs w:val="0"/>
          <w:sz w:val="28"/>
          <w:szCs w:val="28"/>
        </w:rPr>
      </w:pPr>
      <w:bookmarkStart w:id="29" w:name="_Toc70887776"/>
      <w:bookmarkStart w:id="30" w:name="_Toc71195729"/>
      <w:bookmarkStart w:id="31" w:name="_Toc71789256"/>
      <w:bookmarkEnd w:id="27"/>
      <w:r w:rsidRPr="003108B7">
        <w:rPr>
          <w:rStyle w:val="Heading2Char"/>
          <w:rFonts w:ascii="Arial" w:hAnsi="Arial" w:cs="Arial"/>
          <w:b w:val="0"/>
          <w:bCs w:val="0"/>
          <w:sz w:val="28"/>
          <w:szCs w:val="28"/>
        </w:rPr>
        <w:t>Scope</w:t>
      </w:r>
      <w:bookmarkEnd w:id="29"/>
      <w:bookmarkEnd w:id="30"/>
      <w:bookmarkEnd w:id="31"/>
    </w:p>
    <w:p w14:paraId="452FF85C" w14:textId="1876C894" w:rsidR="00442DC7" w:rsidRDefault="00442DC7" w:rsidP="009A14B1">
      <w:pPr>
        <w:spacing w:line="360" w:lineRule="auto"/>
        <w:jc w:val="both"/>
        <w:rPr>
          <w:rFonts w:cs="Arial"/>
          <w:sz w:val="24"/>
          <w:szCs w:val="24"/>
        </w:rPr>
      </w:pPr>
      <w:r>
        <w:rPr>
          <w:rFonts w:cs="Arial"/>
          <w:sz w:val="24"/>
          <w:szCs w:val="24"/>
        </w:rPr>
        <w:t xml:space="preserve">There was broad acceptance of the scope of products considered by the Consultation RIS with 76% of </w:t>
      </w:r>
      <w:r w:rsidRPr="00140BCB">
        <w:rPr>
          <w:rFonts w:cs="Arial"/>
          <w:sz w:val="24"/>
          <w:szCs w:val="24"/>
        </w:rPr>
        <w:t>respondent</w:t>
      </w:r>
      <w:r>
        <w:rPr>
          <w:rFonts w:cs="Arial"/>
          <w:sz w:val="24"/>
          <w:szCs w:val="24"/>
        </w:rPr>
        <w:t>s</w:t>
      </w:r>
      <w:r w:rsidRPr="00140BCB">
        <w:rPr>
          <w:rFonts w:cs="Arial"/>
          <w:sz w:val="24"/>
          <w:szCs w:val="24"/>
        </w:rPr>
        <w:t xml:space="preserve"> </w:t>
      </w:r>
      <w:r>
        <w:rPr>
          <w:rFonts w:cs="Arial"/>
          <w:sz w:val="24"/>
          <w:szCs w:val="24"/>
        </w:rPr>
        <w:t xml:space="preserve">agreeing with the scope of the proposed requirements. </w:t>
      </w:r>
    </w:p>
    <w:p w14:paraId="5C57B5CA" w14:textId="4D493EB7" w:rsidR="00442DC7" w:rsidRDefault="00442DC7" w:rsidP="009A14B1">
      <w:pPr>
        <w:spacing w:line="360" w:lineRule="auto"/>
        <w:jc w:val="both"/>
        <w:rPr>
          <w:rFonts w:cs="Arial"/>
          <w:sz w:val="24"/>
          <w:szCs w:val="24"/>
        </w:rPr>
      </w:pPr>
      <w:r>
        <w:rPr>
          <w:rFonts w:cs="Arial"/>
          <w:sz w:val="24"/>
          <w:szCs w:val="24"/>
        </w:rPr>
        <w:t xml:space="preserve">Exceptions were an individual, who advocated for including products manufactured from other materials, namely </w:t>
      </w:r>
      <w:r w:rsidR="00814644">
        <w:rPr>
          <w:rFonts w:cs="Arial"/>
          <w:sz w:val="24"/>
          <w:szCs w:val="24"/>
        </w:rPr>
        <w:t>Polyvinyl Chloride (</w:t>
      </w:r>
      <w:r>
        <w:rPr>
          <w:rFonts w:cs="Arial"/>
          <w:sz w:val="24"/>
          <w:szCs w:val="24"/>
        </w:rPr>
        <w:t>PVC</w:t>
      </w:r>
      <w:r w:rsidR="00814644">
        <w:rPr>
          <w:rFonts w:cs="Arial"/>
          <w:sz w:val="24"/>
          <w:szCs w:val="24"/>
        </w:rPr>
        <w:t>)</w:t>
      </w:r>
      <w:r w:rsidR="00B754BB">
        <w:rPr>
          <w:rFonts w:cs="Arial"/>
          <w:sz w:val="24"/>
          <w:szCs w:val="24"/>
        </w:rPr>
        <w:t xml:space="preserve">. </w:t>
      </w:r>
      <w:r>
        <w:rPr>
          <w:rFonts w:cs="Arial"/>
          <w:sz w:val="24"/>
          <w:szCs w:val="24"/>
        </w:rPr>
        <w:t xml:space="preserve"> </w:t>
      </w:r>
      <w:r w:rsidR="00B754BB">
        <w:rPr>
          <w:rFonts w:cs="Arial"/>
          <w:sz w:val="24"/>
          <w:szCs w:val="24"/>
        </w:rPr>
        <w:t>H</w:t>
      </w:r>
      <w:r>
        <w:rPr>
          <w:rFonts w:cs="Arial"/>
          <w:sz w:val="24"/>
          <w:szCs w:val="24"/>
        </w:rPr>
        <w:t xml:space="preserve">ealth agencies (NHMRC and enHealth), advocated for products intended to be used for showering and/or bathing and other products </w:t>
      </w:r>
      <w:r w:rsidR="00341246">
        <w:rPr>
          <w:rFonts w:cs="Arial"/>
          <w:sz w:val="24"/>
          <w:szCs w:val="24"/>
        </w:rPr>
        <w:t xml:space="preserve">to be </w:t>
      </w:r>
      <w:r>
        <w:rPr>
          <w:rFonts w:cs="Arial"/>
          <w:sz w:val="24"/>
          <w:szCs w:val="24"/>
        </w:rPr>
        <w:t>captured by the existing definition of drinking water in the Australian Drinking Water Guidelines.</w:t>
      </w:r>
      <w:r w:rsidR="00665B34">
        <w:rPr>
          <w:rFonts w:cs="Arial"/>
          <w:sz w:val="24"/>
          <w:szCs w:val="24"/>
        </w:rPr>
        <w:t xml:space="preserve"> </w:t>
      </w:r>
      <w:r>
        <w:rPr>
          <w:rFonts w:cs="Arial"/>
          <w:sz w:val="24"/>
          <w:szCs w:val="24"/>
        </w:rPr>
        <w:t xml:space="preserve">The Water Services Association of Australia (WSAA) also advocated for the requirements to extend to the water utility infrastructure, citing the ease to which it could be implemented. </w:t>
      </w:r>
    </w:p>
    <w:p w14:paraId="2BE5F474" w14:textId="77777777" w:rsidR="00442DC7" w:rsidRDefault="00442DC7" w:rsidP="009A14B1">
      <w:pPr>
        <w:spacing w:line="360" w:lineRule="auto"/>
        <w:jc w:val="both"/>
        <w:rPr>
          <w:rFonts w:cs="Arial"/>
          <w:sz w:val="24"/>
          <w:szCs w:val="24"/>
        </w:rPr>
      </w:pPr>
      <w:r>
        <w:rPr>
          <w:rFonts w:cs="Arial"/>
          <w:sz w:val="24"/>
          <w:szCs w:val="24"/>
        </w:rPr>
        <w:t>The Decision RIS retains the existing scope with the addition of water meters on the basis that:</w:t>
      </w:r>
    </w:p>
    <w:p w14:paraId="2FDFD976" w14:textId="77777777" w:rsidR="00442DC7" w:rsidRDefault="00442DC7" w:rsidP="008734AE">
      <w:pPr>
        <w:pStyle w:val="ListParagraph"/>
        <w:numPr>
          <w:ilvl w:val="0"/>
          <w:numId w:val="32"/>
        </w:numPr>
        <w:spacing w:line="360" w:lineRule="auto"/>
        <w:jc w:val="both"/>
        <w:rPr>
          <w:rFonts w:cs="Arial"/>
          <w:sz w:val="24"/>
          <w:szCs w:val="24"/>
        </w:rPr>
      </w:pPr>
      <w:r>
        <w:rPr>
          <w:rFonts w:cs="Arial"/>
          <w:sz w:val="24"/>
          <w:szCs w:val="24"/>
        </w:rPr>
        <w:t xml:space="preserve">PVC products in contact with drinking water are currently not permitted to contain any amount of lead under existing Australian Standards referenced by the PCA. </w:t>
      </w:r>
    </w:p>
    <w:p w14:paraId="79AB8455" w14:textId="77777777" w:rsidR="00665B34" w:rsidRDefault="00665B34" w:rsidP="00665B34">
      <w:pPr>
        <w:pStyle w:val="ListParagraph"/>
        <w:spacing w:line="360" w:lineRule="auto"/>
        <w:jc w:val="both"/>
        <w:rPr>
          <w:rFonts w:cs="Arial"/>
          <w:sz w:val="24"/>
          <w:szCs w:val="24"/>
        </w:rPr>
      </w:pPr>
    </w:p>
    <w:p w14:paraId="1E633B4B" w14:textId="77777777" w:rsidR="00665B34" w:rsidRDefault="00442DC7" w:rsidP="00665B34">
      <w:pPr>
        <w:pStyle w:val="ListParagraph"/>
        <w:numPr>
          <w:ilvl w:val="0"/>
          <w:numId w:val="32"/>
        </w:numPr>
        <w:spacing w:after="240" w:line="360" w:lineRule="auto"/>
        <w:jc w:val="both"/>
        <w:rPr>
          <w:rFonts w:cs="Arial"/>
          <w:sz w:val="24"/>
          <w:szCs w:val="24"/>
        </w:rPr>
      </w:pPr>
      <w:r>
        <w:rPr>
          <w:rFonts w:cs="Arial"/>
          <w:sz w:val="24"/>
          <w:szCs w:val="24"/>
        </w:rPr>
        <w:t>Products used for showering and/or bathing contribute to a very small increase in the risk of lead exposure. While some occupants may drink from the shower, the consumption is very low relative to consumption via other products. In this regard, greater importance is placed on ensuring that the scope of the new requirements is consistent with the model regulation from the US, with the goal of ensuring the availability of suitable product and consumer choice.</w:t>
      </w:r>
    </w:p>
    <w:p w14:paraId="39A65D1C" w14:textId="5FE67E11" w:rsidR="00442DC7" w:rsidRDefault="00442DC7" w:rsidP="00665B34">
      <w:pPr>
        <w:pStyle w:val="ListParagraph"/>
        <w:spacing w:after="240" w:line="360" w:lineRule="auto"/>
        <w:jc w:val="both"/>
        <w:rPr>
          <w:rFonts w:cs="Arial"/>
          <w:sz w:val="24"/>
          <w:szCs w:val="24"/>
        </w:rPr>
      </w:pPr>
      <w:r>
        <w:rPr>
          <w:rFonts w:cs="Arial"/>
          <w:sz w:val="24"/>
          <w:szCs w:val="24"/>
        </w:rPr>
        <w:t xml:space="preserve"> </w:t>
      </w:r>
    </w:p>
    <w:p w14:paraId="3E4EBB76" w14:textId="5C425D4D" w:rsidR="00442DC7" w:rsidRDefault="00442DC7" w:rsidP="00665B34">
      <w:pPr>
        <w:pStyle w:val="ListParagraph"/>
        <w:numPr>
          <w:ilvl w:val="0"/>
          <w:numId w:val="32"/>
        </w:numPr>
        <w:spacing w:after="240" w:line="360" w:lineRule="auto"/>
        <w:jc w:val="both"/>
        <w:rPr>
          <w:rFonts w:eastAsiaTheme="majorEastAsia" w:cs="Arial"/>
          <w:color w:val="000000" w:themeColor="text1"/>
          <w:sz w:val="24"/>
          <w:szCs w:val="24"/>
        </w:rPr>
      </w:pPr>
      <w:r w:rsidRPr="004A2FC2">
        <w:rPr>
          <w:rFonts w:eastAsiaTheme="majorEastAsia" w:cs="Arial"/>
          <w:color w:val="000000" w:themeColor="text1"/>
          <w:sz w:val="24"/>
          <w:szCs w:val="24"/>
        </w:rPr>
        <w:t xml:space="preserve">The case to include NUO infrastructure </w:t>
      </w:r>
      <w:r>
        <w:rPr>
          <w:rFonts w:eastAsiaTheme="majorEastAsia" w:cs="Arial"/>
          <w:color w:val="000000" w:themeColor="text1"/>
          <w:sz w:val="24"/>
          <w:szCs w:val="24"/>
        </w:rPr>
        <w:t>is</w:t>
      </w:r>
      <w:r w:rsidRPr="004A2FC2">
        <w:rPr>
          <w:rFonts w:eastAsiaTheme="majorEastAsia" w:cs="Arial"/>
          <w:color w:val="000000" w:themeColor="text1"/>
          <w:sz w:val="24"/>
          <w:szCs w:val="24"/>
        </w:rPr>
        <w:t xml:space="preserve"> weakened by the evidence that water supplied to the meter is currently very low (up to 1 </w:t>
      </w:r>
      <w:r w:rsidR="00B754BB">
        <w:t>ug/L</w:t>
      </w:r>
      <w:r>
        <w:rPr>
          <w:rFonts w:eastAsiaTheme="majorEastAsia" w:cs="Arial"/>
          <w:color w:val="000000" w:themeColor="text1"/>
          <w:sz w:val="24"/>
          <w:szCs w:val="24"/>
        </w:rPr>
        <w:t xml:space="preserve"> </w:t>
      </w:r>
      <w:r w:rsidRPr="004A2FC2">
        <w:rPr>
          <w:rFonts w:eastAsiaTheme="majorEastAsia" w:cs="Arial"/>
          <w:color w:val="000000" w:themeColor="text1"/>
          <w:sz w:val="24"/>
          <w:szCs w:val="24"/>
        </w:rPr>
        <w:t>in most cases). This infrastructure is also outside the remit of the NCC and is regulat</w:t>
      </w:r>
      <w:r>
        <w:rPr>
          <w:rFonts w:eastAsiaTheme="majorEastAsia" w:cs="Arial"/>
          <w:color w:val="000000" w:themeColor="text1"/>
          <w:sz w:val="24"/>
          <w:szCs w:val="24"/>
        </w:rPr>
        <w:t>ed</w:t>
      </w:r>
      <w:r w:rsidR="0086246B">
        <w:rPr>
          <w:rFonts w:eastAsiaTheme="majorEastAsia" w:cs="Arial"/>
          <w:color w:val="000000" w:themeColor="text1"/>
          <w:sz w:val="24"/>
          <w:szCs w:val="24"/>
        </w:rPr>
        <w:t xml:space="preserve"> by the NUO</w:t>
      </w:r>
      <w:r w:rsidRPr="004A2FC2">
        <w:rPr>
          <w:rFonts w:eastAsiaTheme="majorEastAsia" w:cs="Arial"/>
          <w:color w:val="000000" w:themeColor="text1"/>
          <w:sz w:val="24"/>
          <w:szCs w:val="24"/>
        </w:rPr>
        <w:t xml:space="preserve">. </w:t>
      </w:r>
      <w:r w:rsidRPr="00D52B63">
        <w:rPr>
          <w:rFonts w:eastAsiaTheme="majorEastAsia" w:cs="Arial"/>
          <w:color w:val="000000" w:themeColor="text1"/>
          <w:sz w:val="24"/>
          <w:szCs w:val="24"/>
        </w:rPr>
        <w:t xml:space="preserve">It was, however, recognised that water meters as the point of intersection between water utility infrastructure and plumbing within the premises should be included within the scope of the new requirements. As such, the impact analysis has been updated to reflect their inclusion in the </w:t>
      </w:r>
      <w:r>
        <w:rPr>
          <w:rFonts w:eastAsiaTheme="majorEastAsia" w:cs="Arial"/>
          <w:color w:val="000000" w:themeColor="text1"/>
          <w:sz w:val="24"/>
          <w:szCs w:val="24"/>
        </w:rPr>
        <w:t>Decision</w:t>
      </w:r>
      <w:r w:rsidRPr="00D52B63">
        <w:rPr>
          <w:rFonts w:eastAsiaTheme="majorEastAsia" w:cs="Arial"/>
          <w:color w:val="000000" w:themeColor="text1"/>
          <w:sz w:val="24"/>
          <w:szCs w:val="24"/>
        </w:rPr>
        <w:t xml:space="preserve"> RIS.</w:t>
      </w:r>
      <w:r>
        <w:rPr>
          <w:rFonts w:eastAsiaTheme="majorEastAsia" w:cs="Arial"/>
          <w:color w:val="000000" w:themeColor="text1"/>
          <w:sz w:val="24"/>
          <w:szCs w:val="24"/>
        </w:rPr>
        <w:t xml:space="preserve"> </w:t>
      </w:r>
    </w:p>
    <w:p w14:paraId="6D7A71DC" w14:textId="63195DC2" w:rsidR="00442DC7" w:rsidRPr="00327565" w:rsidRDefault="00442DC7" w:rsidP="00D52B63">
      <w:pPr>
        <w:spacing w:line="360" w:lineRule="auto"/>
        <w:rPr>
          <w:rFonts w:eastAsiaTheme="majorEastAsia" w:cs="Arial"/>
          <w:color w:val="000000" w:themeColor="text1"/>
          <w:sz w:val="24"/>
          <w:szCs w:val="24"/>
        </w:rPr>
      </w:pPr>
      <w:r w:rsidRPr="00327565">
        <w:rPr>
          <w:rFonts w:cs="Arial"/>
          <w:sz w:val="24"/>
          <w:szCs w:val="24"/>
        </w:rPr>
        <w:t xml:space="preserve">The final scope of products </w:t>
      </w:r>
      <w:r>
        <w:rPr>
          <w:rFonts w:cs="Arial"/>
          <w:sz w:val="24"/>
          <w:szCs w:val="24"/>
        </w:rPr>
        <w:t>was discussed and agreed with the</w:t>
      </w:r>
      <w:r w:rsidRPr="0011208C">
        <w:rPr>
          <w:rFonts w:cs="Arial"/>
          <w:sz w:val="24"/>
          <w:szCs w:val="24"/>
        </w:rPr>
        <w:t xml:space="preserve"> </w:t>
      </w:r>
      <w:r>
        <w:rPr>
          <w:rFonts w:cs="Arial"/>
          <w:sz w:val="24"/>
          <w:szCs w:val="24"/>
        </w:rPr>
        <w:t xml:space="preserve">ABCB’s </w:t>
      </w:r>
      <w:r w:rsidRPr="0011208C">
        <w:rPr>
          <w:rFonts w:cs="Arial"/>
          <w:sz w:val="24"/>
          <w:szCs w:val="24"/>
        </w:rPr>
        <w:t>Plumbing</w:t>
      </w:r>
      <w:r w:rsidRPr="00327565">
        <w:rPr>
          <w:rFonts w:cs="Arial"/>
          <w:sz w:val="24"/>
          <w:szCs w:val="24"/>
        </w:rPr>
        <w:t xml:space="preserve"> Codes Committee (PCC) </w:t>
      </w:r>
      <w:r>
        <w:rPr>
          <w:rFonts w:cs="Arial"/>
          <w:sz w:val="24"/>
          <w:szCs w:val="24"/>
        </w:rPr>
        <w:t xml:space="preserve">at its </w:t>
      </w:r>
      <w:r w:rsidR="0086246B">
        <w:rPr>
          <w:rFonts w:cs="Arial"/>
          <w:sz w:val="24"/>
          <w:szCs w:val="24"/>
        </w:rPr>
        <w:t xml:space="preserve">2021 – Special meeting, in </w:t>
      </w:r>
      <w:r w:rsidRPr="00327565">
        <w:rPr>
          <w:rFonts w:cs="Arial"/>
          <w:sz w:val="24"/>
          <w:szCs w:val="24"/>
        </w:rPr>
        <w:t xml:space="preserve">March. </w:t>
      </w:r>
    </w:p>
    <w:p w14:paraId="0D6EF684" w14:textId="77777777" w:rsidR="00442DC7" w:rsidRPr="004C6304" w:rsidRDefault="00442DC7" w:rsidP="004C6304">
      <w:pPr>
        <w:rPr>
          <w:rStyle w:val="Heading2Char"/>
          <w:rFonts w:ascii="Arial" w:hAnsi="Arial" w:cs="Arial"/>
          <w:b w:val="0"/>
          <w:bCs w:val="0"/>
          <w:color w:val="000000" w:themeColor="text1"/>
          <w:sz w:val="24"/>
          <w:szCs w:val="24"/>
        </w:rPr>
      </w:pPr>
      <w:bookmarkStart w:id="32" w:name="_Toc70887777"/>
      <w:bookmarkStart w:id="33" w:name="_Toc71195730"/>
      <w:bookmarkStart w:id="34" w:name="_Toc71789257"/>
      <w:r w:rsidRPr="003108B7">
        <w:rPr>
          <w:rStyle w:val="Heading2Char"/>
          <w:rFonts w:ascii="Arial" w:hAnsi="Arial" w:cs="Arial"/>
          <w:b w:val="0"/>
          <w:bCs w:val="0"/>
          <w:sz w:val="28"/>
          <w:szCs w:val="28"/>
        </w:rPr>
        <w:t>Effectiveness and reliance on AS</w:t>
      </w:r>
      <w:r>
        <w:rPr>
          <w:rStyle w:val="Heading2Char"/>
          <w:rFonts w:ascii="Arial" w:hAnsi="Arial" w:cs="Arial"/>
          <w:b w:val="0"/>
          <w:bCs w:val="0"/>
          <w:sz w:val="28"/>
          <w:szCs w:val="28"/>
        </w:rPr>
        <w:t>/NZS</w:t>
      </w:r>
      <w:r w:rsidRPr="003108B7">
        <w:rPr>
          <w:rStyle w:val="Heading2Char"/>
          <w:rFonts w:ascii="Arial" w:hAnsi="Arial" w:cs="Arial"/>
          <w:b w:val="0"/>
          <w:bCs w:val="0"/>
          <w:sz w:val="28"/>
          <w:szCs w:val="28"/>
        </w:rPr>
        <w:t xml:space="preserve"> 4020</w:t>
      </w:r>
      <w:bookmarkEnd w:id="32"/>
      <w:bookmarkEnd w:id="33"/>
      <w:bookmarkEnd w:id="34"/>
    </w:p>
    <w:p w14:paraId="74F3E783" w14:textId="3E5DF1C4" w:rsidR="00442DC7" w:rsidRDefault="00442DC7" w:rsidP="00C9039E">
      <w:pPr>
        <w:spacing w:line="360" w:lineRule="auto"/>
        <w:jc w:val="both"/>
        <w:rPr>
          <w:rFonts w:cs="Arial"/>
          <w:sz w:val="24"/>
          <w:szCs w:val="24"/>
        </w:rPr>
      </w:pPr>
      <w:r>
        <w:rPr>
          <w:rFonts w:cs="Arial"/>
          <w:sz w:val="24"/>
          <w:szCs w:val="24"/>
        </w:rPr>
        <w:t xml:space="preserve">Two thirds of responses supported discontinuing an option examining changes to AS/NZS 4020 as an alternative regulatory option. Support was given for discontinuing the option on the basis that Option 2 </w:t>
      </w:r>
      <w:r w:rsidR="00B754BB">
        <w:rPr>
          <w:rFonts w:cs="Arial"/>
          <w:sz w:val="24"/>
          <w:szCs w:val="24"/>
        </w:rPr>
        <w:t xml:space="preserve">by limiting the proportion of lead in the source material, </w:t>
      </w:r>
      <w:r>
        <w:rPr>
          <w:rFonts w:cs="Arial"/>
          <w:sz w:val="24"/>
          <w:szCs w:val="24"/>
        </w:rPr>
        <w:t xml:space="preserve">was superior in addressing the problem at the source. That is, by significantly reducing lead from copper alloy plumbing products in contact with drinking water. </w:t>
      </w:r>
    </w:p>
    <w:p w14:paraId="4C058A52" w14:textId="77777777" w:rsidR="00442DC7" w:rsidRDefault="00442DC7" w:rsidP="00665B34">
      <w:pPr>
        <w:spacing w:before="240" w:line="360" w:lineRule="auto"/>
        <w:jc w:val="both"/>
        <w:rPr>
          <w:rFonts w:cs="Arial"/>
          <w:sz w:val="24"/>
          <w:szCs w:val="24"/>
        </w:rPr>
      </w:pPr>
      <w:r>
        <w:rPr>
          <w:rFonts w:cs="Arial"/>
          <w:sz w:val="24"/>
          <w:szCs w:val="24"/>
        </w:rPr>
        <w:t xml:space="preserve">While proposed changes to AS/NZS 4020 have been discontinued from further evaluation by the Decision RIS, the following themes are noted from those submissions advocating for changes to AS/NZS 4020. </w:t>
      </w:r>
    </w:p>
    <w:p w14:paraId="0B983DD7" w14:textId="77777777" w:rsidR="00442DC7" w:rsidRDefault="00442DC7" w:rsidP="00665B34">
      <w:pPr>
        <w:spacing w:before="240" w:after="0" w:line="360" w:lineRule="auto"/>
        <w:jc w:val="both"/>
        <w:rPr>
          <w:rFonts w:cs="Arial"/>
          <w:b/>
          <w:bCs/>
          <w:sz w:val="24"/>
          <w:szCs w:val="24"/>
        </w:rPr>
      </w:pPr>
      <w:bookmarkStart w:id="35" w:name="_Hlk70862135"/>
      <w:r w:rsidRPr="00E00560">
        <w:rPr>
          <w:rFonts w:cs="Arial"/>
          <w:color w:val="002060"/>
          <w:sz w:val="24"/>
          <w:szCs w:val="24"/>
        </w:rPr>
        <w:t>Chang</w:t>
      </w:r>
      <w:r>
        <w:rPr>
          <w:rFonts w:cs="Arial"/>
          <w:color w:val="002060"/>
          <w:sz w:val="24"/>
          <w:szCs w:val="24"/>
        </w:rPr>
        <w:t>ing the focus of AS/NZS 4020</w:t>
      </w:r>
      <w:r w:rsidRPr="00E00560">
        <w:rPr>
          <w:rFonts w:cs="Arial"/>
          <w:color w:val="002060"/>
          <w:sz w:val="24"/>
          <w:szCs w:val="24"/>
        </w:rPr>
        <w:t xml:space="preserve"> </w:t>
      </w:r>
      <w:r>
        <w:rPr>
          <w:rFonts w:cs="Arial"/>
          <w:color w:val="002060"/>
          <w:sz w:val="24"/>
          <w:szCs w:val="24"/>
        </w:rPr>
        <w:t xml:space="preserve">from </w:t>
      </w:r>
      <w:r w:rsidRPr="00E00560">
        <w:rPr>
          <w:rFonts w:cs="Arial"/>
          <w:color w:val="002060"/>
          <w:sz w:val="24"/>
          <w:szCs w:val="24"/>
        </w:rPr>
        <w:t>products</w:t>
      </w:r>
      <w:r>
        <w:rPr>
          <w:rFonts w:cs="Arial"/>
          <w:color w:val="002060"/>
          <w:sz w:val="24"/>
          <w:szCs w:val="24"/>
        </w:rPr>
        <w:t xml:space="preserve"> to materials</w:t>
      </w:r>
      <w:r w:rsidRPr="00E00560">
        <w:rPr>
          <w:rFonts w:cs="Arial"/>
          <w:color w:val="002060"/>
          <w:sz w:val="24"/>
          <w:szCs w:val="24"/>
        </w:rPr>
        <w:t xml:space="preserve"> </w:t>
      </w:r>
      <w:bookmarkEnd w:id="35"/>
    </w:p>
    <w:p w14:paraId="6A89109C" w14:textId="1563E568" w:rsidR="00442DC7" w:rsidRPr="004C6304" w:rsidRDefault="00442DC7" w:rsidP="00707179">
      <w:pPr>
        <w:spacing w:before="120" w:line="360" w:lineRule="auto"/>
        <w:jc w:val="both"/>
        <w:rPr>
          <w:sz w:val="24"/>
          <w:szCs w:val="24"/>
        </w:rPr>
      </w:pPr>
      <w:r w:rsidRPr="004C6304">
        <w:rPr>
          <w:sz w:val="24"/>
          <w:szCs w:val="24"/>
        </w:rPr>
        <w:t xml:space="preserve">Stakeholders with a </w:t>
      </w:r>
      <w:r>
        <w:rPr>
          <w:sz w:val="24"/>
          <w:szCs w:val="24"/>
        </w:rPr>
        <w:t>working</w:t>
      </w:r>
      <w:r w:rsidRPr="004C6304">
        <w:rPr>
          <w:sz w:val="24"/>
          <w:szCs w:val="24"/>
        </w:rPr>
        <w:t xml:space="preserve"> understanding of AS/NZS 4020 and its European equivalent (EN 15664) recognised the potential long-term benefits of moving towards a material-based test method </w:t>
      </w:r>
      <w:r>
        <w:rPr>
          <w:sz w:val="24"/>
          <w:szCs w:val="24"/>
        </w:rPr>
        <w:t xml:space="preserve">for lead </w:t>
      </w:r>
      <w:r w:rsidRPr="004C6304">
        <w:rPr>
          <w:sz w:val="24"/>
          <w:szCs w:val="24"/>
        </w:rPr>
        <w:t>as opposed to the current product-based approach</w:t>
      </w:r>
      <w:r>
        <w:rPr>
          <w:sz w:val="24"/>
          <w:szCs w:val="24"/>
        </w:rPr>
        <w:t xml:space="preserve"> in</w:t>
      </w:r>
      <w:r w:rsidRPr="004C6304">
        <w:rPr>
          <w:sz w:val="24"/>
          <w:szCs w:val="24"/>
        </w:rPr>
        <w:t xml:space="preserve"> AS/NZS 4020. Among other benefits, this would allow for a register of </w:t>
      </w:r>
      <w:r w:rsidRPr="004C6304">
        <w:rPr>
          <w:sz w:val="24"/>
          <w:szCs w:val="24"/>
        </w:rPr>
        <w:lastRenderedPageBreak/>
        <w:t>compliant materials and suppliers to be created</w:t>
      </w:r>
      <w:r>
        <w:rPr>
          <w:sz w:val="24"/>
          <w:szCs w:val="24"/>
        </w:rPr>
        <w:t>,</w:t>
      </w:r>
      <w:r w:rsidRPr="004C6304">
        <w:rPr>
          <w:sz w:val="24"/>
          <w:szCs w:val="24"/>
        </w:rPr>
        <w:t xml:space="preserve"> making it easier to source compliant raw materials. In doing so, stakeholders recognised many of the methods used to test materials were not practical to apply to individual products for the reasons stated in the Consultation RIS</w:t>
      </w:r>
      <w:r>
        <w:rPr>
          <w:sz w:val="24"/>
          <w:szCs w:val="24"/>
        </w:rPr>
        <w:t xml:space="preserve">, including </w:t>
      </w:r>
      <w:r w:rsidRPr="004C6304">
        <w:rPr>
          <w:sz w:val="24"/>
          <w:szCs w:val="24"/>
        </w:rPr>
        <w:t>the short-term costs</w:t>
      </w:r>
      <w:r>
        <w:rPr>
          <w:sz w:val="24"/>
          <w:szCs w:val="24"/>
        </w:rPr>
        <w:t xml:space="preserve"> associated with the additional</w:t>
      </w:r>
      <w:r w:rsidRPr="004C6304">
        <w:rPr>
          <w:sz w:val="24"/>
          <w:szCs w:val="24"/>
        </w:rPr>
        <w:t xml:space="preserve"> time and resources</w:t>
      </w:r>
      <w:r w:rsidRPr="00707179">
        <w:rPr>
          <w:sz w:val="24"/>
          <w:szCs w:val="24"/>
        </w:rPr>
        <w:t xml:space="preserve"> </w:t>
      </w:r>
      <w:r>
        <w:rPr>
          <w:sz w:val="24"/>
          <w:szCs w:val="24"/>
        </w:rPr>
        <w:t>required by manufacturers and testing authorities</w:t>
      </w:r>
      <w:r w:rsidRPr="004C6304">
        <w:rPr>
          <w:sz w:val="24"/>
          <w:szCs w:val="24"/>
        </w:rPr>
        <w:t>.</w:t>
      </w:r>
    </w:p>
    <w:p w14:paraId="274F10A8" w14:textId="223E8470" w:rsidR="00442DC7" w:rsidRPr="004C6304" w:rsidRDefault="00442DC7" w:rsidP="004C6304">
      <w:pPr>
        <w:spacing w:line="360" w:lineRule="auto"/>
        <w:jc w:val="both"/>
        <w:rPr>
          <w:sz w:val="24"/>
          <w:szCs w:val="24"/>
        </w:rPr>
      </w:pPr>
      <w:r>
        <w:rPr>
          <w:sz w:val="24"/>
          <w:szCs w:val="24"/>
        </w:rPr>
        <w:t>T</w:t>
      </w:r>
      <w:r w:rsidRPr="004C6304">
        <w:rPr>
          <w:sz w:val="24"/>
          <w:szCs w:val="24"/>
        </w:rPr>
        <w:t xml:space="preserve">he </w:t>
      </w:r>
      <w:r>
        <w:rPr>
          <w:sz w:val="24"/>
          <w:szCs w:val="24"/>
        </w:rPr>
        <w:t>Decision</w:t>
      </w:r>
      <w:r w:rsidRPr="004C6304">
        <w:rPr>
          <w:sz w:val="24"/>
          <w:szCs w:val="24"/>
        </w:rPr>
        <w:t xml:space="preserve"> RIS </w:t>
      </w:r>
      <w:r>
        <w:rPr>
          <w:sz w:val="24"/>
          <w:szCs w:val="24"/>
        </w:rPr>
        <w:t xml:space="preserve">notes the similarities in objectives </w:t>
      </w:r>
      <w:r w:rsidR="00665B34">
        <w:rPr>
          <w:sz w:val="24"/>
          <w:szCs w:val="24"/>
        </w:rPr>
        <w:t>of</w:t>
      </w:r>
      <w:r>
        <w:rPr>
          <w:sz w:val="24"/>
          <w:szCs w:val="24"/>
        </w:rPr>
        <w:t xml:space="preserve"> changing the focus of AS/NZS</w:t>
      </w:r>
      <w:r w:rsidR="00461D5D">
        <w:rPr>
          <w:sz w:val="24"/>
          <w:szCs w:val="24"/>
        </w:rPr>
        <w:t> </w:t>
      </w:r>
      <w:r>
        <w:rPr>
          <w:sz w:val="24"/>
          <w:szCs w:val="24"/>
        </w:rPr>
        <w:t>4020 with those of Option 2.</w:t>
      </w:r>
      <w:r w:rsidRPr="00707179">
        <w:rPr>
          <w:sz w:val="24"/>
          <w:szCs w:val="24"/>
        </w:rPr>
        <w:t xml:space="preserve"> </w:t>
      </w:r>
      <w:r w:rsidR="00B22235">
        <w:rPr>
          <w:sz w:val="24"/>
          <w:szCs w:val="24"/>
        </w:rPr>
        <w:t>G</w:t>
      </w:r>
      <w:r w:rsidRPr="004C6304">
        <w:rPr>
          <w:sz w:val="24"/>
          <w:szCs w:val="24"/>
        </w:rPr>
        <w:t xml:space="preserve">iven the </w:t>
      </w:r>
      <w:r>
        <w:rPr>
          <w:sz w:val="24"/>
          <w:szCs w:val="24"/>
        </w:rPr>
        <w:t xml:space="preserve">similarities and </w:t>
      </w:r>
      <w:r w:rsidRPr="004C6304">
        <w:rPr>
          <w:sz w:val="24"/>
          <w:szCs w:val="24"/>
        </w:rPr>
        <w:t>potential unintended consequences on the testing requirements for other metals,</w:t>
      </w:r>
      <w:r w:rsidRPr="00707179">
        <w:rPr>
          <w:sz w:val="24"/>
          <w:szCs w:val="24"/>
        </w:rPr>
        <w:t xml:space="preserve"> </w:t>
      </w:r>
      <w:r>
        <w:rPr>
          <w:sz w:val="24"/>
          <w:szCs w:val="24"/>
        </w:rPr>
        <w:t xml:space="preserve">the Decision RIS focuses instead on a regulatory option that delivers a higher net </w:t>
      </w:r>
      <w:r w:rsidRPr="004C6304">
        <w:rPr>
          <w:sz w:val="24"/>
          <w:szCs w:val="24"/>
        </w:rPr>
        <w:t>benefit to the broader community</w:t>
      </w:r>
      <w:r>
        <w:rPr>
          <w:sz w:val="24"/>
          <w:szCs w:val="24"/>
        </w:rPr>
        <w:t xml:space="preserve"> in its current form.</w:t>
      </w:r>
    </w:p>
    <w:p w14:paraId="1F3ECAA9" w14:textId="77777777" w:rsidR="00442DC7" w:rsidRDefault="00442DC7" w:rsidP="00E00560">
      <w:pPr>
        <w:spacing w:before="120" w:line="360" w:lineRule="auto"/>
        <w:jc w:val="both"/>
        <w:rPr>
          <w:rFonts w:cs="Arial"/>
          <w:color w:val="002060"/>
          <w:sz w:val="24"/>
          <w:szCs w:val="24"/>
        </w:rPr>
      </w:pPr>
      <w:r w:rsidRPr="00825B98">
        <w:rPr>
          <w:color w:val="244061" w:themeColor="accent1" w:themeShade="80"/>
          <w:sz w:val="24"/>
          <w:szCs w:val="24"/>
        </w:rPr>
        <w:t>Changes to Testing Criteria</w:t>
      </w:r>
    </w:p>
    <w:p w14:paraId="46F16FC3" w14:textId="29C45986" w:rsidR="00442DC7" w:rsidRDefault="00442DC7" w:rsidP="00E00560">
      <w:pPr>
        <w:spacing w:before="120" w:line="360" w:lineRule="auto"/>
        <w:jc w:val="both"/>
        <w:rPr>
          <w:sz w:val="24"/>
          <w:szCs w:val="24"/>
        </w:rPr>
      </w:pPr>
      <w:r w:rsidRPr="00E00560">
        <w:rPr>
          <w:sz w:val="24"/>
          <w:szCs w:val="24"/>
        </w:rPr>
        <w:t xml:space="preserve">Of those </w:t>
      </w:r>
      <w:r>
        <w:rPr>
          <w:sz w:val="24"/>
          <w:szCs w:val="24"/>
        </w:rPr>
        <w:t>who</w:t>
      </w:r>
      <w:r w:rsidRPr="00E00560">
        <w:rPr>
          <w:sz w:val="24"/>
          <w:szCs w:val="24"/>
        </w:rPr>
        <w:t xml:space="preserve"> provided feedback on AS/NZS 4020, there was general consensus that the existing test methods </w:t>
      </w:r>
      <w:r>
        <w:rPr>
          <w:sz w:val="24"/>
          <w:szCs w:val="24"/>
        </w:rPr>
        <w:t>could be changed to be more reflective of conditions in Australia</w:t>
      </w:r>
      <w:r w:rsidRPr="00E00560">
        <w:rPr>
          <w:sz w:val="24"/>
          <w:szCs w:val="24"/>
        </w:rPr>
        <w:t xml:space="preserve"> and </w:t>
      </w:r>
      <w:r>
        <w:rPr>
          <w:sz w:val="24"/>
          <w:szCs w:val="24"/>
        </w:rPr>
        <w:t>the range of variables and other factors influencing compliance with the Standard</w:t>
      </w:r>
      <w:r w:rsidRPr="00E00560">
        <w:rPr>
          <w:sz w:val="24"/>
          <w:szCs w:val="24"/>
        </w:rPr>
        <w:t>.</w:t>
      </w:r>
      <w:r>
        <w:rPr>
          <w:sz w:val="24"/>
          <w:szCs w:val="24"/>
        </w:rPr>
        <w:t xml:space="preserve"> This included reviewing test conditions, stagnation times and reducing the current maximum threshold for lead from 10 </w:t>
      </w:r>
      <w:r w:rsidRPr="003A53FA">
        <w:rPr>
          <w:rFonts w:cs="Arial"/>
          <w:color w:val="333333"/>
          <w:sz w:val="24"/>
          <w:szCs w:val="24"/>
          <w:shd w:val="clear" w:color="auto" w:fill="FFFFFF"/>
        </w:rPr>
        <w:t>μ</w:t>
      </w:r>
      <w:r w:rsidRPr="003A53FA">
        <w:rPr>
          <w:rFonts w:cs="Arial"/>
          <w:bCs/>
          <w:iCs/>
          <w:sz w:val="24"/>
          <w:szCs w:val="24"/>
        </w:rPr>
        <w:t>g</w:t>
      </w:r>
      <w:r>
        <w:rPr>
          <w:sz w:val="24"/>
          <w:szCs w:val="24"/>
        </w:rPr>
        <w:t>/L to a lower value.</w:t>
      </w:r>
    </w:p>
    <w:p w14:paraId="375978C9" w14:textId="335CA384" w:rsidR="00442DC7" w:rsidRDefault="00442DC7" w:rsidP="00A04984">
      <w:pPr>
        <w:spacing w:line="360" w:lineRule="auto"/>
        <w:jc w:val="both"/>
        <w:rPr>
          <w:sz w:val="24"/>
          <w:szCs w:val="24"/>
        </w:rPr>
      </w:pPr>
      <w:r>
        <w:rPr>
          <w:sz w:val="24"/>
          <w:szCs w:val="24"/>
        </w:rPr>
        <w:t xml:space="preserve">The Decision </w:t>
      </w:r>
      <w:r w:rsidRPr="008F48C5">
        <w:rPr>
          <w:sz w:val="24"/>
          <w:szCs w:val="24"/>
        </w:rPr>
        <w:t>RIS recognise</w:t>
      </w:r>
      <w:r>
        <w:rPr>
          <w:sz w:val="24"/>
          <w:szCs w:val="24"/>
        </w:rPr>
        <w:t>s</w:t>
      </w:r>
      <w:r w:rsidRPr="008F48C5">
        <w:rPr>
          <w:sz w:val="24"/>
          <w:szCs w:val="24"/>
        </w:rPr>
        <w:t xml:space="preserve"> calls for some changes to AS/NZS 4020 are strong</w:t>
      </w:r>
      <w:r>
        <w:rPr>
          <w:sz w:val="24"/>
          <w:szCs w:val="24"/>
        </w:rPr>
        <w:t>, however, the details underlying the proposed improvements are not sufficiently resolved in order for the</w:t>
      </w:r>
      <w:r w:rsidRPr="008F48C5">
        <w:rPr>
          <w:sz w:val="24"/>
          <w:szCs w:val="24"/>
        </w:rPr>
        <w:t xml:space="preserve"> changes </w:t>
      </w:r>
      <w:r>
        <w:rPr>
          <w:sz w:val="24"/>
          <w:szCs w:val="24"/>
        </w:rPr>
        <w:t>to be c</w:t>
      </w:r>
      <w:r w:rsidRPr="008F48C5">
        <w:rPr>
          <w:sz w:val="24"/>
          <w:szCs w:val="24"/>
        </w:rPr>
        <w:t>onsider</w:t>
      </w:r>
      <w:r>
        <w:rPr>
          <w:sz w:val="24"/>
          <w:szCs w:val="24"/>
        </w:rPr>
        <w:t>ed</w:t>
      </w:r>
      <w:r w:rsidRPr="008F48C5">
        <w:rPr>
          <w:sz w:val="24"/>
          <w:szCs w:val="24"/>
        </w:rPr>
        <w:t xml:space="preserve"> by decision makers</w:t>
      </w:r>
      <w:r>
        <w:rPr>
          <w:sz w:val="24"/>
          <w:szCs w:val="24"/>
        </w:rPr>
        <w:t xml:space="preserve"> via this RIS</w:t>
      </w:r>
      <w:r w:rsidRPr="008F48C5">
        <w:rPr>
          <w:sz w:val="24"/>
          <w:szCs w:val="24"/>
        </w:rPr>
        <w:t xml:space="preserve">. </w:t>
      </w:r>
    </w:p>
    <w:p w14:paraId="7E7B94E7" w14:textId="7D0DFACB" w:rsidR="00442DC7" w:rsidRDefault="00442DC7" w:rsidP="00A04984">
      <w:pPr>
        <w:spacing w:line="360" w:lineRule="auto"/>
        <w:jc w:val="both"/>
        <w:rPr>
          <w:sz w:val="24"/>
          <w:szCs w:val="24"/>
        </w:rPr>
      </w:pPr>
      <w:r>
        <w:rPr>
          <w:sz w:val="24"/>
          <w:szCs w:val="24"/>
        </w:rPr>
        <w:t xml:space="preserve">Following feedback received on the Consultation RIS, a review of AS/NZS 4020 should be investigated, noting that the test methods contained within the Standard have not undergone significant review since its introduction in 1991. </w:t>
      </w:r>
      <w:r w:rsidRPr="008F48C5">
        <w:rPr>
          <w:sz w:val="24"/>
          <w:szCs w:val="24"/>
        </w:rPr>
        <w:t xml:space="preserve">It is envisaged that future changes to </w:t>
      </w:r>
      <w:r>
        <w:rPr>
          <w:sz w:val="24"/>
          <w:szCs w:val="24"/>
        </w:rPr>
        <w:t xml:space="preserve">AS/NZS 4020 could support or complement proposed changes considered by this Decision RIS, subject to further development and consultation with industry and testing laboratories on the </w:t>
      </w:r>
      <w:r w:rsidRPr="008F48C5">
        <w:rPr>
          <w:sz w:val="24"/>
          <w:szCs w:val="24"/>
        </w:rPr>
        <w:t xml:space="preserve">costs </w:t>
      </w:r>
      <w:r>
        <w:rPr>
          <w:sz w:val="24"/>
          <w:szCs w:val="24"/>
        </w:rPr>
        <w:t>and benefits of any proposed changes</w:t>
      </w:r>
      <w:r w:rsidRPr="008F48C5">
        <w:rPr>
          <w:sz w:val="24"/>
          <w:szCs w:val="24"/>
        </w:rPr>
        <w:t>.</w:t>
      </w:r>
    </w:p>
    <w:p w14:paraId="660C529C" w14:textId="77777777" w:rsidR="00442DC7" w:rsidRPr="00C61828" w:rsidRDefault="00442DC7" w:rsidP="00C61828">
      <w:pPr>
        <w:spacing w:before="120" w:line="360" w:lineRule="auto"/>
        <w:jc w:val="both"/>
        <w:rPr>
          <w:color w:val="244061" w:themeColor="accent1" w:themeShade="80"/>
          <w:sz w:val="24"/>
          <w:szCs w:val="24"/>
        </w:rPr>
      </w:pPr>
      <w:bookmarkStart w:id="36" w:name="_Toc70887778"/>
      <w:bookmarkStart w:id="37" w:name="_Hlk70604633"/>
      <w:r w:rsidRPr="00C61828">
        <w:rPr>
          <w:color w:val="244061" w:themeColor="accent1" w:themeShade="80"/>
          <w:sz w:val="24"/>
          <w:szCs w:val="24"/>
        </w:rPr>
        <w:t>Need for</w:t>
      </w:r>
      <w:bookmarkEnd w:id="36"/>
      <w:r w:rsidRPr="00C61828">
        <w:rPr>
          <w:color w:val="244061" w:themeColor="accent1" w:themeShade="80"/>
          <w:sz w:val="24"/>
          <w:szCs w:val="24"/>
        </w:rPr>
        <w:t xml:space="preserve"> </w:t>
      </w:r>
      <w:bookmarkStart w:id="38" w:name="_Toc70887779"/>
      <w:r w:rsidRPr="00C61828">
        <w:rPr>
          <w:color w:val="244061" w:themeColor="accent1" w:themeShade="80"/>
          <w:sz w:val="24"/>
          <w:szCs w:val="24"/>
        </w:rPr>
        <w:t>health-based guideline values for lead substitutes</w:t>
      </w:r>
      <w:bookmarkEnd w:id="38"/>
    </w:p>
    <w:p w14:paraId="01CA0BB5" w14:textId="04AB0209" w:rsidR="00442DC7" w:rsidRDefault="00442DC7" w:rsidP="000B4D3C">
      <w:pPr>
        <w:spacing w:after="0" w:line="360" w:lineRule="auto"/>
        <w:jc w:val="both"/>
        <w:rPr>
          <w:rFonts w:cs="Arial"/>
          <w:sz w:val="24"/>
          <w:szCs w:val="24"/>
        </w:rPr>
      </w:pPr>
      <w:bookmarkStart w:id="39" w:name="_Hlk72072543"/>
      <w:r>
        <w:rPr>
          <w:rFonts w:cs="Arial"/>
          <w:sz w:val="24"/>
          <w:szCs w:val="24"/>
        </w:rPr>
        <w:t>T</w:t>
      </w:r>
      <w:r w:rsidRPr="00E00560">
        <w:rPr>
          <w:rFonts w:cs="Arial"/>
          <w:sz w:val="24"/>
          <w:szCs w:val="24"/>
        </w:rPr>
        <w:t>he importance of ensuring that health-based guideline</w:t>
      </w:r>
      <w:r>
        <w:rPr>
          <w:rFonts w:cs="Arial"/>
          <w:sz w:val="24"/>
          <w:szCs w:val="24"/>
        </w:rPr>
        <w:t xml:space="preserve"> values</w:t>
      </w:r>
      <w:r w:rsidRPr="00E00560">
        <w:rPr>
          <w:rFonts w:cs="Arial"/>
          <w:sz w:val="24"/>
          <w:szCs w:val="24"/>
        </w:rPr>
        <w:t xml:space="preserve"> </w:t>
      </w:r>
      <w:r>
        <w:rPr>
          <w:rFonts w:cs="Arial"/>
          <w:sz w:val="24"/>
          <w:szCs w:val="24"/>
        </w:rPr>
        <w:t>are developed</w:t>
      </w:r>
      <w:r w:rsidRPr="00E00560">
        <w:rPr>
          <w:rFonts w:cs="Arial"/>
          <w:sz w:val="24"/>
          <w:szCs w:val="24"/>
        </w:rPr>
        <w:t xml:space="preserve"> for</w:t>
      </w:r>
      <w:r>
        <w:rPr>
          <w:rFonts w:cs="Arial"/>
          <w:sz w:val="24"/>
          <w:szCs w:val="24"/>
        </w:rPr>
        <w:t xml:space="preserve"> all plausible</w:t>
      </w:r>
      <w:r w:rsidRPr="00E00560">
        <w:rPr>
          <w:rFonts w:cs="Arial"/>
          <w:sz w:val="24"/>
          <w:szCs w:val="24"/>
        </w:rPr>
        <w:t xml:space="preserve"> </w:t>
      </w:r>
      <w:r>
        <w:rPr>
          <w:rFonts w:cs="Arial"/>
          <w:sz w:val="24"/>
          <w:szCs w:val="24"/>
        </w:rPr>
        <w:t xml:space="preserve">lead substitutes prior to implementing Option 2 was raised by health agencies. Experience from the US shows that the most common substitutes for lead brass have been silicon brass and bismuth brass. It is understood that no country </w:t>
      </w:r>
      <w:r>
        <w:rPr>
          <w:rFonts w:cs="Arial"/>
          <w:sz w:val="24"/>
          <w:szCs w:val="24"/>
        </w:rPr>
        <w:lastRenderedPageBreak/>
        <w:t>currently has health-based guideline values for these substitutes. However, enHealth and the NHMRC acknowledged that th</w:t>
      </w:r>
      <w:r w:rsidRPr="00E00560">
        <w:rPr>
          <w:rFonts w:cs="Arial"/>
          <w:sz w:val="24"/>
          <w:szCs w:val="24"/>
        </w:rPr>
        <w:t>e absence of a drinking water guideline</w:t>
      </w:r>
      <w:r>
        <w:rPr>
          <w:rFonts w:cs="Arial"/>
          <w:sz w:val="24"/>
          <w:szCs w:val="24"/>
        </w:rPr>
        <w:t xml:space="preserve"> value</w:t>
      </w:r>
      <w:r w:rsidRPr="00E00560">
        <w:rPr>
          <w:rFonts w:cs="Arial"/>
          <w:sz w:val="24"/>
          <w:szCs w:val="24"/>
        </w:rPr>
        <w:t xml:space="preserve"> for any material, or leachable component of a material, does not imply that the product</w:t>
      </w:r>
      <w:r>
        <w:rPr>
          <w:rFonts w:cs="Arial"/>
          <w:sz w:val="24"/>
          <w:szCs w:val="24"/>
        </w:rPr>
        <w:t xml:space="preserve"> or material </w:t>
      </w:r>
      <w:r w:rsidRPr="00E00560">
        <w:rPr>
          <w:rFonts w:cs="Arial"/>
          <w:sz w:val="24"/>
          <w:szCs w:val="24"/>
        </w:rPr>
        <w:t>will be safe.</w:t>
      </w:r>
      <w:r>
        <w:rPr>
          <w:rFonts w:cs="Arial"/>
          <w:sz w:val="24"/>
          <w:szCs w:val="24"/>
        </w:rPr>
        <w:t xml:space="preserve"> This was particularly in regard to the use of bismuth, which they advised is one of the least understood elements in the periodic table. </w:t>
      </w:r>
    </w:p>
    <w:p w14:paraId="3F2FDAD9" w14:textId="6E17ECB9" w:rsidR="00442DC7" w:rsidRDefault="00442DC7" w:rsidP="00FB1CE3">
      <w:pPr>
        <w:spacing w:before="240" w:after="120" w:line="360" w:lineRule="auto"/>
        <w:jc w:val="both"/>
        <w:rPr>
          <w:rFonts w:cs="Arial"/>
          <w:sz w:val="24"/>
          <w:szCs w:val="24"/>
        </w:rPr>
      </w:pPr>
      <w:r>
        <w:rPr>
          <w:rFonts w:cs="Arial"/>
          <w:sz w:val="24"/>
          <w:szCs w:val="24"/>
        </w:rPr>
        <w:t>As there are currently no threshold values in use internationally, the time required to develop</w:t>
      </w:r>
      <w:r w:rsidRPr="004015BF">
        <w:rPr>
          <w:rFonts w:cs="Arial"/>
          <w:sz w:val="24"/>
          <w:szCs w:val="24"/>
        </w:rPr>
        <w:t xml:space="preserve"> </w:t>
      </w:r>
      <w:r>
        <w:rPr>
          <w:rFonts w:cs="Arial"/>
          <w:sz w:val="24"/>
          <w:szCs w:val="24"/>
        </w:rPr>
        <w:t xml:space="preserve">these values should be taken into account by decision makers when determining which option to implement. </w:t>
      </w:r>
    </w:p>
    <w:p w14:paraId="29EB843D" w14:textId="05BB0FA6" w:rsidR="00442DC7" w:rsidRDefault="00442DC7" w:rsidP="00FB1CE3">
      <w:pPr>
        <w:spacing w:before="240" w:after="120" w:line="360" w:lineRule="auto"/>
        <w:jc w:val="both"/>
      </w:pPr>
      <w:r>
        <w:rPr>
          <w:rFonts w:cs="Arial"/>
          <w:sz w:val="24"/>
          <w:szCs w:val="24"/>
        </w:rPr>
        <w:t xml:space="preserve">Given the concerns by the health agencies and the likely influence of the US market in </w:t>
      </w:r>
      <w:r w:rsidRPr="004A1DC2">
        <w:rPr>
          <w:rFonts w:cs="Arial"/>
          <w:sz w:val="24"/>
          <w:szCs w:val="24"/>
        </w:rPr>
        <w:t xml:space="preserve">Australia, </w:t>
      </w:r>
      <w:r w:rsidRPr="000867DF">
        <w:rPr>
          <w:rFonts w:cs="Arial"/>
          <w:sz w:val="24"/>
          <w:szCs w:val="24"/>
        </w:rPr>
        <w:t xml:space="preserve">the Decision RIS recommends work be undertaken with health authorities on what limits should be placed, if any, on the use of lead substitutes. </w:t>
      </w:r>
      <w:bookmarkEnd w:id="37"/>
    </w:p>
    <w:bookmarkEnd w:id="39"/>
    <w:p w14:paraId="4B3CD4A0" w14:textId="77777777" w:rsidR="00442DC7" w:rsidRPr="004C6304" w:rsidRDefault="00442DC7" w:rsidP="00BF52BE">
      <w:pPr>
        <w:spacing w:before="240"/>
        <w:rPr>
          <w:color w:val="002060"/>
          <w:sz w:val="28"/>
          <w:szCs w:val="28"/>
        </w:rPr>
      </w:pPr>
      <w:r w:rsidRPr="004C6304">
        <w:rPr>
          <w:color w:val="002060"/>
          <w:sz w:val="28"/>
          <w:szCs w:val="28"/>
        </w:rPr>
        <w:t>Implementation issues</w:t>
      </w:r>
    </w:p>
    <w:p w14:paraId="77B5EE5D" w14:textId="77777777" w:rsidR="00442DC7" w:rsidRPr="004C6304" w:rsidRDefault="00442DC7" w:rsidP="004C6304">
      <w:pPr>
        <w:rPr>
          <w:color w:val="002060"/>
          <w:sz w:val="24"/>
          <w:szCs w:val="24"/>
        </w:rPr>
      </w:pPr>
      <w:r w:rsidRPr="004C6304">
        <w:rPr>
          <w:color w:val="002060"/>
          <w:sz w:val="24"/>
          <w:szCs w:val="24"/>
        </w:rPr>
        <w:t xml:space="preserve">Transition </w:t>
      </w:r>
    </w:p>
    <w:p w14:paraId="198669BD" w14:textId="77777777" w:rsidR="00442DC7" w:rsidRDefault="00442DC7" w:rsidP="009A14B1">
      <w:pPr>
        <w:spacing w:line="360" w:lineRule="auto"/>
        <w:jc w:val="both"/>
        <w:rPr>
          <w:rFonts w:cs="Arial"/>
          <w:sz w:val="24"/>
          <w:szCs w:val="24"/>
        </w:rPr>
      </w:pPr>
      <w:bookmarkStart w:id="40" w:name="_Hlk72067398"/>
      <w:r>
        <w:rPr>
          <w:rFonts w:cs="Arial"/>
          <w:sz w:val="24"/>
          <w:szCs w:val="24"/>
        </w:rPr>
        <w:t>Stakeholders accepted that</w:t>
      </w:r>
      <w:r w:rsidRPr="00E00560">
        <w:rPr>
          <w:rFonts w:cs="Arial"/>
          <w:sz w:val="24"/>
          <w:szCs w:val="24"/>
        </w:rPr>
        <w:t xml:space="preserve"> Option 2 w</w:t>
      </w:r>
      <w:r>
        <w:rPr>
          <w:rFonts w:cs="Arial"/>
          <w:sz w:val="24"/>
          <w:szCs w:val="24"/>
        </w:rPr>
        <w:t>ould have significant</w:t>
      </w:r>
      <w:r w:rsidRPr="00E00560">
        <w:rPr>
          <w:rFonts w:cs="Arial"/>
          <w:sz w:val="24"/>
          <w:szCs w:val="24"/>
        </w:rPr>
        <w:t xml:space="preserve"> impact on the manufacture of copper alloy plumbing products in contact with drinking water</w:t>
      </w:r>
      <w:r>
        <w:rPr>
          <w:rFonts w:cs="Arial"/>
          <w:sz w:val="24"/>
          <w:szCs w:val="24"/>
        </w:rPr>
        <w:t>, with most (85%) agreeing that a suitable transition period was required</w:t>
      </w:r>
      <w:r w:rsidRPr="00E00560">
        <w:rPr>
          <w:rFonts w:cs="Arial"/>
          <w:sz w:val="24"/>
          <w:szCs w:val="24"/>
        </w:rPr>
        <w:t>.</w:t>
      </w:r>
    </w:p>
    <w:p w14:paraId="54932631" w14:textId="3F82CE87" w:rsidR="00442DC7" w:rsidRDefault="00442DC7" w:rsidP="009A14B1">
      <w:pPr>
        <w:spacing w:line="360" w:lineRule="auto"/>
        <w:jc w:val="both"/>
        <w:rPr>
          <w:rFonts w:cs="Arial"/>
          <w:sz w:val="24"/>
          <w:szCs w:val="24"/>
        </w:rPr>
      </w:pPr>
      <w:bookmarkStart w:id="41" w:name="_Hlk70876524"/>
      <w:r>
        <w:rPr>
          <w:rFonts w:cs="Arial"/>
          <w:sz w:val="24"/>
          <w:szCs w:val="24"/>
        </w:rPr>
        <w:t>Opinions on the duration of the transition period required were mixed, with</w:t>
      </w:r>
      <w:r w:rsidRPr="00E00560">
        <w:rPr>
          <w:rFonts w:cs="Arial"/>
          <w:sz w:val="24"/>
          <w:szCs w:val="24"/>
        </w:rPr>
        <w:t xml:space="preserve"> </w:t>
      </w:r>
      <w:r w:rsidR="00665B34">
        <w:rPr>
          <w:rFonts w:cs="Arial"/>
          <w:sz w:val="24"/>
          <w:szCs w:val="24"/>
        </w:rPr>
        <w:t xml:space="preserve">47% recommending a three </w:t>
      </w:r>
      <w:r>
        <w:rPr>
          <w:rFonts w:cs="Arial"/>
          <w:sz w:val="24"/>
          <w:szCs w:val="24"/>
        </w:rPr>
        <w:t>year t</w:t>
      </w:r>
      <w:r w:rsidR="00B94CE9">
        <w:rPr>
          <w:rFonts w:cs="Arial"/>
          <w:sz w:val="24"/>
          <w:szCs w:val="24"/>
        </w:rPr>
        <w:t>ransition and 38% recommending five</w:t>
      </w:r>
      <w:r>
        <w:rPr>
          <w:rFonts w:cs="Arial"/>
          <w:sz w:val="24"/>
          <w:szCs w:val="24"/>
        </w:rPr>
        <w:t xml:space="preserve"> years. Of those who advocated for the longer duration, most were manufacturers or industry groups with an in-depth understanding of the practical implications new requirements would have on domestic manufacturing and the time required to sell-off existing stock.</w:t>
      </w:r>
    </w:p>
    <w:bookmarkEnd w:id="41"/>
    <w:p w14:paraId="2C2CF7EC" w14:textId="38DD4040" w:rsidR="00442DC7" w:rsidRDefault="00442DC7" w:rsidP="009A14B1">
      <w:pPr>
        <w:spacing w:line="360" w:lineRule="auto"/>
        <w:jc w:val="both"/>
        <w:rPr>
          <w:rFonts w:cs="Arial"/>
          <w:sz w:val="24"/>
          <w:szCs w:val="24"/>
        </w:rPr>
      </w:pPr>
      <w:r>
        <w:rPr>
          <w:rFonts w:cs="Arial"/>
          <w:sz w:val="24"/>
          <w:szCs w:val="24"/>
        </w:rPr>
        <w:t>Concerns were also raised by industry groups regarding the capacity of the testing laboratories,</w:t>
      </w:r>
      <w:r w:rsidR="00665B34">
        <w:rPr>
          <w:rFonts w:cs="Arial"/>
          <w:sz w:val="24"/>
          <w:szCs w:val="24"/>
        </w:rPr>
        <w:t xml:space="preserve"> who also advocated for a five</w:t>
      </w:r>
      <w:r w:rsidR="00461D5D">
        <w:rPr>
          <w:rFonts w:cs="Arial"/>
          <w:sz w:val="24"/>
          <w:szCs w:val="24"/>
        </w:rPr>
        <w:t>-</w:t>
      </w:r>
      <w:r>
        <w:rPr>
          <w:rFonts w:cs="Arial"/>
          <w:sz w:val="24"/>
          <w:szCs w:val="24"/>
        </w:rPr>
        <w:t>year transition period on the basis of the significant volume of testing required.  The current global pandemic and its impact on product and material supply chains was also identified as a barrier to implementation</w:t>
      </w:r>
      <w:bookmarkEnd w:id="40"/>
      <w:r>
        <w:rPr>
          <w:rFonts w:cs="Arial"/>
          <w:sz w:val="24"/>
          <w:szCs w:val="24"/>
        </w:rPr>
        <w:t>, with one</w:t>
      </w:r>
      <w:r w:rsidR="00665B34">
        <w:rPr>
          <w:rFonts w:cs="Arial"/>
          <w:sz w:val="24"/>
          <w:szCs w:val="24"/>
        </w:rPr>
        <w:t xml:space="preserve"> stakeholder advocating for a five</w:t>
      </w:r>
      <w:r w:rsidR="00DD72BB">
        <w:rPr>
          <w:rFonts w:cs="Arial"/>
          <w:sz w:val="24"/>
          <w:szCs w:val="24"/>
        </w:rPr>
        <w:t>-</w:t>
      </w:r>
      <w:r>
        <w:rPr>
          <w:rFonts w:cs="Arial"/>
          <w:sz w:val="24"/>
          <w:szCs w:val="24"/>
        </w:rPr>
        <w:t xml:space="preserve">year transition after travel restrictions had been removed.  </w:t>
      </w:r>
    </w:p>
    <w:p w14:paraId="47B55895" w14:textId="114D0E94" w:rsidR="00442DC7" w:rsidRDefault="00442DC7" w:rsidP="009A14B1">
      <w:pPr>
        <w:spacing w:line="360" w:lineRule="auto"/>
        <w:jc w:val="both"/>
        <w:rPr>
          <w:rFonts w:cs="Arial"/>
          <w:sz w:val="24"/>
          <w:szCs w:val="24"/>
        </w:rPr>
      </w:pPr>
      <w:r>
        <w:rPr>
          <w:rFonts w:cs="Arial"/>
          <w:sz w:val="24"/>
          <w:szCs w:val="24"/>
        </w:rPr>
        <w:t xml:space="preserve">Reasons supporting a shorter transition period included the ability to rely on NSF/ANSI 372 compliant imported products in the short-term. Emphasis was also placed on the public safety outcomes derived from Option 2, with some suggesting </w:t>
      </w:r>
      <w:r>
        <w:rPr>
          <w:rFonts w:cs="Arial"/>
          <w:sz w:val="24"/>
          <w:szCs w:val="24"/>
        </w:rPr>
        <w:lastRenderedPageBreak/>
        <w:t xml:space="preserve">that the move should be made as soon as possible to give recognition to the health benefits that would flow. </w:t>
      </w:r>
    </w:p>
    <w:p w14:paraId="3009C67F" w14:textId="2F24E319" w:rsidR="00442DC7" w:rsidRDefault="00442DC7" w:rsidP="009A14B1">
      <w:pPr>
        <w:spacing w:line="360" w:lineRule="auto"/>
        <w:jc w:val="both"/>
        <w:rPr>
          <w:rFonts w:cs="Arial"/>
          <w:sz w:val="24"/>
          <w:szCs w:val="24"/>
        </w:rPr>
      </w:pPr>
      <w:bookmarkStart w:id="42" w:name="_Hlk72067461"/>
      <w:r>
        <w:rPr>
          <w:rFonts w:cs="Arial"/>
          <w:sz w:val="24"/>
          <w:szCs w:val="24"/>
        </w:rPr>
        <w:t xml:space="preserve">The Decision RIS considers the interaction of many factors on the transition period raised in responses received during consultation, noting decision makers need to balance the need of the industry with the goal of improving public safety outcomes. </w:t>
      </w:r>
      <w:r w:rsidRPr="00AE1199">
        <w:rPr>
          <w:rFonts w:cs="Arial"/>
          <w:sz w:val="24"/>
          <w:szCs w:val="24"/>
        </w:rPr>
        <w:t>Given the length of transition required, consultation with industry following a decision would ensure achievable key milestones are transparent in the form of a formal implementation strategy.</w:t>
      </w:r>
      <w:r>
        <w:rPr>
          <w:rFonts w:cs="Arial"/>
          <w:sz w:val="24"/>
          <w:szCs w:val="24"/>
        </w:rPr>
        <w:t xml:space="preserve"> </w:t>
      </w:r>
    </w:p>
    <w:bookmarkEnd w:id="42"/>
    <w:p w14:paraId="13142479" w14:textId="77777777" w:rsidR="00442DC7" w:rsidRPr="004C6304" w:rsidRDefault="00442DC7" w:rsidP="004C6304">
      <w:pPr>
        <w:rPr>
          <w:color w:val="002060"/>
          <w:sz w:val="24"/>
          <w:szCs w:val="24"/>
        </w:rPr>
      </w:pPr>
      <w:r w:rsidRPr="004C6304">
        <w:rPr>
          <w:color w:val="002060"/>
          <w:sz w:val="24"/>
          <w:szCs w:val="24"/>
        </w:rPr>
        <w:t>Labelling</w:t>
      </w:r>
    </w:p>
    <w:p w14:paraId="06C7EF5B" w14:textId="77777777" w:rsidR="00442DC7" w:rsidRPr="004C6304" w:rsidRDefault="00442DC7" w:rsidP="004C6304">
      <w:pPr>
        <w:spacing w:line="360" w:lineRule="auto"/>
        <w:jc w:val="both"/>
        <w:rPr>
          <w:sz w:val="24"/>
          <w:szCs w:val="24"/>
        </w:rPr>
      </w:pPr>
      <w:r w:rsidRPr="004C6304">
        <w:rPr>
          <w:sz w:val="24"/>
          <w:szCs w:val="24"/>
        </w:rPr>
        <w:t>Following consultation, the need for labelling emerged as an important</w:t>
      </w:r>
      <w:r>
        <w:rPr>
          <w:sz w:val="24"/>
          <w:szCs w:val="24"/>
        </w:rPr>
        <w:t xml:space="preserve"> </w:t>
      </w:r>
      <w:r w:rsidRPr="004C6304">
        <w:rPr>
          <w:sz w:val="24"/>
          <w:szCs w:val="24"/>
        </w:rPr>
        <w:t xml:space="preserve">factor. </w:t>
      </w:r>
      <w:r>
        <w:rPr>
          <w:sz w:val="24"/>
          <w:szCs w:val="24"/>
        </w:rPr>
        <w:t>I</w:t>
      </w:r>
      <w:r w:rsidRPr="004C6304">
        <w:rPr>
          <w:sz w:val="24"/>
          <w:szCs w:val="24"/>
        </w:rPr>
        <w:t xml:space="preserve">ndustry in particular felt that </w:t>
      </w:r>
      <w:r>
        <w:rPr>
          <w:sz w:val="24"/>
          <w:szCs w:val="24"/>
        </w:rPr>
        <w:t>the</w:t>
      </w:r>
      <w:r w:rsidRPr="004C6304">
        <w:rPr>
          <w:sz w:val="24"/>
          <w:szCs w:val="24"/>
        </w:rPr>
        <w:t xml:space="preserve"> </w:t>
      </w:r>
      <w:r>
        <w:rPr>
          <w:sz w:val="24"/>
          <w:szCs w:val="24"/>
        </w:rPr>
        <w:t xml:space="preserve">assumed </w:t>
      </w:r>
      <w:r w:rsidRPr="004C6304">
        <w:rPr>
          <w:sz w:val="24"/>
          <w:szCs w:val="24"/>
        </w:rPr>
        <w:t>effectiveness of Option 2</w:t>
      </w:r>
      <w:r>
        <w:rPr>
          <w:sz w:val="24"/>
          <w:szCs w:val="24"/>
        </w:rPr>
        <w:t xml:space="preserve"> </w:t>
      </w:r>
      <w:r w:rsidRPr="004C6304">
        <w:rPr>
          <w:sz w:val="24"/>
          <w:szCs w:val="24"/>
        </w:rPr>
        <w:t>would only be achieved if compliant products were readily identifiable by plumbing practitioners and consumers.</w:t>
      </w:r>
    </w:p>
    <w:p w14:paraId="3F362EC8" w14:textId="5E600A81" w:rsidR="00442DC7" w:rsidRDefault="00442DC7" w:rsidP="00275E8E">
      <w:pPr>
        <w:spacing w:line="360" w:lineRule="auto"/>
        <w:jc w:val="both"/>
        <w:rPr>
          <w:sz w:val="24"/>
          <w:szCs w:val="24"/>
        </w:rPr>
      </w:pPr>
      <w:r w:rsidRPr="004C6304">
        <w:rPr>
          <w:sz w:val="24"/>
          <w:szCs w:val="24"/>
        </w:rPr>
        <w:t xml:space="preserve">The </w:t>
      </w:r>
      <w:r>
        <w:rPr>
          <w:sz w:val="24"/>
          <w:szCs w:val="24"/>
        </w:rPr>
        <w:t>Decision</w:t>
      </w:r>
      <w:r w:rsidRPr="004C6304">
        <w:rPr>
          <w:sz w:val="24"/>
          <w:szCs w:val="24"/>
        </w:rPr>
        <w:t xml:space="preserve"> RIS </w:t>
      </w:r>
      <w:r>
        <w:rPr>
          <w:sz w:val="24"/>
          <w:szCs w:val="24"/>
        </w:rPr>
        <w:t xml:space="preserve">discusses the need </w:t>
      </w:r>
      <w:r w:rsidRPr="004C6304">
        <w:rPr>
          <w:sz w:val="24"/>
          <w:szCs w:val="24"/>
        </w:rPr>
        <w:t>for labelling</w:t>
      </w:r>
      <w:r>
        <w:rPr>
          <w:sz w:val="24"/>
          <w:szCs w:val="24"/>
        </w:rPr>
        <w:t xml:space="preserve"> and</w:t>
      </w:r>
      <w:r w:rsidRPr="004C6304">
        <w:rPr>
          <w:sz w:val="24"/>
          <w:szCs w:val="24"/>
        </w:rPr>
        <w:t xml:space="preserve"> </w:t>
      </w:r>
      <w:r>
        <w:rPr>
          <w:sz w:val="24"/>
          <w:szCs w:val="24"/>
        </w:rPr>
        <w:t xml:space="preserve">the potential </w:t>
      </w:r>
      <w:r w:rsidRPr="004C6304">
        <w:rPr>
          <w:sz w:val="24"/>
          <w:szCs w:val="24"/>
        </w:rPr>
        <w:t xml:space="preserve">recognition of the US </w:t>
      </w:r>
      <w:r>
        <w:rPr>
          <w:sz w:val="24"/>
          <w:szCs w:val="24"/>
        </w:rPr>
        <w:t xml:space="preserve">labelling </w:t>
      </w:r>
      <w:r w:rsidRPr="004C6304">
        <w:rPr>
          <w:sz w:val="24"/>
          <w:szCs w:val="24"/>
        </w:rPr>
        <w:t>requirements</w:t>
      </w:r>
      <w:r>
        <w:rPr>
          <w:sz w:val="24"/>
          <w:szCs w:val="24"/>
        </w:rPr>
        <w:t>. This would enable a</w:t>
      </w:r>
      <w:r w:rsidRPr="004C6304">
        <w:rPr>
          <w:sz w:val="24"/>
          <w:szCs w:val="24"/>
        </w:rPr>
        <w:t xml:space="preserve"> new product manufactured either in Australia or internationally</w:t>
      </w:r>
      <w:r>
        <w:rPr>
          <w:sz w:val="24"/>
          <w:szCs w:val="24"/>
        </w:rPr>
        <w:t xml:space="preserve"> to be deemed compliant with the proposed requirements</w:t>
      </w:r>
      <w:r w:rsidRPr="004C6304">
        <w:rPr>
          <w:sz w:val="24"/>
          <w:szCs w:val="24"/>
        </w:rPr>
        <w:t xml:space="preserve"> until such time all products are certified</w:t>
      </w:r>
      <w:r>
        <w:rPr>
          <w:sz w:val="24"/>
          <w:szCs w:val="24"/>
        </w:rPr>
        <w:t xml:space="preserve"> and labelled in accordance with</w:t>
      </w:r>
      <w:r w:rsidRPr="004C6304">
        <w:rPr>
          <w:sz w:val="24"/>
          <w:szCs w:val="24"/>
        </w:rPr>
        <w:t xml:space="preserve"> the WaterMark Certification Scheme (WMCS). </w:t>
      </w:r>
    </w:p>
    <w:p w14:paraId="00737255" w14:textId="01EB0A9F" w:rsidR="00442DC7" w:rsidRDefault="00442DC7" w:rsidP="002F6507">
      <w:pPr>
        <w:spacing w:line="360" w:lineRule="auto"/>
        <w:jc w:val="both"/>
        <w:rPr>
          <w:rFonts w:cs="Arial"/>
          <w:sz w:val="24"/>
          <w:szCs w:val="24"/>
        </w:rPr>
      </w:pPr>
      <w:r>
        <w:rPr>
          <w:rFonts w:cs="Arial"/>
          <w:sz w:val="24"/>
          <w:szCs w:val="24"/>
        </w:rPr>
        <w:t xml:space="preserve">The need for labelling to provide plumbing practitioners with an indication of compliance status is valid for a transition period of three years. Over this time, it is expected that plumbing product suppliers would have a mix of products in stock, which would make </w:t>
      </w:r>
      <w:r w:rsidR="00665B34">
        <w:rPr>
          <w:rFonts w:cs="Arial"/>
          <w:sz w:val="24"/>
          <w:szCs w:val="24"/>
        </w:rPr>
        <w:t>differentiating</w:t>
      </w:r>
      <w:r>
        <w:rPr>
          <w:rFonts w:cs="Arial"/>
          <w:sz w:val="24"/>
          <w:szCs w:val="24"/>
        </w:rPr>
        <w:t xml:space="preserve"> </w:t>
      </w:r>
      <w:r w:rsidR="00665B34">
        <w:rPr>
          <w:rFonts w:cs="Arial"/>
          <w:sz w:val="24"/>
          <w:szCs w:val="24"/>
        </w:rPr>
        <w:t xml:space="preserve">compliant low lead </w:t>
      </w:r>
      <w:r>
        <w:rPr>
          <w:rFonts w:cs="Arial"/>
          <w:sz w:val="24"/>
          <w:szCs w:val="24"/>
        </w:rPr>
        <w:t xml:space="preserve">products difficult. Similarly, practitioners may have difficulty confirming the compliance status of existing stock. </w:t>
      </w:r>
    </w:p>
    <w:p w14:paraId="466C3272" w14:textId="261DAC5D" w:rsidR="00442DC7" w:rsidRDefault="00B94CE9" w:rsidP="003F028C">
      <w:pPr>
        <w:spacing w:line="360" w:lineRule="auto"/>
        <w:jc w:val="both"/>
        <w:rPr>
          <w:rFonts w:cs="Arial"/>
          <w:sz w:val="24"/>
          <w:szCs w:val="24"/>
        </w:rPr>
      </w:pPr>
      <w:r>
        <w:rPr>
          <w:rFonts w:cs="Arial"/>
          <w:sz w:val="24"/>
          <w:szCs w:val="24"/>
        </w:rPr>
        <w:t>A transition period of five</w:t>
      </w:r>
      <w:r w:rsidR="00442DC7">
        <w:rPr>
          <w:rFonts w:cs="Arial"/>
          <w:sz w:val="24"/>
          <w:szCs w:val="24"/>
        </w:rPr>
        <w:t xml:space="preserve"> years is expected to negate the need for such labelling as it provides sufficient time for suppliers to run down existing stock. When the transition period concludes, a valid WaterMark licence would be expected to indicate conformance to the new low lead requirements and confirm the product is suitable for installation.</w:t>
      </w:r>
      <w:r w:rsidR="00442DC7">
        <w:rPr>
          <w:rFonts w:cs="Arial"/>
          <w:sz w:val="24"/>
          <w:szCs w:val="24"/>
        </w:rPr>
        <w:br w:type="page"/>
      </w:r>
    </w:p>
    <w:p w14:paraId="7915505C" w14:textId="77777777" w:rsidR="00442DC7" w:rsidRPr="000B675B" w:rsidRDefault="00442DC7" w:rsidP="000B675B">
      <w:pPr>
        <w:pStyle w:val="Heading1"/>
        <w:spacing w:after="240"/>
        <w:rPr>
          <w:rFonts w:ascii="Arial" w:hAnsi="Arial" w:cs="Arial"/>
          <w:b w:val="0"/>
          <w:bCs w:val="0"/>
        </w:rPr>
      </w:pPr>
      <w:bookmarkStart w:id="43" w:name="_Toc71195731"/>
      <w:bookmarkStart w:id="44" w:name="_Toc71789258"/>
      <w:r w:rsidRPr="000B675B">
        <w:rPr>
          <w:rFonts w:ascii="Arial" w:hAnsi="Arial" w:cs="Arial"/>
          <w:b w:val="0"/>
          <w:bCs w:val="0"/>
        </w:rPr>
        <w:lastRenderedPageBreak/>
        <w:t>Problem</w:t>
      </w:r>
      <w:bookmarkEnd w:id="43"/>
      <w:bookmarkEnd w:id="44"/>
    </w:p>
    <w:p w14:paraId="41B8D14F" w14:textId="77777777" w:rsidR="00442DC7" w:rsidRDefault="00442DC7" w:rsidP="000B675B">
      <w:pPr>
        <w:pStyle w:val="Heading2"/>
        <w:spacing w:after="120"/>
        <w:rPr>
          <w:rFonts w:ascii="Arial" w:hAnsi="Arial" w:cs="Arial"/>
          <w:b w:val="0"/>
          <w:bCs w:val="0"/>
        </w:rPr>
      </w:pPr>
      <w:bookmarkStart w:id="45" w:name="_Toc53963027"/>
      <w:bookmarkStart w:id="46" w:name="_Toc71195732"/>
      <w:bookmarkStart w:id="47" w:name="_Toc71789259"/>
      <w:r w:rsidRPr="000B675B">
        <w:rPr>
          <w:rFonts w:ascii="Arial" w:hAnsi="Arial" w:cs="Arial"/>
          <w:b w:val="0"/>
          <w:bCs w:val="0"/>
        </w:rPr>
        <w:t>Nature of the Problem</w:t>
      </w:r>
      <w:bookmarkEnd w:id="45"/>
      <w:bookmarkEnd w:id="46"/>
      <w:bookmarkEnd w:id="47"/>
    </w:p>
    <w:p w14:paraId="167AA1A3" w14:textId="7AFA566E" w:rsidR="00442DC7" w:rsidRDefault="00442DC7" w:rsidP="00220797">
      <w:pPr>
        <w:spacing w:before="240" w:line="360" w:lineRule="auto"/>
        <w:jc w:val="both"/>
        <w:rPr>
          <w:rFonts w:cs="Arial"/>
          <w:bCs/>
          <w:iCs/>
          <w:sz w:val="24"/>
          <w:szCs w:val="24"/>
        </w:rPr>
      </w:pPr>
      <w:r w:rsidRPr="002B4856">
        <w:rPr>
          <w:rFonts w:cs="Arial"/>
          <w:bCs/>
          <w:iCs/>
          <w:sz w:val="24"/>
          <w:szCs w:val="24"/>
        </w:rPr>
        <w:t xml:space="preserve">The nature of the problem relates to the </w:t>
      </w:r>
      <w:r>
        <w:rPr>
          <w:rFonts w:cs="Arial"/>
          <w:bCs/>
          <w:iCs/>
          <w:sz w:val="24"/>
          <w:szCs w:val="24"/>
        </w:rPr>
        <w:t xml:space="preserve">inclusion </w:t>
      </w:r>
      <w:r w:rsidRPr="002B4856">
        <w:rPr>
          <w:rFonts w:cs="Arial"/>
          <w:bCs/>
          <w:iCs/>
          <w:sz w:val="24"/>
          <w:szCs w:val="24"/>
        </w:rPr>
        <w:t xml:space="preserve">of lead in the manufacture of </w:t>
      </w:r>
      <w:r>
        <w:rPr>
          <w:rFonts w:cs="Arial"/>
          <w:bCs/>
          <w:iCs/>
          <w:sz w:val="24"/>
          <w:szCs w:val="24"/>
        </w:rPr>
        <w:t xml:space="preserve">certain </w:t>
      </w:r>
      <w:r w:rsidRPr="002B4856">
        <w:rPr>
          <w:rFonts w:cs="Arial"/>
          <w:bCs/>
          <w:iCs/>
          <w:sz w:val="24"/>
          <w:szCs w:val="24"/>
        </w:rPr>
        <w:t>plumbing products in contact with drinking water. This results in a risk of lead leaching into</w:t>
      </w:r>
      <w:r>
        <w:rPr>
          <w:rFonts w:cs="Arial"/>
          <w:bCs/>
          <w:iCs/>
          <w:sz w:val="24"/>
          <w:szCs w:val="24"/>
        </w:rPr>
        <w:t xml:space="preserve"> the</w:t>
      </w:r>
      <w:r w:rsidRPr="002B4856">
        <w:rPr>
          <w:rFonts w:cs="Arial"/>
          <w:bCs/>
          <w:iCs/>
          <w:sz w:val="24"/>
          <w:szCs w:val="24"/>
        </w:rPr>
        <w:t xml:space="preserve"> drinking water</w:t>
      </w:r>
      <w:r>
        <w:rPr>
          <w:rFonts w:cs="Arial"/>
          <w:bCs/>
          <w:iCs/>
          <w:sz w:val="24"/>
          <w:szCs w:val="24"/>
        </w:rPr>
        <w:t xml:space="preserve"> supply</w:t>
      </w:r>
      <w:r w:rsidRPr="002B4856">
        <w:rPr>
          <w:rFonts w:cs="Arial"/>
          <w:bCs/>
          <w:iCs/>
          <w:sz w:val="24"/>
          <w:szCs w:val="24"/>
        </w:rPr>
        <w:t xml:space="preserve"> </w:t>
      </w:r>
      <w:r>
        <w:rPr>
          <w:rFonts w:cs="Arial"/>
          <w:bCs/>
          <w:iCs/>
          <w:sz w:val="24"/>
          <w:szCs w:val="24"/>
        </w:rPr>
        <w:t xml:space="preserve">at higher levels than permitted </w:t>
      </w:r>
      <w:r w:rsidR="00DD3048">
        <w:rPr>
          <w:rFonts w:cs="Arial"/>
          <w:bCs/>
          <w:iCs/>
          <w:sz w:val="24"/>
          <w:szCs w:val="24"/>
        </w:rPr>
        <w:t xml:space="preserve">under Australian Drinking Water Guidelines (ADWG) </w:t>
      </w:r>
      <w:r>
        <w:rPr>
          <w:rFonts w:cs="Arial"/>
          <w:bCs/>
          <w:iCs/>
          <w:sz w:val="24"/>
          <w:szCs w:val="24"/>
        </w:rPr>
        <w:t xml:space="preserve">and international standards, </w:t>
      </w:r>
      <w:r w:rsidRPr="00FB13C2">
        <w:rPr>
          <w:rFonts w:cs="Arial"/>
          <w:bCs/>
          <w:iCs/>
          <w:sz w:val="24"/>
          <w:szCs w:val="24"/>
        </w:rPr>
        <w:t xml:space="preserve">with potential </w:t>
      </w:r>
      <w:r>
        <w:rPr>
          <w:rFonts w:cs="Arial"/>
          <w:bCs/>
          <w:iCs/>
          <w:sz w:val="24"/>
          <w:szCs w:val="24"/>
        </w:rPr>
        <w:t xml:space="preserve">health </w:t>
      </w:r>
      <w:r w:rsidRPr="00FB13C2">
        <w:rPr>
          <w:rFonts w:cs="Arial"/>
          <w:bCs/>
          <w:iCs/>
          <w:sz w:val="24"/>
          <w:szCs w:val="24"/>
        </w:rPr>
        <w:t xml:space="preserve">consequences when </w:t>
      </w:r>
      <w:r>
        <w:rPr>
          <w:rFonts w:cs="Arial"/>
          <w:bCs/>
          <w:iCs/>
          <w:sz w:val="24"/>
          <w:szCs w:val="24"/>
        </w:rPr>
        <w:t xml:space="preserve">drinking water is </w:t>
      </w:r>
      <w:r w:rsidRPr="00FB13C2">
        <w:rPr>
          <w:rFonts w:cs="Arial"/>
          <w:bCs/>
          <w:iCs/>
          <w:sz w:val="24"/>
          <w:szCs w:val="24"/>
        </w:rPr>
        <w:t>consumed</w:t>
      </w:r>
      <w:r w:rsidRPr="002B4856">
        <w:rPr>
          <w:rFonts w:cs="Arial"/>
          <w:bCs/>
          <w:iCs/>
          <w:sz w:val="24"/>
          <w:szCs w:val="24"/>
        </w:rPr>
        <w:t xml:space="preserve">. </w:t>
      </w:r>
    </w:p>
    <w:p w14:paraId="7997B537" w14:textId="77777777" w:rsidR="00442DC7" w:rsidRDefault="00442DC7" w:rsidP="00606555">
      <w:pPr>
        <w:spacing w:line="360" w:lineRule="auto"/>
        <w:jc w:val="both"/>
        <w:rPr>
          <w:rFonts w:cs="Arial"/>
          <w:bCs/>
          <w:iCs/>
          <w:sz w:val="24"/>
          <w:szCs w:val="24"/>
        </w:rPr>
      </w:pPr>
      <w:r>
        <w:rPr>
          <w:rFonts w:cs="Arial"/>
          <w:bCs/>
          <w:iCs/>
          <w:sz w:val="24"/>
          <w:szCs w:val="24"/>
        </w:rPr>
        <w:t>The nature of the problem is influenced by three elements:</w:t>
      </w:r>
    </w:p>
    <w:p w14:paraId="4C0FF85D" w14:textId="0005439F" w:rsidR="00442DC7" w:rsidRDefault="00220797" w:rsidP="009F7B64">
      <w:pPr>
        <w:pStyle w:val="ListParagraph"/>
        <w:numPr>
          <w:ilvl w:val="0"/>
          <w:numId w:val="10"/>
        </w:numPr>
        <w:spacing w:line="360" w:lineRule="auto"/>
        <w:jc w:val="both"/>
        <w:rPr>
          <w:rFonts w:cs="Arial"/>
          <w:bCs/>
          <w:iCs/>
          <w:sz w:val="24"/>
          <w:szCs w:val="24"/>
        </w:rPr>
      </w:pPr>
      <w:r>
        <w:rPr>
          <w:rFonts w:cs="Arial"/>
          <w:bCs/>
          <w:iCs/>
          <w:sz w:val="24"/>
          <w:szCs w:val="24"/>
        </w:rPr>
        <w:t>T</w:t>
      </w:r>
      <w:r w:rsidR="00442DC7">
        <w:rPr>
          <w:rFonts w:cs="Arial"/>
          <w:bCs/>
          <w:iCs/>
          <w:sz w:val="24"/>
          <w:szCs w:val="24"/>
        </w:rPr>
        <w:t>he inclusion of lead in the manufacture of certain brass and other copper alloy plumbing products in contact with drinking water, primarily to facil</w:t>
      </w:r>
      <w:r>
        <w:rPr>
          <w:rFonts w:cs="Arial"/>
          <w:bCs/>
          <w:iCs/>
          <w:sz w:val="24"/>
          <w:szCs w:val="24"/>
        </w:rPr>
        <w:t>itate the machining of products.</w:t>
      </w:r>
    </w:p>
    <w:p w14:paraId="1BB7EB84" w14:textId="5AF2EFCB" w:rsidR="00442DC7" w:rsidRDefault="00220797" w:rsidP="009F7B64">
      <w:pPr>
        <w:pStyle w:val="ListParagraph"/>
        <w:numPr>
          <w:ilvl w:val="0"/>
          <w:numId w:val="10"/>
        </w:numPr>
        <w:spacing w:line="360" w:lineRule="auto"/>
        <w:jc w:val="both"/>
        <w:rPr>
          <w:rFonts w:cs="Arial"/>
          <w:bCs/>
          <w:iCs/>
          <w:sz w:val="24"/>
          <w:szCs w:val="24"/>
        </w:rPr>
      </w:pPr>
      <w:r>
        <w:rPr>
          <w:rFonts w:cs="Arial"/>
          <w:bCs/>
          <w:iCs/>
          <w:sz w:val="24"/>
          <w:szCs w:val="24"/>
        </w:rPr>
        <w:t>T</w:t>
      </w:r>
      <w:r w:rsidR="00442DC7">
        <w:rPr>
          <w:rFonts w:cs="Arial"/>
          <w:bCs/>
          <w:iCs/>
          <w:sz w:val="24"/>
          <w:szCs w:val="24"/>
        </w:rPr>
        <w:t>he mechanisms of short-term and long-term release of lead into drinking water from certain leaded plumbing products, through surface films and dezincification</w:t>
      </w:r>
      <w:r>
        <w:rPr>
          <w:rFonts w:cs="Arial"/>
          <w:bCs/>
          <w:iCs/>
          <w:sz w:val="24"/>
          <w:szCs w:val="24"/>
        </w:rPr>
        <w:t>.</w:t>
      </w:r>
    </w:p>
    <w:p w14:paraId="79D2F7B9" w14:textId="1722895A" w:rsidR="00442DC7" w:rsidRDefault="00220797" w:rsidP="009F7B64">
      <w:pPr>
        <w:pStyle w:val="ListParagraph"/>
        <w:numPr>
          <w:ilvl w:val="0"/>
          <w:numId w:val="10"/>
        </w:numPr>
        <w:spacing w:line="360" w:lineRule="auto"/>
        <w:jc w:val="both"/>
        <w:rPr>
          <w:rFonts w:cs="Arial"/>
          <w:bCs/>
          <w:iCs/>
          <w:sz w:val="24"/>
          <w:szCs w:val="24"/>
        </w:rPr>
      </w:pPr>
      <w:r>
        <w:rPr>
          <w:rFonts w:cs="Arial"/>
          <w:bCs/>
          <w:iCs/>
          <w:sz w:val="24"/>
          <w:szCs w:val="24"/>
        </w:rPr>
        <w:t>T</w:t>
      </w:r>
      <w:r w:rsidR="00442DC7">
        <w:rPr>
          <w:rFonts w:cs="Arial"/>
          <w:bCs/>
          <w:iCs/>
          <w:sz w:val="24"/>
          <w:szCs w:val="24"/>
        </w:rPr>
        <w:t>he health consequences of drinking water containing low levels of lead and its impact on the population, when consumed.</w:t>
      </w:r>
    </w:p>
    <w:p w14:paraId="2D766D11" w14:textId="77777777" w:rsidR="00442DC7" w:rsidRPr="006562EE" w:rsidRDefault="00442DC7" w:rsidP="004238E1">
      <w:pPr>
        <w:pStyle w:val="Heading3"/>
        <w:spacing w:after="120"/>
        <w:rPr>
          <w:rFonts w:ascii="Arial" w:hAnsi="Arial" w:cs="Arial"/>
          <w:b w:val="0"/>
          <w:bCs w:val="0"/>
        </w:rPr>
      </w:pPr>
      <w:bookmarkStart w:id="48" w:name="_Toc47287456"/>
      <w:bookmarkStart w:id="49" w:name="_Toc47287739"/>
      <w:bookmarkStart w:id="50" w:name="_Toc47287880"/>
      <w:bookmarkStart w:id="51" w:name="_Toc53963028"/>
      <w:bookmarkStart w:id="52" w:name="_Toc70887782"/>
      <w:bookmarkStart w:id="53" w:name="_Toc71195733"/>
      <w:bookmarkStart w:id="54" w:name="_Toc71789260"/>
      <w:r w:rsidRPr="00AF1AB9">
        <w:rPr>
          <w:rFonts w:ascii="Arial" w:hAnsi="Arial" w:cs="Arial"/>
          <w:b w:val="0"/>
          <w:bCs w:val="0"/>
        </w:rPr>
        <w:t>Lead in plumbing products in contact with drinking water</w:t>
      </w:r>
      <w:bookmarkEnd w:id="48"/>
      <w:bookmarkEnd w:id="49"/>
      <w:bookmarkEnd w:id="50"/>
      <w:bookmarkEnd w:id="51"/>
      <w:bookmarkEnd w:id="52"/>
      <w:bookmarkEnd w:id="53"/>
      <w:bookmarkEnd w:id="54"/>
    </w:p>
    <w:p w14:paraId="3342FE91" w14:textId="77777777" w:rsidR="00442DC7" w:rsidRPr="008E44F0" w:rsidRDefault="00442DC7" w:rsidP="00220797">
      <w:pPr>
        <w:spacing w:before="240" w:line="360" w:lineRule="auto"/>
        <w:jc w:val="both"/>
        <w:rPr>
          <w:rFonts w:cs="Arial"/>
          <w:bCs/>
          <w:iCs/>
          <w:sz w:val="24"/>
          <w:szCs w:val="24"/>
        </w:rPr>
      </w:pPr>
      <w:r w:rsidRPr="008E44F0">
        <w:rPr>
          <w:rFonts w:cs="Arial"/>
          <w:bCs/>
          <w:iCs/>
          <w:sz w:val="24"/>
          <w:szCs w:val="24"/>
        </w:rPr>
        <w:t>Lead is currently permitted in small proportions in the raw materials used to manufacture some plumbing products in contact with drinking water. It is used to improve a product’s malleability and corrosive resistance properties</w:t>
      </w:r>
      <w:r>
        <w:rPr>
          <w:rFonts w:cs="Arial"/>
          <w:bCs/>
          <w:iCs/>
          <w:sz w:val="24"/>
          <w:szCs w:val="24"/>
        </w:rPr>
        <w:t>,</w:t>
      </w:r>
      <w:r w:rsidRPr="008E44F0">
        <w:rPr>
          <w:rFonts w:cs="Arial"/>
          <w:bCs/>
          <w:iCs/>
          <w:sz w:val="24"/>
          <w:szCs w:val="24"/>
        </w:rPr>
        <w:t xml:space="preserve"> and is a particularly useful lubricant that assists in the machining </w:t>
      </w:r>
      <w:r>
        <w:rPr>
          <w:rFonts w:cs="Arial"/>
          <w:bCs/>
          <w:iCs/>
          <w:sz w:val="24"/>
          <w:szCs w:val="24"/>
        </w:rPr>
        <w:t xml:space="preserve">of </w:t>
      </w:r>
      <w:r w:rsidRPr="008E44F0">
        <w:rPr>
          <w:rFonts w:cs="Arial"/>
          <w:bCs/>
          <w:iCs/>
          <w:sz w:val="24"/>
          <w:szCs w:val="24"/>
        </w:rPr>
        <w:t>new products. In its most common form</w:t>
      </w:r>
      <w:r>
        <w:rPr>
          <w:rFonts w:cs="Arial"/>
          <w:bCs/>
          <w:iCs/>
          <w:sz w:val="24"/>
          <w:szCs w:val="24"/>
        </w:rPr>
        <w:t xml:space="preserve"> in plumbing products</w:t>
      </w:r>
      <w:r w:rsidRPr="008E44F0">
        <w:rPr>
          <w:rFonts w:cs="Arial"/>
          <w:bCs/>
          <w:iCs/>
          <w:sz w:val="24"/>
          <w:szCs w:val="24"/>
        </w:rPr>
        <w:t>, lead is mixed with copper (Cu) and zinc (Zn) to form brass</w:t>
      </w:r>
      <w:r>
        <w:rPr>
          <w:rFonts w:cs="Arial"/>
          <w:bCs/>
          <w:iCs/>
          <w:sz w:val="24"/>
          <w:szCs w:val="24"/>
        </w:rPr>
        <w:t>.</w:t>
      </w:r>
      <w:r w:rsidRPr="008E44F0">
        <w:rPr>
          <w:rFonts w:cs="Arial"/>
          <w:bCs/>
          <w:iCs/>
          <w:sz w:val="24"/>
          <w:szCs w:val="24"/>
        </w:rPr>
        <w:t xml:space="preserve"> </w:t>
      </w:r>
      <w:r>
        <w:rPr>
          <w:rFonts w:cs="Arial"/>
          <w:bCs/>
          <w:iCs/>
          <w:sz w:val="24"/>
          <w:szCs w:val="24"/>
        </w:rPr>
        <w:t>I</w:t>
      </w:r>
      <w:r w:rsidRPr="008E44F0">
        <w:rPr>
          <w:rFonts w:cs="Arial"/>
          <w:bCs/>
          <w:iCs/>
          <w:sz w:val="24"/>
          <w:szCs w:val="24"/>
        </w:rPr>
        <w:t xml:space="preserve">t is also used in the manufacture of other copper alloys such as bronze. </w:t>
      </w:r>
    </w:p>
    <w:p w14:paraId="2C2CCEE7" w14:textId="77777777" w:rsidR="00442DC7" w:rsidRDefault="00442DC7" w:rsidP="00606555">
      <w:pPr>
        <w:spacing w:line="360" w:lineRule="auto"/>
        <w:jc w:val="both"/>
        <w:rPr>
          <w:rFonts w:cs="Arial"/>
          <w:bCs/>
          <w:iCs/>
          <w:sz w:val="24"/>
          <w:szCs w:val="24"/>
        </w:rPr>
      </w:pPr>
      <w:r>
        <w:rPr>
          <w:rFonts w:cs="Arial"/>
          <w:bCs/>
          <w:iCs/>
          <w:sz w:val="24"/>
          <w:szCs w:val="24"/>
        </w:rPr>
        <w:t>A</w:t>
      </w:r>
      <w:r w:rsidRPr="009C0A5D">
        <w:rPr>
          <w:rFonts w:cs="Arial"/>
          <w:bCs/>
          <w:iCs/>
          <w:sz w:val="24"/>
          <w:szCs w:val="24"/>
        </w:rPr>
        <w:t xml:space="preserve"> recent industry survey revealed that approximately 90% of</w:t>
      </w:r>
      <w:r>
        <w:rPr>
          <w:rFonts w:cs="Arial"/>
          <w:bCs/>
          <w:iCs/>
          <w:sz w:val="24"/>
          <w:szCs w:val="24"/>
        </w:rPr>
        <w:t xml:space="preserve"> copper alloy</w:t>
      </w:r>
      <w:r w:rsidRPr="009C0A5D">
        <w:rPr>
          <w:rFonts w:cs="Arial"/>
          <w:bCs/>
          <w:iCs/>
          <w:sz w:val="24"/>
          <w:szCs w:val="24"/>
        </w:rPr>
        <w:t xml:space="preserve"> plumbing products sold in Australia contain lead</w:t>
      </w:r>
      <w:r>
        <w:rPr>
          <w:rFonts w:cs="Arial"/>
          <w:bCs/>
          <w:iCs/>
          <w:sz w:val="24"/>
          <w:szCs w:val="24"/>
        </w:rPr>
        <w:t xml:space="preserve"> to some extent</w:t>
      </w:r>
      <w:r w:rsidRPr="009C0A5D">
        <w:rPr>
          <w:rFonts w:cs="Arial"/>
          <w:bCs/>
          <w:iCs/>
          <w:sz w:val="24"/>
          <w:szCs w:val="24"/>
        </w:rPr>
        <w:t>.</w:t>
      </w:r>
      <w:r>
        <w:rPr>
          <w:rFonts w:cs="Arial"/>
          <w:bCs/>
          <w:iCs/>
          <w:sz w:val="24"/>
          <w:szCs w:val="24"/>
        </w:rPr>
        <w:t xml:space="preserve"> </w:t>
      </w:r>
      <w:r w:rsidRPr="009C0A5D">
        <w:rPr>
          <w:rFonts w:cs="Arial"/>
          <w:bCs/>
          <w:iCs/>
          <w:sz w:val="24"/>
          <w:szCs w:val="24"/>
        </w:rPr>
        <w:t xml:space="preserve">The exact lead content of products </w:t>
      </w:r>
      <w:r>
        <w:rPr>
          <w:rFonts w:cs="Arial"/>
          <w:bCs/>
          <w:iCs/>
          <w:sz w:val="24"/>
          <w:szCs w:val="24"/>
        </w:rPr>
        <w:t>v</w:t>
      </w:r>
      <w:r w:rsidRPr="009C0A5D">
        <w:rPr>
          <w:rFonts w:cs="Arial"/>
          <w:bCs/>
          <w:iCs/>
          <w:sz w:val="24"/>
          <w:szCs w:val="24"/>
        </w:rPr>
        <w:t xml:space="preserve">aries by </w:t>
      </w:r>
      <w:r>
        <w:rPr>
          <w:rFonts w:cs="Arial"/>
          <w:bCs/>
          <w:iCs/>
          <w:sz w:val="24"/>
          <w:szCs w:val="24"/>
        </w:rPr>
        <w:t>component,</w:t>
      </w:r>
      <w:r w:rsidRPr="009C0A5D">
        <w:rPr>
          <w:rFonts w:cs="Arial"/>
          <w:bCs/>
          <w:iCs/>
          <w:sz w:val="24"/>
          <w:szCs w:val="24"/>
        </w:rPr>
        <w:t xml:space="preserve"> </w:t>
      </w:r>
      <w:r>
        <w:rPr>
          <w:rFonts w:cs="Arial"/>
          <w:bCs/>
          <w:iCs/>
          <w:sz w:val="24"/>
          <w:szCs w:val="24"/>
        </w:rPr>
        <w:t>al</w:t>
      </w:r>
      <w:r w:rsidRPr="009C0A5D">
        <w:rPr>
          <w:rFonts w:cs="Arial"/>
          <w:bCs/>
          <w:iCs/>
          <w:sz w:val="24"/>
          <w:szCs w:val="24"/>
        </w:rPr>
        <w:t>though some products</w:t>
      </w:r>
      <w:r>
        <w:rPr>
          <w:rFonts w:cs="Arial"/>
          <w:bCs/>
          <w:iCs/>
          <w:sz w:val="24"/>
          <w:szCs w:val="24"/>
        </w:rPr>
        <w:t xml:space="preserve"> </w:t>
      </w:r>
      <w:r w:rsidRPr="009C0A5D">
        <w:rPr>
          <w:rFonts w:cs="Arial"/>
          <w:bCs/>
          <w:iCs/>
          <w:sz w:val="24"/>
          <w:szCs w:val="24"/>
        </w:rPr>
        <w:t xml:space="preserve">contain up to </w:t>
      </w:r>
      <w:r>
        <w:rPr>
          <w:rFonts w:cs="Arial"/>
          <w:bCs/>
          <w:iCs/>
          <w:sz w:val="24"/>
          <w:szCs w:val="24"/>
        </w:rPr>
        <w:t>6</w:t>
      </w:r>
      <w:r w:rsidRPr="009C0A5D">
        <w:rPr>
          <w:rFonts w:cs="Arial"/>
          <w:bCs/>
          <w:iCs/>
          <w:sz w:val="24"/>
          <w:szCs w:val="24"/>
        </w:rPr>
        <w:t>% lead as a proportion of raw material.</w:t>
      </w:r>
      <w:r>
        <w:rPr>
          <w:rStyle w:val="FootnoteReference"/>
          <w:rFonts w:cs="Arial"/>
          <w:bCs/>
          <w:iCs/>
          <w:sz w:val="24"/>
          <w:szCs w:val="24"/>
        </w:rPr>
        <w:footnoteReference w:id="17"/>
      </w:r>
    </w:p>
    <w:p w14:paraId="4E0A3FAC" w14:textId="77777777" w:rsidR="00442DC7" w:rsidRPr="009C0A5D" w:rsidRDefault="00442DC7" w:rsidP="00606555">
      <w:pPr>
        <w:spacing w:line="360" w:lineRule="auto"/>
        <w:jc w:val="both"/>
        <w:rPr>
          <w:rFonts w:cs="Arial"/>
          <w:bCs/>
          <w:iCs/>
          <w:sz w:val="24"/>
          <w:szCs w:val="24"/>
        </w:rPr>
      </w:pPr>
      <w:r w:rsidRPr="009C0A5D">
        <w:rPr>
          <w:rFonts w:cs="Arial"/>
          <w:bCs/>
          <w:iCs/>
          <w:sz w:val="24"/>
          <w:szCs w:val="24"/>
        </w:rPr>
        <w:lastRenderedPageBreak/>
        <w:t xml:space="preserve">The types of </w:t>
      </w:r>
      <w:r>
        <w:rPr>
          <w:rFonts w:cs="Arial"/>
          <w:bCs/>
          <w:iCs/>
          <w:sz w:val="24"/>
          <w:szCs w:val="24"/>
        </w:rPr>
        <w:t xml:space="preserve">copper alloy </w:t>
      </w:r>
      <w:r w:rsidRPr="009C0A5D">
        <w:rPr>
          <w:rFonts w:cs="Arial"/>
          <w:bCs/>
          <w:iCs/>
          <w:sz w:val="24"/>
          <w:szCs w:val="24"/>
        </w:rPr>
        <w:t>products in contact with drinking water which contain lead include:</w:t>
      </w:r>
    </w:p>
    <w:p w14:paraId="7A397575" w14:textId="6B0BB46B" w:rsidR="00442DC7" w:rsidRPr="009C0A5D" w:rsidRDefault="00442DC7" w:rsidP="009F7B64">
      <w:pPr>
        <w:pStyle w:val="ListParagraph"/>
        <w:numPr>
          <w:ilvl w:val="0"/>
          <w:numId w:val="6"/>
        </w:numPr>
        <w:spacing w:line="360" w:lineRule="auto"/>
        <w:jc w:val="both"/>
        <w:rPr>
          <w:rFonts w:cs="Arial"/>
          <w:bCs/>
          <w:iCs/>
          <w:sz w:val="24"/>
          <w:szCs w:val="24"/>
        </w:rPr>
      </w:pPr>
      <w:r w:rsidRPr="009C0A5D">
        <w:rPr>
          <w:rFonts w:cs="Arial"/>
          <w:bCs/>
          <w:iCs/>
          <w:sz w:val="24"/>
          <w:szCs w:val="24"/>
        </w:rPr>
        <w:t>Fittings</w:t>
      </w:r>
    </w:p>
    <w:p w14:paraId="095C10C1" w14:textId="6D66D43E" w:rsidR="00442DC7" w:rsidRPr="009C0A5D" w:rsidRDefault="00442DC7" w:rsidP="009F7B64">
      <w:pPr>
        <w:pStyle w:val="ListParagraph"/>
        <w:numPr>
          <w:ilvl w:val="0"/>
          <w:numId w:val="6"/>
        </w:numPr>
        <w:spacing w:line="360" w:lineRule="auto"/>
        <w:jc w:val="both"/>
        <w:rPr>
          <w:rFonts w:cs="Arial"/>
          <w:bCs/>
          <w:iCs/>
          <w:sz w:val="24"/>
          <w:szCs w:val="24"/>
        </w:rPr>
      </w:pPr>
      <w:r w:rsidRPr="009C0A5D">
        <w:rPr>
          <w:rFonts w:cs="Arial"/>
          <w:bCs/>
          <w:iCs/>
          <w:sz w:val="24"/>
          <w:szCs w:val="24"/>
        </w:rPr>
        <w:t>Valves</w:t>
      </w:r>
    </w:p>
    <w:p w14:paraId="2BFB6A58" w14:textId="01CFB8B8" w:rsidR="00442DC7" w:rsidRPr="009C0A5D" w:rsidRDefault="00442DC7" w:rsidP="009F7B64">
      <w:pPr>
        <w:pStyle w:val="ListParagraph"/>
        <w:numPr>
          <w:ilvl w:val="0"/>
          <w:numId w:val="6"/>
        </w:numPr>
        <w:spacing w:line="360" w:lineRule="auto"/>
        <w:jc w:val="both"/>
        <w:rPr>
          <w:rFonts w:cs="Arial"/>
          <w:bCs/>
          <w:iCs/>
          <w:sz w:val="24"/>
          <w:szCs w:val="24"/>
        </w:rPr>
      </w:pPr>
      <w:r>
        <w:rPr>
          <w:rFonts w:cs="Arial"/>
          <w:bCs/>
          <w:iCs/>
          <w:sz w:val="24"/>
          <w:szCs w:val="24"/>
        </w:rPr>
        <w:t>Fittings on s</w:t>
      </w:r>
      <w:r w:rsidRPr="009C0A5D">
        <w:rPr>
          <w:rFonts w:cs="Arial"/>
          <w:bCs/>
          <w:iCs/>
          <w:sz w:val="24"/>
          <w:szCs w:val="24"/>
        </w:rPr>
        <w:t>tainless steel braided hoses</w:t>
      </w:r>
    </w:p>
    <w:p w14:paraId="672B8E94" w14:textId="58B480EA" w:rsidR="00442DC7" w:rsidRPr="009C0A5D" w:rsidRDefault="00442DC7" w:rsidP="009F7B64">
      <w:pPr>
        <w:pStyle w:val="ListParagraph"/>
        <w:numPr>
          <w:ilvl w:val="0"/>
          <w:numId w:val="6"/>
        </w:numPr>
        <w:spacing w:line="360" w:lineRule="auto"/>
        <w:jc w:val="both"/>
        <w:rPr>
          <w:rFonts w:cs="Arial"/>
          <w:bCs/>
          <w:iCs/>
          <w:sz w:val="24"/>
          <w:szCs w:val="24"/>
        </w:rPr>
      </w:pPr>
      <w:r w:rsidRPr="009C0A5D">
        <w:rPr>
          <w:rFonts w:cs="Arial"/>
          <w:bCs/>
          <w:iCs/>
          <w:sz w:val="24"/>
          <w:szCs w:val="24"/>
        </w:rPr>
        <w:t>Taps</w:t>
      </w:r>
    </w:p>
    <w:p w14:paraId="0D09B117" w14:textId="035F5408" w:rsidR="00442DC7" w:rsidRPr="009C0A5D" w:rsidRDefault="00442DC7" w:rsidP="009F7B64">
      <w:pPr>
        <w:pStyle w:val="ListParagraph"/>
        <w:numPr>
          <w:ilvl w:val="0"/>
          <w:numId w:val="6"/>
        </w:numPr>
        <w:spacing w:line="360" w:lineRule="auto"/>
        <w:jc w:val="both"/>
        <w:rPr>
          <w:rFonts w:cs="Arial"/>
          <w:bCs/>
          <w:iCs/>
          <w:sz w:val="24"/>
          <w:szCs w:val="24"/>
        </w:rPr>
      </w:pPr>
      <w:r w:rsidRPr="009C0A5D">
        <w:rPr>
          <w:rFonts w:cs="Arial"/>
          <w:bCs/>
          <w:iCs/>
          <w:sz w:val="24"/>
          <w:szCs w:val="24"/>
        </w:rPr>
        <w:t>Mixers</w:t>
      </w:r>
    </w:p>
    <w:p w14:paraId="48E54625" w14:textId="7BEC7544" w:rsidR="00442DC7" w:rsidRPr="009C0A5D" w:rsidRDefault="00442DC7" w:rsidP="009F7B64">
      <w:pPr>
        <w:pStyle w:val="ListParagraph"/>
        <w:numPr>
          <w:ilvl w:val="0"/>
          <w:numId w:val="6"/>
        </w:numPr>
        <w:spacing w:line="360" w:lineRule="auto"/>
        <w:jc w:val="both"/>
        <w:rPr>
          <w:rFonts w:cs="Arial"/>
          <w:bCs/>
          <w:iCs/>
          <w:sz w:val="24"/>
          <w:szCs w:val="24"/>
        </w:rPr>
      </w:pPr>
      <w:r w:rsidRPr="009C0A5D">
        <w:rPr>
          <w:rFonts w:cs="Arial"/>
          <w:bCs/>
          <w:iCs/>
          <w:sz w:val="24"/>
          <w:szCs w:val="24"/>
        </w:rPr>
        <w:t>Water heaters</w:t>
      </w:r>
    </w:p>
    <w:p w14:paraId="1EC0DC59" w14:textId="2098F5E0" w:rsidR="00442DC7" w:rsidRDefault="00442DC7" w:rsidP="009F7B64">
      <w:pPr>
        <w:pStyle w:val="ListParagraph"/>
        <w:numPr>
          <w:ilvl w:val="0"/>
          <w:numId w:val="6"/>
        </w:numPr>
        <w:spacing w:line="360" w:lineRule="auto"/>
        <w:jc w:val="both"/>
        <w:rPr>
          <w:rFonts w:cs="Arial"/>
          <w:bCs/>
          <w:iCs/>
          <w:sz w:val="24"/>
          <w:szCs w:val="24"/>
        </w:rPr>
      </w:pPr>
      <w:r w:rsidRPr="009C0A5D">
        <w:rPr>
          <w:rFonts w:cs="Arial"/>
          <w:bCs/>
          <w:iCs/>
          <w:sz w:val="24"/>
          <w:szCs w:val="24"/>
        </w:rPr>
        <w:t>Water dispensers (</w:t>
      </w:r>
      <w:r>
        <w:rPr>
          <w:rFonts w:cs="Arial"/>
          <w:bCs/>
          <w:iCs/>
          <w:sz w:val="24"/>
          <w:szCs w:val="24"/>
        </w:rPr>
        <w:t>b</w:t>
      </w:r>
      <w:r w:rsidRPr="009C0A5D">
        <w:rPr>
          <w:rFonts w:cs="Arial"/>
          <w:bCs/>
          <w:iCs/>
          <w:sz w:val="24"/>
          <w:szCs w:val="24"/>
        </w:rPr>
        <w:t xml:space="preserve">oiling and </w:t>
      </w:r>
      <w:r>
        <w:rPr>
          <w:rFonts w:cs="Arial"/>
          <w:bCs/>
          <w:iCs/>
          <w:sz w:val="24"/>
          <w:szCs w:val="24"/>
        </w:rPr>
        <w:t>c</w:t>
      </w:r>
      <w:r w:rsidRPr="009C0A5D">
        <w:rPr>
          <w:rFonts w:cs="Arial"/>
          <w:bCs/>
          <w:iCs/>
          <w:sz w:val="24"/>
          <w:szCs w:val="24"/>
        </w:rPr>
        <w:t>ooling units)</w:t>
      </w:r>
    </w:p>
    <w:p w14:paraId="67D2132D" w14:textId="77777777" w:rsidR="00442DC7" w:rsidRPr="00390095" w:rsidRDefault="00442DC7" w:rsidP="009F7B64">
      <w:pPr>
        <w:pStyle w:val="ListParagraph"/>
        <w:numPr>
          <w:ilvl w:val="0"/>
          <w:numId w:val="6"/>
        </w:numPr>
        <w:spacing w:line="360" w:lineRule="auto"/>
        <w:jc w:val="both"/>
        <w:rPr>
          <w:rFonts w:cs="Arial"/>
          <w:bCs/>
          <w:iCs/>
          <w:sz w:val="24"/>
          <w:szCs w:val="24"/>
        </w:rPr>
      </w:pPr>
      <w:r>
        <w:rPr>
          <w:rFonts w:cs="Arial"/>
          <w:bCs/>
          <w:iCs/>
          <w:sz w:val="24"/>
          <w:szCs w:val="24"/>
        </w:rPr>
        <w:t>Water meters.</w:t>
      </w:r>
    </w:p>
    <w:p w14:paraId="0136A52E" w14:textId="77777777" w:rsidR="00442DC7" w:rsidRDefault="00442DC7" w:rsidP="002A298F">
      <w:pPr>
        <w:spacing w:line="360" w:lineRule="auto"/>
        <w:jc w:val="both"/>
        <w:rPr>
          <w:rFonts w:cs="Arial"/>
          <w:bCs/>
          <w:iCs/>
          <w:sz w:val="24"/>
          <w:szCs w:val="24"/>
        </w:rPr>
      </w:pPr>
      <w:r>
        <w:rPr>
          <w:rFonts w:cs="Arial"/>
          <w:bCs/>
          <w:iCs/>
          <w:sz w:val="24"/>
          <w:szCs w:val="24"/>
        </w:rPr>
        <w:t xml:space="preserve">Some products may contain lead, but are not within scope of this analysis. </w:t>
      </w:r>
    </w:p>
    <w:p w14:paraId="286B848B" w14:textId="77777777" w:rsidR="00442DC7" w:rsidRPr="00D2240B" w:rsidRDefault="00442DC7" w:rsidP="002A298F">
      <w:pPr>
        <w:spacing w:line="360" w:lineRule="auto"/>
        <w:jc w:val="both"/>
        <w:rPr>
          <w:rFonts w:cs="Arial"/>
          <w:bCs/>
          <w:iCs/>
          <w:sz w:val="24"/>
          <w:szCs w:val="24"/>
        </w:rPr>
      </w:pPr>
      <w:r>
        <w:rPr>
          <w:rFonts w:cs="Arial"/>
          <w:bCs/>
          <w:iCs/>
          <w:sz w:val="24"/>
          <w:szCs w:val="24"/>
        </w:rPr>
        <w:t>These include:</w:t>
      </w:r>
    </w:p>
    <w:p w14:paraId="3FC89021" w14:textId="002E8C93" w:rsidR="00442DC7" w:rsidRPr="00E4320D" w:rsidRDefault="00442DC7" w:rsidP="008734AE">
      <w:pPr>
        <w:numPr>
          <w:ilvl w:val="0"/>
          <w:numId w:val="19"/>
        </w:numPr>
        <w:spacing w:after="0" w:line="360" w:lineRule="auto"/>
        <w:ind w:left="714" w:hanging="357"/>
        <w:contextualSpacing/>
        <w:jc w:val="both"/>
        <w:rPr>
          <w:rFonts w:eastAsia="Calibri" w:cs="Arial"/>
          <w:bCs/>
          <w:iCs/>
          <w:sz w:val="24"/>
          <w:szCs w:val="24"/>
        </w:rPr>
      </w:pPr>
      <w:r w:rsidRPr="00E4320D">
        <w:rPr>
          <w:rFonts w:eastAsia="Calibri" w:cs="Arial"/>
          <w:bCs/>
          <w:iCs/>
          <w:sz w:val="24"/>
          <w:szCs w:val="24"/>
        </w:rPr>
        <w:t>Residential fire sprinklers</w:t>
      </w:r>
    </w:p>
    <w:p w14:paraId="0C4E19D8" w14:textId="71561D80" w:rsidR="00442DC7" w:rsidRPr="00D2240B" w:rsidRDefault="00442DC7" w:rsidP="009F7B64">
      <w:pPr>
        <w:pStyle w:val="ListParagraph"/>
        <w:numPr>
          <w:ilvl w:val="0"/>
          <w:numId w:val="6"/>
        </w:numPr>
        <w:spacing w:line="360" w:lineRule="auto"/>
        <w:jc w:val="both"/>
        <w:rPr>
          <w:rFonts w:cs="Arial"/>
          <w:bCs/>
          <w:iCs/>
          <w:sz w:val="24"/>
          <w:szCs w:val="24"/>
        </w:rPr>
      </w:pPr>
      <w:r w:rsidRPr="00D2240B">
        <w:rPr>
          <w:rFonts w:cs="Arial"/>
          <w:bCs/>
          <w:iCs/>
          <w:sz w:val="24"/>
          <w:szCs w:val="24"/>
        </w:rPr>
        <w:t>Fire-fighting equipment</w:t>
      </w:r>
    </w:p>
    <w:p w14:paraId="2B423927" w14:textId="6C85BC13" w:rsidR="00442DC7" w:rsidRPr="00D2240B" w:rsidRDefault="00442DC7" w:rsidP="009F7B64">
      <w:pPr>
        <w:pStyle w:val="ListParagraph"/>
        <w:numPr>
          <w:ilvl w:val="0"/>
          <w:numId w:val="6"/>
        </w:numPr>
        <w:spacing w:line="360" w:lineRule="auto"/>
        <w:jc w:val="both"/>
        <w:rPr>
          <w:rFonts w:cs="Arial"/>
          <w:bCs/>
          <w:iCs/>
          <w:sz w:val="24"/>
          <w:szCs w:val="24"/>
        </w:rPr>
      </w:pPr>
      <w:r w:rsidRPr="00D2240B">
        <w:rPr>
          <w:rFonts w:cs="Arial"/>
          <w:bCs/>
          <w:iCs/>
          <w:sz w:val="24"/>
          <w:szCs w:val="24"/>
        </w:rPr>
        <w:t>Irrigation</w:t>
      </w:r>
    </w:p>
    <w:p w14:paraId="26976429" w14:textId="5114621D" w:rsidR="00442DC7" w:rsidRPr="00D2240B" w:rsidRDefault="00442DC7" w:rsidP="009F7B64">
      <w:pPr>
        <w:pStyle w:val="ListParagraph"/>
        <w:numPr>
          <w:ilvl w:val="0"/>
          <w:numId w:val="6"/>
        </w:numPr>
        <w:spacing w:line="360" w:lineRule="auto"/>
        <w:jc w:val="both"/>
        <w:rPr>
          <w:rFonts w:cs="Arial"/>
          <w:bCs/>
          <w:iCs/>
          <w:sz w:val="24"/>
          <w:szCs w:val="24"/>
        </w:rPr>
      </w:pPr>
      <w:r w:rsidRPr="00D2240B">
        <w:rPr>
          <w:rFonts w:cs="Arial"/>
          <w:bCs/>
          <w:iCs/>
          <w:sz w:val="24"/>
          <w:szCs w:val="24"/>
        </w:rPr>
        <w:t>Appliances</w:t>
      </w:r>
      <w:r>
        <w:rPr>
          <w:rFonts w:cs="Arial"/>
          <w:bCs/>
          <w:iCs/>
          <w:sz w:val="24"/>
          <w:szCs w:val="24"/>
        </w:rPr>
        <w:t>, including</w:t>
      </w:r>
      <w:r w:rsidRPr="00D2240B">
        <w:rPr>
          <w:rFonts w:cs="Arial"/>
          <w:bCs/>
          <w:iCs/>
          <w:sz w:val="24"/>
          <w:szCs w:val="24"/>
        </w:rPr>
        <w:t xml:space="preserve"> washing machines</w:t>
      </w:r>
      <w:r>
        <w:rPr>
          <w:rFonts w:cs="Arial"/>
          <w:bCs/>
          <w:iCs/>
          <w:sz w:val="24"/>
          <w:szCs w:val="24"/>
        </w:rPr>
        <w:t xml:space="preserve"> and</w:t>
      </w:r>
      <w:r w:rsidRPr="00D2240B">
        <w:rPr>
          <w:rFonts w:cs="Arial"/>
          <w:bCs/>
          <w:iCs/>
          <w:sz w:val="24"/>
          <w:szCs w:val="24"/>
        </w:rPr>
        <w:t xml:space="preserve"> dishwashers</w:t>
      </w:r>
    </w:p>
    <w:p w14:paraId="18EA4E51" w14:textId="3E083CCB" w:rsidR="00442DC7" w:rsidRPr="00D2240B" w:rsidRDefault="00442DC7" w:rsidP="009F7B64">
      <w:pPr>
        <w:pStyle w:val="ListParagraph"/>
        <w:numPr>
          <w:ilvl w:val="0"/>
          <w:numId w:val="6"/>
        </w:numPr>
        <w:spacing w:line="360" w:lineRule="auto"/>
        <w:jc w:val="both"/>
        <w:rPr>
          <w:rFonts w:cs="Arial"/>
          <w:bCs/>
          <w:iCs/>
          <w:sz w:val="24"/>
          <w:szCs w:val="24"/>
        </w:rPr>
      </w:pPr>
      <w:r w:rsidRPr="00D2240B">
        <w:rPr>
          <w:rFonts w:cs="Arial"/>
          <w:bCs/>
          <w:iCs/>
          <w:sz w:val="24"/>
          <w:szCs w:val="24"/>
        </w:rPr>
        <w:t>Commercial boilers</w:t>
      </w:r>
      <w:r w:rsidR="00220797">
        <w:rPr>
          <w:rFonts w:cs="Arial"/>
          <w:bCs/>
          <w:iCs/>
          <w:sz w:val="24"/>
          <w:szCs w:val="24"/>
        </w:rPr>
        <w:t xml:space="preserve"> (associated with HVAC systems)</w:t>
      </w:r>
    </w:p>
    <w:p w14:paraId="6FCB2F99" w14:textId="052230E7" w:rsidR="00442DC7" w:rsidRPr="00D2240B" w:rsidRDefault="00442DC7" w:rsidP="009F7B64">
      <w:pPr>
        <w:pStyle w:val="ListParagraph"/>
        <w:numPr>
          <w:ilvl w:val="0"/>
          <w:numId w:val="6"/>
        </w:numPr>
        <w:spacing w:line="360" w:lineRule="auto"/>
        <w:jc w:val="both"/>
        <w:rPr>
          <w:rFonts w:cs="Arial"/>
          <w:bCs/>
          <w:iCs/>
          <w:sz w:val="24"/>
          <w:szCs w:val="24"/>
        </w:rPr>
      </w:pPr>
      <w:r w:rsidRPr="00D2240B">
        <w:rPr>
          <w:rFonts w:cs="Arial"/>
          <w:bCs/>
          <w:iCs/>
          <w:sz w:val="24"/>
          <w:szCs w:val="24"/>
        </w:rPr>
        <w:t>Toilets</w:t>
      </w:r>
    </w:p>
    <w:p w14:paraId="60EDE6EF" w14:textId="2742B748" w:rsidR="00442DC7" w:rsidRPr="00D2240B" w:rsidRDefault="00442DC7" w:rsidP="009F7B64">
      <w:pPr>
        <w:pStyle w:val="ListParagraph"/>
        <w:numPr>
          <w:ilvl w:val="0"/>
          <w:numId w:val="6"/>
        </w:numPr>
        <w:spacing w:line="360" w:lineRule="auto"/>
        <w:jc w:val="both"/>
        <w:rPr>
          <w:rFonts w:cs="Arial"/>
          <w:bCs/>
          <w:iCs/>
          <w:sz w:val="24"/>
          <w:szCs w:val="24"/>
        </w:rPr>
      </w:pPr>
      <w:r w:rsidRPr="00D2240B">
        <w:rPr>
          <w:rFonts w:cs="Arial"/>
          <w:bCs/>
          <w:iCs/>
          <w:sz w:val="24"/>
          <w:szCs w:val="24"/>
        </w:rPr>
        <w:t>Emergency deluge showers, eyewash and eye-face wash equipment</w:t>
      </w:r>
    </w:p>
    <w:p w14:paraId="21C13D76" w14:textId="0931767F" w:rsidR="00442DC7" w:rsidRDefault="00442DC7" w:rsidP="009F7B64">
      <w:pPr>
        <w:pStyle w:val="ListParagraph"/>
        <w:numPr>
          <w:ilvl w:val="0"/>
          <w:numId w:val="6"/>
        </w:numPr>
        <w:spacing w:line="360" w:lineRule="auto"/>
        <w:jc w:val="both"/>
        <w:rPr>
          <w:rFonts w:cs="Arial"/>
          <w:bCs/>
          <w:iCs/>
          <w:sz w:val="24"/>
          <w:szCs w:val="24"/>
        </w:rPr>
      </w:pPr>
      <w:r w:rsidRPr="00D2240B">
        <w:rPr>
          <w:rFonts w:cs="Arial"/>
          <w:bCs/>
          <w:iCs/>
          <w:sz w:val="24"/>
          <w:szCs w:val="24"/>
        </w:rPr>
        <w:t>Showers for bathing</w:t>
      </w:r>
    </w:p>
    <w:p w14:paraId="0D5F9B28" w14:textId="77777777" w:rsidR="00442DC7" w:rsidRPr="00D2240B" w:rsidRDefault="00442DC7" w:rsidP="009F7B64">
      <w:pPr>
        <w:pStyle w:val="ListParagraph"/>
        <w:numPr>
          <w:ilvl w:val="0"/>
          <w:numId w:val="6"/>
        </w:numPr>
        <w:spacing w:line="360" w:lineRule="auto"/>
        <w:jc w:val="both"/>
        <w:rPr>
          <w:rFonts w:cs="Arial"/>
          <w:bCs/>
          <w:iCs/>
          <w:sz w:val="24"/>
          <w:szCs w:val="24"/>
        </w:rPr>
      </w:pPr>
      <w:r>
        <w:rPr>
          <w:rFonts w:cs="Arial"/>
          <w:bCs/>
          <w:iCs/>
          <w:sz w:val="24"/>
          <w:szCs w:val="24"/>
        </w:rPr>
        <w:t>Recycled water systems (such as residential dual pipe reuse systems or dual reticulation systems.</w:t>
      </w:r>
    </w:p>
    <w:p w14:paraId="27D0055B" w14:textId="77777777" w:rsidR="00442DC7" w:rsidRDefault="00442DC7" w:rsidP="00D2240B">
      <w:pPr>
        <w:spacing w:line="360" w:lineRule="auto"/>
        <w:jc w:val="both"/>
        <w:rPr>
          <w:rFonts w:cs="Arial"/>
          <w:bCs/>
          <w:iCs/>
          <w:sz w:val="24"/>
          <w:szCs w:val="24"/>
        </w:rPr>
      </w:pPr>
      <w:r w:rsidRPr="00D2240B">
        <w:rPr>
          <w:rFonts w:cs="Arial"/>
          <w:bCs/>
          <w:iCs/>
          <w:sz w:val="24"/>
          <w:szCs w:val="24"/>
        </w:rPr>
        <w:t xml:space="preserve">These exclusions reflect the low likelihood </w:t>
      </w:r>
      <w:r>
        <w:rPr>
          <w:rFonts w:cs="Arial"/>
          <w:bCs/>
          <w:iCs/>
          <w:sz w:val="24"/>
          <w:szCs w:val="24"/>
        </w:rPr>
        <w:t xml:space="preserve">of </w:t>
      </w:r>
      <w:r w:rsidRPr="00D2240B">
        <w:rPr>
          <w:rFonts w:cs="Arial"/>
          <w:bCs/>
          <w:iCs/>
          <w:sz w:val="24"/>
          <w:szCs w:val="24"/>
        </w:rPr>
        <w:t>water</w:t>
      </w:r>
      <w:r>
        <w:rPr>
          <w:rFonts w:cs="Arial"/>
          <w:bCs/>
          <w:iCs/>
          <w:sz w:val="24"/>
          <w:szCs w:val="24"/>
        </w:rPr>
        <w:t xml:space="preserve"> from these products</w:t>
      </w:r>
      <w:r w:rsidRPr="00D2240B">
        <w:rPr>
          <w:rFonts w:cs="Arial"/>
          <w:bCs/>
          <w:iCs/>
          <w:sz w:val="24"/>
          <w:szCs w:val="24"/>
        </w:rPr>
        <w:t xml:space="preserve"> </w:t>
      </w:r>
      <w:r>
        <w:rPr>
          <w:rFonts w:cs="Arial"/>
          <w:bCs/>
          <w:iCs/>
          <w:sz w:val="24"/>
          <w:szCs w:val="24"/>
        </w:rPr>
        <w:t>being</w:t>
      </w:r>
      <w:r w:rsidRPr="00D2240B">
        <w:rPr>
          <w:rFonts w:cs="Arial"/>
          <w:bCs/>
          <w:iCs/>
          <w:sz w:val="24"/>
          <w:szCs w:val="24"/>
        </w:rPr>
        <w:t xml:space="preserve"> consumed for drinking purposes.</w:t>
      </w:r>
    </w:p>
    <w:p w14:paraId="726A33E5" w14:textId="77777777" w:rsidR="00442DC7" w:rsidRDefault="00442DC7" w:rsidP="00CE79B3">
      <w:pPr>
        <w:rPr>
          <w:rFonts w:cs="Arial"/>
          <w:bCs/>
          <w:iCs/>
          <w:sz w:val="24"/>
          <w:szCs w:val="24"/>
        </w:rPr>
      </w:pPr>
      <w:r>
        <w:rPr>
          <w:rFonts w:cs="Arial"/>
          <w:bCs/>
          <w:iCs/>
          <w:sz w:val="24"/>
          <w:szCs w:val="24"/>
        </w:rPr>
        <w:br w:type="page"/>
      </w:r>
    </w:p>
    <w:p w14:paraId="6F55CF1A" w14:textId="77777777" w:rsidR="00442DC7" w:rsidRPr="00FC7B28" w:rsidRDefault="00442DC7" w:rsidP="00E0056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30" w:after="130" w:line="360" w:lineRule="auto"/>
        <w:jc w:val="both"/>
        <w:rPr>
          <w:rFonts w:cs="Arial"/>
          <w:bCs/>
          <w:iCs/>
          <w:sz w:val="24"/>
          <w:szCs w:val="24"/>
        </w:rPr>
      </w:pPr>
      <w:bookmarkStart w:id="55" w:name="_Hlk68681980"/>
      <w:r>
        <w:rPr>
          <w:rFonts w:cs="Arial"/>
          <w:sz w:val="24"/>
          <w:szCs w:val="24"/>
        </w:rPr>
        <w:lastRenderedPageBreak/>
        <w:t>The Consultation RIS asked stakeholders whether they agreed with the scope of the listed products and whether other products should be included or excluded from the proposed requirements.</w:t>
      </w:r>
    </w:p>
    <w:p w14:paraId="49F6FC79" w14:textId="77777777" w:rsidR="00442DC7" w:rsidRPr="004C6304" w:rsidRDefault="00442DC7" w:rsidP="004C6304">
      <w:pPr>
        <w:spacing w:line="360" w:lineRule="auto"/>
        <w:jc w:val="both"/>
        <w:rPr>
          <w:sz w:val="24"/>
          <w:szCs w:val="24"/>
        </w:rPr>
      </w:pPr>
      <w:bookmarkStart w:id="56" w:name="_Toc47287457"/>
      <w:bookmarkStart w:id="57" w:name="_Toc47287740"/>
      <w:bookmarkStart w:id="58" w:name="_Toc47287881"/>
      <w:bookmarkStart w:id="59" w:name="_Toc53963029"/>
      <w:bookmarkEnd w:id="55"/>
      <w:r w:rsidRPr="004C6304">
        <w:rPr>
          <w:sz w:val="24"/>
          <w:szCs w:val="24"/>
        </w:rPr>
        <w:t>The majority of respondents (76%) agreed with the listed scope of products. Those that did not agree, primarily advocated for an increase in scope to include:</w:t>
      </w:r>
    </w:p>
    <w:p w14:paraId="23409AAE" w14:textId="77777777" w:rsidR="00442DC7" w:rsidRDefault="00442DC7" w:rsidP="008734AE">
      <w:pPr>
        <w:pStyle w:val="ListParagraph"/>
        <w:numPr>
          <w:ilvl w:val="0"/>
          <w:numId w:val="27"/>
        </w:numPr>
        <w:spacing w:line="360" w:lineRule="auto"/>
        <w:jc w:val="both"/>
        <w:rPr>
          <w:rFonts w:eastAsiaTheme="majorEastAsia" w:cs="Arial"/>
          <w:color w:val="000000" w:themeColor="text1"/>
          <w:sz w:val="24"/>
          <w:szCs w:val="24"/>
        </w:rPr>
      </w:pPr>
      <w:r w:rsidRPr="00E00560">
        <w:rPr>
          <w:rFonts w:eastAsiaTheme="majorEastAsia" w:cs="Arial"/>
          <w:color w:val="000000" w:themeColor="text1"/>
          <w:sz w:val="24"/>
          <w:szCs w:val="24"/>
        </w:rPr>
        <w:t>PVC products used for the collection of rainwater</w:t>
      </w:r>
      <w:r>
        <w:rPr>
          <w:rFonts w:eastAsiaTheme="majorEastAsia" w:cs="Arial"/>
          <w:color w:val="000000" w:themeColor="text1"/>
          <w:sz w:val="24"/>
          <w:szCs w:val="24"/>
        </w:rPr>
        <w:t>.</w:t>
      </w:r>
    </w:p>
    <w:p w14:paraId="007ACE32" w14:textId="77777777" w:rsidR="00442DC7" w:rsidRDefault="00442DC7" w:rsidP="008734AE">
      <w:pPr>
        <w:pStyle w:val="ListParagraph"/>
        <w:numPr>
          <w:ilvl w:val="0"/>
          <w:numId w:val="27"/>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 xml:space="preserve">Fire sprinkler systems. </w:t>
      </w:r>
    </w:p>
    <w:p w14:paraId="0245047F" w14:textId="77777777" w:rsidR="00442DC7" w:rsidRDefault="00442DC7" w:rsidP="008734AE">
      <w:pPr>
        <w:pStyle w:val="ListParagraph"/>
        <w:numPr>
          <w:ilvl w:val="0"/>
          <w:numId w:val="27"/>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Shower heads, citing examples of where drinking has occurred while showering.</w:t>
      </w:r>
    </w:p>
    <w:p w14:paraId="2CCA35AF" w14:textId="77777777" w:rsidR="00442DC7" w:rsidRDefault="00442DC7" w:rsidP="008734AE">
      <w:pPr>
        <w:pStyle w:val="ListParagraph"/>
        <w:numPr>
          <w:ilvl w:val="0"/>
          <w:numId w:val="27"/>
        </w:numPr>
        <w:spacing w:line="360" w:lineRule="auto"/>
        <w:jc w:val="both"/>
        <w:rPr>
          <w:rFonts w:eastAsiaTheme="majorEastAsia" w:cs="Arial"/>
          <w:color w:val="000000" w:themeColor="text1"/>
          <w:sz w:val="24"/>
          <w:szCs w:val="24"/>
        </w:rPr>
      </w:pPr>
      <w:bookmarkStart w:id="60" w:name="_Hlk68597767"/>
      <w:r>
        <w:rPr>
          <w:rFonts w:eastAsia="Calibri" w:cs="Arial"/>
          <w:sz w:val="24"/>
          <w:szCs w:val="24"/>
        </w:rPr>
        <w:t>P</w:t>
      </w:r>
      <w:r w:rsidRPr="00307419">
        <w:rPr>
          <w:rFonts w:eastAsia="Calibri" w:cs="Arial"/>
          <w:sz w:val="24"/>
          <w:szCs w:val="24"/>
        </w:rPr>
        <w:t>roducts associated with potable water sourced from rainwater</w:t>
      </w:r>
      <w:bookmarkEnd w:id="60"/>
      <w:r>
        <w:rPr>
          <w:rFonts w:eastAsia="Calibri" w:cs="Arial"/>
          <w:sz w:val="24"/>
          <w:szCs w:val="24"/>
        </w:rPr>
        <w:t>.</w:t>
      </w:r>
      <w:r>
        <w:rPr>
          <w:rFonts w:eastAsiaTheme="majorEastAsia" w:cs="Arial"/>
          <w:color w:val="000000" w:themeColor="text1"/>
          <w:sz w:val="24"/>
          <w:szCs w:val="24"/>
        </w:rPr>
        <w:t xml:space="preserve"> </w:t>
      </w:r>
    </w:p>
    <w:p w14:paraId="647A4CBB" w14:textId="77777777" w:rsidR="00442DC7" w:rsidRDefault="00442DC7" w:rsidP="008734AE">
      <w:pPr>
        <w:pStyle w:val="ListParagraph"/>
        <w:numPr>
          <w:ilvl w:val="0"/>
          <w:numId w:val="27"/>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 xml:space="preserve">Water meters, citing examples of where high lead concentrations have been found to have leached from water meter components. </w:t>
      </w:r>
    </w:p>
    <w:p w14:paraId="42DE7E6F" w14:textId="5CCA0B32" w:rsidR="00442DC7" w:rsidRDefault="00B754BB" w:rsidP="008734AE">
      <w:pPr>
        <w:pStyle w:val="ListParagraph"/>
        <w:numPr>
          <w:ilvl w:val="0"/>
          <w:numId w:val="27"/>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NUO</w:t>
      </w:r>
      <w:r w:rsidR="00442DC7">
        <w:rPr>
          <w:rFonts w:eastAsiaTheme="majorEastAsia" w:cs="Arial"/>
          <w:color w:val="000000" w:themeColor="text1"/>
          <w:sz w:val="24"/>
          <w:szCs w:val="24"/>
        </w:rPr>
        <w:t xml:space="preserve"> infrastructure (i.e. water main fittings). </w:t>
      </w:r>
    </w:p>
    <w:p w14:paraId="6CA5380C" w14:textId="701C7487" w:rsidR="00442DC7" w:rsidRDefault="00442DC7" w:rsidP="00307419">
      <w:pPr>
        <w:spacing w:line="360" w:lineRule="auto"/>
        <w:jc w:val="both"/>
        <w:rPr>
          <w:rFonts w:eastAsiaTheme="majorEastAsia" w:cs="Arial"/>
          <w:color w:val="000000" w:themeColor="text1"/>
          <w:sz w:val="24"/>
          <w:szCs w:val="24"/>
        </w:rPr>
      </w:pPr>
      <w:r w:rsidRPr="00992BEA">
        <w:rPr>
          <w:rFonts w:eastAsiaTheme="majorEastAsia" w:cs="Arial"/>
          <w:color w:val="000000" w:themeColor="text1"/>
          <w:sz w:val="24"/>
          <w:szCs w:val="24"/>
        </w:rPr>
        <w:t>The P</w:t>
      </w:r>
      <w:r>
        <w:rPr>
          <w:rFonts w:eastAsiaTheme="majorEastAsia" w:cs="Arial"/>
          <w:color w:val="000000" w:themeColor="text1"/>
          <w:sz w:val="24"/>
          <w:szCs w:val="24"/>
        </w:rPr>
        <w:t xml:space="preserve">lumbing Codes </w:t>
      </w:r>
      <w:r w:rsidRPr="00992BEA">
        <w:rPr>
          <w:rFonts w:eastAsiaTheme="majorEastAsia" w:cs="Arial"/>
          <w:color w:val="000000" w:themeColor="text1"/>
          <w:sz w:val="24"/>
          <w:szCs w:val="24"/>
        </w:rPr>
        <w:t>C</w:t>
      </w:r>
      <w:r>
        <w:rPr>
          <w:rFonts w:eastAsiaTheme="majorEastAsia" w:cs="Arial"/>
          <w:color w:val="000000" w:themeColor="text1"/>
          <w:sz w:val="24"/>
          <w:szCs w:val="24"/>
        </w:rPr>
        <w:t>ommittee</w:t>
      </w:r>
      <w:r w:rsidR="00B754BB">
        <w:rPr>
          <w:rFonts w:eastAsiaTheme="majorEastAsia" w:cs="Arial"/>
          <w:color w:val="000000" w:themeColor="text1"/>
          <w:sz w:val="24"/>
          <w:szCs w:val="24"/>
        </w:rPr>
        <w:t xml:space="preserve">, the ABCB’s national plumbing technical advisory </w:t>
      </w:r>
      <w:r w:rsidR="00541AD8">
        <w:rPr>
          <w:rFonts w:eastAsiaTheme="majorEastAsia" w:cs="Arial"/>
          <w:color w:val="000000" w:themeColor="text1"/>
          <w:sz w:val="24"/>
          <w:szCs w:val="24"/>
        </w:rPr>
        <w:t>committee,</w:t>
      </w:r>
      <w:r>
        <w:rPr>
          <w:rFonts w:eastAsiaTheme="majorEastAsia" w:cs="Arial"/>
          <w:color w:val="000000" w:themeColor="text1"/>
          <w:sz w:val="24"/>
          <w:szCs w:val="24"/>
        </w:rPr>
        <w:t xml:space="preserve"> </w:t>
      </w:r>
      <w:r w:rsidRPr="00992BEA">
        <w:rPr>
          <w:rFonts w:eastAsiaTheme="majorEastAsia" w:cs="Arial"/>
          <w:color w:val="000000" w:themeColor="text1"/>
          <w:sz w:val="24"/>
          <w:szCs w:val="24"/>
        </w:rPr>
        <w:t>endorsed the current scope for the P</w:t>
      </w:r>
      <w:r>
        <w:rPr>
          <w:rFonts w:eastAsiaTheme="majorEastAsia" w:cs="Arial"/>
          <w:color w:val="000000" w:themeColor="text1"/>
          <w:sz w:val="24"/>
          <w:szCs w:val="24"/>
        </w:rPr>
        <w:t xml:space="preserve">ublic </w:t>
      </w:r>
      <w:r w:rsidRPr="00992BEA">
        <w:rPr>
          <w:rFonts w:eastAsiaTheme="majorEastAsia" w:cs="Arial"/>
          <w:color w:val="000000" w:themeColor="text1"/>
          <w:sz w:val="24"/>
          <w:szCs w:val="24"/>
        </w:rPr>
        <w:t>C</w:t>
      </w:r>
      <w:r>
        <w:rPr>
          <w:rFonts w:eastAsiaTheme="majorEastAsia" w:cs="Arial"/>
          <w:color w:val="000000" w:themeColor="text1"/>
          <w:sz w:val="24"/>
          <w:szCs w:val="24"/>
        </w:rPr>
        <w:t xml:space="preserve">omment </w:t>
      </w:r>
      <w:r w:rsidRPr="00992BEA">
        <w:rPr>
          <w:rFonts w:eastAsiaTheme="majorEastAsia" w:cs="Arial"/>
          <w:color w:val="000000" w:themeColor="text1"/>
          <w:sz w:val="24"/>
          <w:szCs w:val="24"/>
        </w:rPr>
        <w:t>D</w:t>
      </w:r>
      <w:r>
        <w:rPr>
          <w:rFonts w:eastAsiaTheme="majorEastAsia" w:cs="Arial"/>
          <w:color w:val="000000" w:themeColor="text1"/>
          <w:sz w:val="24"/>
          <w:szCs w:val="24"/>
        </w:rPr>
        <w:t>raft of NCC 2022</w:t>
      </w:r>
      <w:r w:rsidRPr="00992BEA">
        <w:rPr>
          <w:rFonts w:eastAsiaTheme="majorEastAsia" w:cs="Arial"/>
          <w:color w:val="000000" w:themeColor="text1"/>
          <w:sz w:val="24"/>
          <w:szCs w:val="24"/>
        </w:rPr>
        <w:t>.</w:t>
      </w:r>
      <w:r>
        <w:rPr>
          <w:rFonts w:eastAsiaTheme="majorEastAsia" w:cs="Arial"/>
          <w:color w:val="000000" w:themeColor="text1"/>
          <w:sz w:val="24"/>
          <w:szCs w:val="24"/>
        </w:rPr>
        <w:t xml:space="preserve"> </w:t>
      </w:r>
      <w:r w:rsidRPr="00307419">
        <w:rPr>
          <w:rFonts w:eastAsiaTheme="majorEastAsia" w:cs="Arial"/>
          <w:color w:val="000000" w:themeColor="text1"/>
          <w:sz w:val="24"/>
          <w:szCs w:val="24"/>
        </w:rPr>
        <w:t xml:space="preserve">Lead leaching occurs primarily due to two issues, </w:t>
      </w:r>
      <w:r>
        <w:rPr>
          <w:rFonts w:eastAsiaTheme="majorEastAsia" w:cs="Arial"/>
          <w:color w:val="000000" w:themeColor="text1"/>
          <w:sz w:val="24"/>
          <w:szCs w:val="24"/>
        </w:rPr>
        <w:t xml:space="preserve">the short-term release of lead through the </w:t>
      </w:r>
      <w:r w:rsidRPr="00307419">
        <w:rPr>
          <w:rFonts w:eastAsiaTheme="majorEastAsia" w:cs="Arial"/>
          <w:color w:val="000000" w:themeColor="text1"/>
          <w:sz w:val="24"/>
          <w:szCs w:val="24"/>
        </w:rPr>
        <w:t xml:space="preserve">incorrect rinsing of </w:t>
      </w:r>
      <w:r>
        <w:rPr>
          <w:rFonts w:eastAsiaTheme="majorEastAsia" w:cs="Arial"/>
          <w:color w:val="000000" w:themeColor="text1"/>
          <w:sz w:val="24"/>
          <w:szCs w:val="24"/>
        </w:rPr>
        <w:t>newly manufactured</w:t>
      </w:r>
      <w:r w:rsidRPr="00307419">
        <w:rPr>
          <w:rFonts w:eastAsiaTheme="majorEastAsia" w:cs="Arial"/>
          <w:color w:val="000000" w:themeColor="text1"/>
          <w:sz w:val="24"/>
          <w:szCs w:val="24"/>
        </w:rPr>
        <w:t xml:space="preserve"> products and </w:t>
      </w:r>
      <w:r>
        <w:rPr>
          <w:rFonts w:eastAsiaTheme="majorEastAsia" w:cs="Arial"/>
          <w:color w:val="000000" w:themeColor="text1"/>
          <w:sz w:val="24"/>
          <w:szCs w:val="24"/>
        </w:rPr>
        <w:t xml:space="preserve">the long-term release of lead through </w:t>
      </w:r>
      <w:r w:rsidRPr="00307419">
        <w:rPr>
          <w:rFonts w:eastAsiaTheme="majorEastAsia" w:cs="Arial"/>
          <w:color w:val="000000" w:themeColor="text1"/>
          <w:sz w:val="24"/>
          <w:szCs w:val="24"/>
        </w:rPr>
        <w:t>the dezincification process.</w:t>
      </w:r>
      <w:r w:rsidRPr="00992BEA">
        <w:t xml:space="preserve"> </w:t>
      </w:r>
      <w:r w:rsidRPr="00992BEA">
        <w:rPr>
          <w:rFonts w:eastAsiaTheme="majorEastAsia" w:cs="Arial"/>
          <w:color w:val="000000" w:themeColor="text1"/>
          <w:sz w:val="24"/>
          <w:szCs w:val="24"/>
        </w:rPr>
        <w:t xml:space="preserve">While lead is contained in plumbing products other than copper alloy products and materials, the dezincification process is an important factor in lead leaching. In the absence of this process, there is no evidence to indicate that lead leaching occurs from other </w:t>
      </w:r>
      <w:r>
        <w:rPr>
          <w:rFonts w:eastAsiaTheme="majorEastAsia" w:cs="Arial"/>
          <w:color w:val="000000" w:themeColor="text1"/>
          <w:sz w:val="24"/>
          <w:szCs w:val="24"/>
        </w:rPr>
        <w:t xml:space="preserve">new </w:t>
      </w:r>
      <w:r w:rsidRPr="00992BEA">
        <w:rPr>
          <w:rFonts w:eastAsiaTheme="majorEastAsia" w:cs="Arial"/>
          <w:color w:val="000000" w:themeColor="text1"/>
          <w:sz w:val="24"/>
          <w:szCs w:val="24"/>
        </w:rPr>
        <w:t>products and materials.</w:t>
      </w:r>
    </w:p>
    <w:p w14:paraId="19640864" w14:textId="77777777" w:rsidR="00442DC7" w:rsidRDefault="00442DC7" w:rsidP="0030741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In the case of PVC pipes and fittings,</w:t>
      </w:r>
      <w:r w:rsidRPr="00DC5724">
        <w:rPr>
          <w:rFonts w:eastAsiaTheme="majorEastAsia" w:cs="Arial"/>
          <w:color w:val="000000" w:themeColor="text1"/>
          <w:sz w:val="24"/>
          <w:szCs w:val="24"/>
        </w:rPr>
        <w:t xml:space="preserve"> </w:t>
      </w:r>
      <w:r>
        <w:rPr>
          <w:rFonts w:eastAsiaTheme="majorEastAsia" w:cs="Arial"/>
          <w:color w:val="000000" w:themeColor="text1"/>
          <w:sz w:val="24"/>
          <w:szCs w:val="24"/>
        </w:rPr>
        <w:t>lead is not permitted in the manufacture of these products in</w:t>
      </w:r>
      <w:r w:rsidRPr="00DC5724">
        <w:rPr>
          <w:rFonts w:eastAsiaTheme="majorEastAsia" w:cs="Arial"/>
          <w:color w:val="000000" w:themeColor="text1"/>
          <w:sz w:val="24"/>
          <w:szCs w:val="24"/>
        </w:rPr>
        <w:t xml:space="preserve"> Australia</w:t>
      </w:r>
      <w:r>
        <w:rPr>
          <w:rFonts w:eastAsiaTheme="majorEastAsia" w:cs="Arial"/>
          <w:color w:val="000000" w:themeColor="text1"/>
          <w:sz w:val="24"/>
          <w:szCs w:val="24"/>
        </w:rPr>
        <w:t>.</w:t>
      </w:r>
      <w:r w:rsidRPr="00DC5724">
        <w:rPr>
          <w:rFonts w:eastAsiaTheme="majorEastAsia" w:cs="Arial"/>
          <w:color w:val="000000" w:themeColor="text1"/>
          <w:sz w:val="24"/>
          <w:szCs w:val="24"/>
        </w:rPr>
        <w:t xml:space="preserve"> </w:t>
      </w:r>
      <w:r w:rsidRPr="00992BEA">
        <w:rPr>
          <w:rFonts w:eastAsiaTheme="majorEastAsia" w:cs="Arial"/>
          <w:color w:val="000000" w:themeColor="text1"/>
          <w:sz w:val="24"/>
          <w:szCs w:val="24"/>
        </w:rPr>
        <w:t xml:space="preserve">As such, the scope is deliberately limited to copper alloy </w:t>
      </w:r>
      <w:r>
        <w:rPr>
          <w:rFonts w:eastAsiaTheme="majorEastAsia" w:cs="Arial"/>
          <w:color w:val="000000" w:themeColor="text1"/>
          <w:sz w:val="24"/>
          <w:szCs w:val="24"/>
        </w:rPr>
        <w:t>products, where</w:t>
      </w:r>
      <w:r w:rsidRPr="00992BEA">
        <w:rPr>
          <w:rFonts w:eastAsiaTheme="majorEastAsia" w:cs="Arial"/>
          <w:color w:val="000000" w:themeColor="text1"/>
          <w:sz w:val="24"/>
          <w:szCs w:val="24"/>
        </w:rPr>
        <w:t xml:space="preserve"> </w:t>
      </w:r>
      <w:r>
        <w:rPr>
          <w:rFonts w:eastAsiaTheme="majorEastAsia" w:cs="Arial"/>
          <w:color w:val="000000" w:themeColor="text1"/>
          <w:sz w:val="24"/>
          <w:szCs w:val="24"/>
        </w:rPr>
        <w:t xml:space="preserve">lead leaching has been found to occur. </w:t>
      </w:r>
    </w:p>
    <w:p w14:paraId="2DA2AAB0" w14:textId="77777777" w:rsidR="00442DC7" w:rsidRDefault="00442DC7" w:rsidP="0030741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In the case of fire sprinkler systems, e</w:t>
      </w:r>
      <w:r w:rsidRPr="00381014">
        <w:rPr>
          <w:rFonts w:eastAsiaTheme="majorEastAsia" w:cs="Arial"/>
          <w:color w:val="000000" w:themeColor="text1"/>
          <w:sz w:val="24"/>
          <w:szCs w:val="24"/>
        </w:rPr>
        <w:t xml:space="preserve">ach fire-fighting water service must be assigned a Hazard Rating and be isolated from the drinking water service by an appropriate backflow prevention device </w:t>
      </w:r>
      <w:r>
        <w:rPr>
          <w:rFonts w:eastAsiaTheme="majorEastAsia" w:cs="Arial"/>
          <w:color w:val="000000" w:themeColor="text1"/>
          <w:sz w:val="24"/>
          <w:szCs w:val="24"/>
        </w:rPr>
        <w:t xml:space="preserve">in accordance with </w:t>
      </w:r>
      <w:r w:rsidRPr="00381014">
        <w:rPr>
          <w:rFonts w:eastAsiaTheme="majorEastAsia" w:cs="Arial"/>
          <w:color w:val="000000" w:themeColor="text1"/>
          <w:sz w:val="24"/>
          <w:szCs w:val="24"/>
        </w:rPr>
        <w:t>B5.4</w:t>
      </w:r>
      <w:r>
        <w:rPr>
          <w:rFonts w:eastAsiaTheme="majorEastAsia" w:cs="Arial"/>
          <w:color w:val="000000" w:themeColor="text1"/>
          <w:sz w:val="24"/>
          <w:szCs w:val="24"/>
        </w:rPr>
        <w:t xml:space="preserve"> of the PCA</w:t>
      </w:r>
      <w:r w:rsidRPr="00381014">
        <w:rPr>
          <w:rFonts w:eastAsiaTheme="majorEastAsia" w:cs="Arial"/>
          <w:color w:val="000000" w:themeColor="text1"/>
          <w:sz w:val="24"/>
          <w:szCs w:val="24"/>
        </w:rPr>
        <w:t xml:space="preserve">. </w:t>
      </w:r>
      <w:r>
        <w:rPr>
          <w:rFonts w:eastAsiaTheme="majorEastAsia" w:cs="Arial"/>
          <w:color w:val="000000" w:themeColor="text1"/>
          <w:sz w:val="24"/>
          <w:szCs w:val="24"/>
        </w:rPr>
        <w:t xml:space="preserve">As such, existing requirements adequately safeguard against the risks associated with water backflow. </w:t>
      </w:r>
    </w:p>
    <w:p w14:paraId="547AEAEB" w14:textId="77777777" w:rsidR="00442DC7" w:rsidRDefault="00442DC7" w:rsidP="00307419">
      <w:pPr>
        <w:spacing w:line="360" w:lineRule="auto"/>
        <w:jc w:val="both"/>
        <w:rPr>
          <w:rFonts w:eastAsiaTheme="majorEastAsia" w:cs="Arial"/>
          <w:color w:val="000000" w:themeColor="text1"/>
          <w:sz w:val="24"/>
          <w:szCs w:val="24"/>
        </w:rPr>
      </w:pPr>
      <w:r w:rsidRPr="007E30E9">
        <w:rPr>
          <w:rFonts w:eastAsiaTheme="majorEastAsia" w:cs="Arial"/>
          <w:color w:val="000000" w:themeColor="text1"/>
          <w:sz w:val="24"/>
          <w:szCs w:val="24"/>
        </w:rPr>
        <w:lastRenderedPageBreak/>
        <w:t xml:space="preserve">Water consumption </w:t>
      </w:r>
      <w:r>
        <w:rPr>
          <w:rFonts w:eastAsiaTheme="majorEastAsia" w:cs="Arial"/>
          <w:color w:val="000000" w:themeColor="text1"/>
          <w:sz w:val="24"/>
          <w:szCs w:val="24"/>
        </w:rPr>
        <w:t>when showering</w:t>
      </w:r>
      <w:r w:rsidRPr="007E30E9">
        <w:rPr>
          <w:rFonts w:eastAsiaTheme="majorEastAsia" w:cs="Arial"/>
          <w:color w:val="000000" w:themeColor="text1"/>
          <w:sz w:val="24"/>
          <w:szCs w:val="24"/>
        </w:rPr>
        <w:t xml:space="preserve"> is </w:t>
      </w:r>
      <w:r>
        <w:rPr>
          <w:rFonts w:eastAsiaTheme="majorEastAsia" w:cs="Arial"/>
          <w:color w:val="000000" w:themeColor="text1"/>
          <w:sz w:val="24"/>
          <w:szCs w:val="24"/>
        </w:rPr>
        <w:t>very low</w:t>
      </w:r>
      <w:r w:rsidRPr="007E30E9">
        <w:rPr>
          <w:rFonts w:eastAsiaTheme="majorEastAsia" w:cs="Arial"/>
          <w:color w:val="000000" w:themeColor="text1"/>
          <w:sz w:val="24"/>
          <w:szCs w:val="24"/>
        </w:rPr>
        <w:t xml:space="preserve"> relative to other sources of drinking water. </w:t>
      </w:r>
      <w:r>
        <w:rPr>
          <w:rFonts w:eastAsiaTheme="majorEastAsia" w:cs="Arial"/>
          <w:color w:val="000000" w:themeColor="text1"/>
          <w:sz w:val="24"/>
          <w:szCs w:val="24"/>
        </w:rPr>
        <w:t>T</w:t>
      </w:r>
      <w:r w:rsidRPr="007E30E9">
        <w:rPr>
          <w:rFonts w:eastAsiaTheme="majorEastAsia" w:cs="Arial"/>
          <w:color w:val="000000" w:themeColor="text1"/>
          <w:sz w:val="24"/>
          <w:szCs w:val="24"/>
        </w:rPr>
        <w:t>h</w:t>
      </w:r>
      <w:r>
        <w:rPr>
          <w:rFonts w:eastAsiaTheme="majorEastAsia" w:cs="Arial"/>
          <w:color w:val="000000" w:themeColor="text1"/>
          <w:sz w:val="24"/>
          <w:szCs w:val="24"/>
        </w:rPr>
        <w:t xml:space="preserve">is assessment is </w:t>
      </w:r>
      <w:r w:rsidRPr="007E30E9">
        <w:rPr>
          <w:rFonts w:eastAsiaTheme="majorEastAsia" w:cs="Arial"/>
          <w:color w:val="000000" w:themeColor="text1"/>
          <w:sz w:val="24"/>
          <w:szCs w:val="24"/>
        </w:rPr>
        <w:t>based on the</w:t>
      </w:r>
      <w:r>
        <w:rPr>
          <w:rFonts w:eastAsiaTheme="majorEastAsia" w:cs="Arial"/>
          <w:color w:val="000000" w:themeColor="text1"/>
          <w:sz w:val="24"/>
          <w:szCs w:val="24"/>
        </w:rPr>
        <w:t>ir</w:t>
      </w:r>
      <w:r w:rsidRPr="007E30E9">
        <w:rPr>
          <w:rFonts w:eastAsiaTheme="majorEastAsia" w:cs="Arial"/>
          <w:color w:val="000000" w:themeColor="text1"/>
          <w:sz w:val="24"/>
          <w:szCs w:val="24"/>
        </w:rPr>
        <w:t xml:space="preserve"> </w:t>
      </w:r>
      <w:r>
        <w:rPr>
          <w:rFonts w:eastAsiaTheme="majorEastAsia" w:cs="Arial"/>
          <w:color w:val="000000" w:themeColor="text1"/>
          <w:sz w:val="24"/>
          <w:szCs w:val="24"/>
        </w:rPr>
        <w:t xml:space="preserve">relatively small contribution to </w:t>
      </w:r>
      <w:r w:rsidRPr="007E30E9">
        <w:rPr>
          <w:rFonts w:eastAsiaTheme="majorEastAsia" w:cs="Arial"/>
          <w:color w:val="000000" w:themeColor="text1"/>
          <w:sz w:val="24"/>
          <w:szCs w:val="24"/>
        </w:rPr>
        <w:t>consum</w:t>
      </w:r>
      <w:r>
        <w:rPr>
          <w:rFonts w:eastAsiaTheme="majorEastAsia" w:cs="Arial"/>
          <w:color w:val="000000" w:themeColor="text1"/>
          <w:sz w:val="24"/>
          <w:szCs w:val="24"/>
        </w:rPr>
        <w:t>ption, and common practice to draw off comparatively larger volumes of water (i.e. flush the system) before entering a shower</w:t>
      </w:r>
      <w:r w:rsidRPr="007E30E9">
        <w:rPr>
          <w:rFonts w:eastAsiaTheme="majorEastAsia" w:cs="Arial"/>
          <w:color w:val="000000" w:themeColor="text1"/>
          <w:sz w:val="24"/>
          <w:szCs w:val="24"/>
        </w:rPr>
        <w:t xml:space="preserve">. </w:t>
      </w:r>
    </w:p>
    <w:p w14:paraId="0A931011" w14:textId="33499A5C" w:rsidR="00442DC7" w:rsidRDefault="00442DC7" w:rsidP="0030741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 xml:space="preserve">Varying the requirements for showering and/or bathing products in Australia would also create an inconsistency with the much larger US market, which could impact the pricing and availability of compliant products in the short-term until such time Australian specific products became available.  </w:t>
      </w:r>
    </w:p>
    <w:p w14:paraId="46DC15B8" w14:textId="78FBF587" w:rsidR="00442DC7" w:rsidRDefault="00442DC7" w:rsidP="0030741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The importance of the proposed requirements aligning with the model regulation from the US was emphasised by the Ai Group:</w:t>
      </w:r>
    </w:p>
    <w:p w14:paraId="043A20DE" w14:textId="1E06F506" w:rsidR="00442DC7" w:rsidRDefault="00442DC7" w:rsidP="002D1E18">
      <w:pPr>
        <w:pStyle w:val="Quote"/>
        <w:spacing w:line="360" w:lineRule="auto"/>
        <w:ind w:left="862" w:right="862"/>
        <w:jc w:val="left"/>
      </w:pPr>
      <w:r>
        <w:t>“</w:t>
      </w:r>
      <w:r w:rsidRPr="00E00560">
        <w:t>Australia is a small market. If we transition to low lead levels for plumbing products for which this is not required in other countries (e.g. shower valves) then overseas manufacture</w:t>
      </w:r>
      <w:r>
        <w:t>rs are unlikely to manufacture ‘low lead’</w:t>
      </w:r>
      <w:r w:rsidRPr="00E00560">
        <w:t xml:space="preserve"> variants specifically for Australia. This will significantly limit the choice for Australian consumers.</w:t>
      </w:r>
      <w:r>
        <w:t>”</w:t>
      </w:r>
      <w:r w:rsidRPr="00E00560">
        <w:t xml:space="preserve"> </w:t>
      </w:r>
    </w:p>
    <w:p w14:paraId="450BA323" w14:textId="77777777" w:rsidR="00442DC7" w:rsidRPr="00265519" w:rsidRDefault="00442DC7" w:rsidP="0030741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Hence, based on the very low risk from consuming water when showering or bathing and the inconsistency generated with the model regulation</w:t>
      </w:r>
      <w:r w:rsidRPr="007E30E9">
        <w:rPr>
          <w:rFonts w:eastAsiaTheme="majorEastAsia" w:cs="Arial"/>
          <w:color w:val="000000" w:themeColor="text1"/>
          <w:sz w:val="24"/>
          <w:szCs w:val="24"/>
        </w:rPr>
        <w:t xml:space="preserve">, </w:t>
      </w:r>
      <w:r>
        <w:rPr>
          <w:rFonts w:eastAsiaTheme="majorEastAsia" w:cs="Arial"/>
          <w:color w:val="000000" w:themeColor="text1"/>
          <w:sz w:val="24"/>
          <w:szCs w:val="24"/>
        </w:rPr>
        <w:t>these products</w:t>
      </w:r>
      <w:r w:rsidRPr="007E30E9">
        <w:rPr>
          <w:rFonts w:eastAsiaTheme="majorEastAsia" w:cs="Arial"/>
          <w:color w:val="000000" w:themeColor="text1"/>
          <w:sz w:val="24"/>
          <w:szCs w:val="24"/>
        </w:rPr>
        <w:t xml:space="preserve"> have been excluded from the </w:t>
      </w:r>
      <w:r>
        <w:rPr>
          <w:rFonts w:eastAsiaTheme="majorEastAsia" w:cs="Arial"/>
          <w:color w:val="000000" w:themeColor="text1"/>
          <w:sz w:val="24"/>
          <w:szCs w:val="24"/>
        </w:rPr>
        <w:t xml:space="preserve">proposed </w:t>
      </w:r>
      <w:r w:rsidRPr="007E30E9">
        <w:rPr>
          <w:rFonts w:eastAsiaTheme="majorEastAsia" w:cs="Arial"/>
          <w:color w:val="000000" w:themeColor="text1"/>
          <w:sz w:val="24"/>
          <w:szCs w:val="24"/>
        </w:rPr>
        <w:t>requirements</w:t>
      </w:r>
      <w:r>
        <w:rPr>
          <w:rFonts w:eastAsiaTheme="majorEastAsia" w:cs="Arial"/>
          <w:color w:val="000000" w:themeColor="text1"/>
          <w:sz w:val="24"/>
          <w:szCs w:val="24"/>
        </w:rPr>
        <w:t xml:space="preserve">. </w:t>
      </w:r>
    </w:p>
    <w:p w14:paraId="6A7E6249" w14:textId="77777777" w:rsidR="00442DC7" w:rsidRDefault="00442DC7" w:rsidP="00307419">
      <w:pPr>
        <w:spacing w:line="360" w:lineRule="auto"/>
        <w:jc w:val="both"/>
        <w:rPr>
          <w:rFonts w:eastAsiaTheme="majorEastAsia" w:cs="Arial"/>
          <w:color w:val="000000" w:themeColor="text1"/>
          <w:sz w:val="24"/>
          <w:szCs w:val="24"/>
        </w:rPr>
      </w:pPr>
      <w:r w:rsidRPr="007E30E9">
        <w:rPr>
          <w:rFonts w:eastAsiaTheme="majorEastAsia" w:cs="Arial"/>
          <w:color w:val="000000" w:themeColor="text1"/>
          <w:sz w:val="24"/>
          <w:szCs w:val="24"/>
        </w:rPr>
        <w:t>Products associated with potable water sourced from rainwater</w:t>
      </w:r>
      <w:r>
        <w:rPr>
          <w:rFonts w:eastAsiaTheme="majorEastAsia" w:cs="Arial"/>
          <w:color w:val="000000" w:themeColor="text1"/>
          <w:sz w:val="24"/>
          <w:szCs w:val="24"/>
        </w:rPr>
        <w:t xml:space="preserve"> are included in the proposed scope. This has been better reflected in the final NCC provisions (see Attachment A). W</w:t>
      </w:r>
      <w:r w:rsidRPr="00E008CA">
        <w:rPr>
          <w:rFonts w:eastAsiaTheme="majorEastAsia" w:cs="Arial"/>
          <w:color w:val="000000" w:themeColor="text1"/>
          <w:sz w:val="24"/>
          <w:szCs w:val="24"/>
        </w:rPr>
        <w:t xml:space="preserve">aste fittings </w:t>
      </w:r>
      <w:r>
        <w:rPr>
          <w:rFonts w:eastAsiaTheme="majorEastAsia" w:cs="Arial"/>
          <w:color w:val="000000" w:themeColor="text1"/>
          <w:sz w:val="24"/>
          <w:szCs w:val="24"/>
        </w:rPr>
        <w:t>are</w:t>
      </w:r>
      <w:r w:rsidRPr="00E008CA">
        <w:rPr>
          <w:rFonts w:eastAsiaTheme="majorEastAsia" w:cs="Arial"/>
          <w:color w:val="000000" w:themeColor="text1"/>
          <w:sz w:val="24"/>
          <w:szCs w:val="24"/>
        </w:rPr>
        <w:t xml:space="preserve"> </w:t>
      </w:r>
      <w:r>
        <w:rPr>
          <w:rFonts w:eastAsiaTheme="majorEastAsia" w:cs="Arial"/>
          <w:color w:val="000000" w:themeColor="text1"/>
          <w:sz w:val="24"/>
          <w:szCs w:val="24"/>
        </w:rPr>
        <w:t xml:space="preserve">not </w:t>
      </w:r>
      <w:r w:rsidRPr="00E008CA">
        <w:rPr>
          <w:rFonts w:eastAsiaTheme="majorEastAsia" w:cs="Arial"/>
          <w:color w:val="000000" w:themeColor="text1"/>
          <w:sz w:val="24"/>
          <w:szCs w:val="24"/>
        </w:rPr>
        <w:t>within scope of the proposed changes</w:t>
      </w:r>
      <w:r>
        <w:rPr>
          <w:rFonts w:eastAsiaTheme="majorEastAsia" w:cs="Arial"/>
          <w:color w:val="000000" w:themeColor="text1"/>
          <w:sz w:val="24"/>
          <w:szCs w:val="24"/>
        </w:rPr>
        <w:t xml:space="preserve"> on the basis that they pose no risk to consumable drinking water.</w:t>
      </w:r>
    </w:p>
    <w:p w14:paraId="0D8D6BEE" w14:textId="1C2084A4" w:rsidR="00442DC7" w:rsidRDefault="00442DC7" w:rsidP="00C670BB">
      <w:pPr>
        <w:spacing w:line="360" w:lineRule="auto"/>
        <w:jc w:val="both"/>
        <w:rPr>
          <w:rFonts w:eastAsiaTheme="majorEastAsia" w:cs="Arial"/>
          <w:color w:val="000000" w:themeColor="text1"/>
          <w:sz w:val="24"/>
          <w:szCs w:val="24"/>
        </w:rPr>
      </w:pPr>
      <w:bookmarkStart w:id="61" w:name="_Hlk70366275"/>
      <w:r w:rsidRPr="00A171BF">
        <w:rPr>
          <w:rFonts w:eastAsiaTheme="majorEastAsia" w:cs="Arial"/>
          <w:color w:val="000000" w:themeColor="text1"/>
          <w:sz w:val="24"/>
          <w:szCs w:val="24"/>
        </w:rPr>
        <w:t xml:space="preserve">The case </w:t>
      </w:r>
      <w:r>
        <w:rPr>
          <w:rFonts w:eastAsiaTheme="majorEastAsia" w:cs="Arial"/>
          <w:color w:val="000000" w:themeColor="text1"/>
          <w:sz w:val="24"/>
          <w:szCs w:val="24"/>
        </w:rPr>
        <w:t xml:space="preserve">to include NUO infrastructure made by WSAA </w:t>
      </w:r>
      <w:r w:rsidRPr="00A171BF">
        <w:rPr>
          <w:rFonts w:eastAsiaTheme="majorEastAsia" w:cs="Arial"/>
          <w:color w:val="000000" w:themeColor="text1"/>
          <w:sz w:val="24"/>
          <w:szCs w:val="24"/>
        </w:rPr>
        <w:t xml:space="preserve">is weakened by the evidence that water supplied to the meter is currently </w:t>
      </w:r>
      <w:r>
        <w:rPr>
          <w:rFonts w:eastAsiaTheme="majorEastAsia" w:cs="Arial"/>
          <w:color w:val="000000" w:themeColor="text1"/>
          <w:sz w:val="24"/>
          <w:szCs w:val="24"/>
        </w:rPr>
        <w:t>very low (up to 1</w:t>
      </w:r>
      <w:r w:rsidR="008F416D" w:rsidRPr="001465C2">
        <w:rPr>
          <w:rFonts w:cs="Arial"/>
          <w:color w:val="333333"/>
          <w:shd w:val="clear" w:color="auto" w:fill="FFFFFF"/>
        </w:rPr>
        <w:t>μ</w:t>
      </w:r>
      <w:r w:rsidR="008F416D" w:rsidRPr="009C0A5D">
        <w:rPr>
          <w:rFonts w:cs="Arial"/>
          <w:bCs/>
          <w:iCs/>
        </w:rPr>
        <w:t>g</w:t>
      </w:r>
      <w:r w:rsidR="008F416D">
        <w:rPr>
          <w:rFonts w:cs="Arial"/>
          <w:bCs/>
          <w:iCs/>
        </w:rPr>
        <w:t>/L</w:t>
      </w:r>
      <w:r>
        <w:rPr>
          <w:rFonts w:eastAsiaTheme="majorEastAsia" w:cs="Arial"/>
          <w:color w:val="000000" w:themeColor="text1"/>
          <w:sz w:val="24"/>
          <w:szCs w:val="24"/>
        </w:rPr>
        <w:t xml:space="preserve"> in most cases)</w:t>
      </w:r>
      <w:r w:rsidRPr="00A171BF">
        <w:rPr>
          <w:rFonts w:eastAsiaTheme="majorEastAsia" w:cs="Arial"/>
          <w:color w:val="000000" w:themeColor="text1"/>
          <w:sz w:val="24"/>
          <w:szCs w:val="24"/>
        </w:rPr>
        <w:t xml:space="preserve">. </w:t>
      </w:r>
      <w:r>
        <w:rPr>
          <w:rFonts w:eastAsiaTheme="majorEastAsia" w:cs="Arial"/>
          <w:color w:val="000000" w:themeColor="text1"/>
          <w:sz w:val="24"/>
          <w:szCs w:val="24"/>
        </w:rPr>
        <w:t xml:space="preserve">This infrastructure is also outside the remit of the NCC and is regulated </w:t>
      </w:r>
      <w:r w:rsidR="003F60CD">
        <w:rPr>
          <w:rFonts w:eastAsiaTheme="majorEastAsia" w:cs="Arial"/>
          <w:color w:val="000000" w:themeColor="text1"/>
          <w:sz w:val="24"/>
          <w:szCs w:val="24"/>
        </w:rPr>
        <w:t>by the NUO’s</w:t>
      </w:r>
      <w:r>
        <w:rPr>
          <w:rFonts w:eastAsiaTheme="majorEastAsia" w:cs="Arial"/>
          <w:color w:val="000000" w:themeColor="text1"/>
          <w:sz w:val="24"/>
          <w:szCs w:val="24"/>
        </w:rPr>
        <w:t xml:space="preserve">. The Decision RIS recognises the potential for lead to leach from water meters, which are now included within the scope of the proposed requirements. </w:t>
      </w:r>
      <w:bookmarkEnd w:id="61"/>
    </w:p>
    <w:p w14:paraId="05724209" w14:textId="77777777" w:rsidR="00442DC7" w:rsidRDefault="00442DC7">
      <w:pPr>
        <w:rPr>
          <w:rFonts w:eastAsiaTheme="majorEastAsia" w:cs="Arial"/>
          <w:color w:val="000000" w:themeColor="text1"/>
          <w:sz w:val="24"/>
          <w:szCs w:val="24"/>
        </w:rPr>
      </w:pPr>
      <w:r>
        <w:rPr>
          <w:rFonts w:eastAsiaTheme="majorEastAsia" w:cs="Arial"/>
          <w:color w:val="000000" w:themeColor="text1"/>
          <w:sz w:val="24"/>
          <w:szCs w:val="24"/>
        </w:rPr>
        <w:br w:type="page"/>
      </w:r>
    </w:p>
    <w:p w14:paraId="0B5C0C12" w14:textId="77777777" w:rsidR="00442DC7" w:rsidRDefault="00442DC7" w:rsidP="00E00560">
      <w:pPr>
        <w:pStyle w:val="Heading3"/>
        <w:spacing w:before="240" w:line="360" w:lineRule="auto"/>
        <w:rPr>
          <w:rFonts w:ascii="Arial" w:hAnsi="Arial" w:cs="Arial"/>
          <w:b w:val="0"/>
          <w:bCs w:val="0"/>
        </w:rPr>
      </w:pPr>
      <w:bookmarkStart w:id="62" w:name="_Toc70887783"/>
      <w:bookmarkStart w:id="63" w:name="_Toc71195734"/>
      <w:bookmarkStart w:id="64" w:name="_Toc71789261"/>
      <w:r>
        <w:rPr>
          <w:rFonts w:ascii="Arial" w:hAnsi="Arial" w:cs="Arial"/>
          <w:b w:val="0"/>
          <w:bCs w:val="0"/>
        </w:rPr>
        <w:lastRenderedPageBreak/>
        <w:t>Lead leaching into drinking water</w:t>
      </w:r>
      <w:bookmarkEnd w:id="56"/>
      <w:bookmarkEnd w:id="57"/>
      <w:bookmarkEnd w:id="58"/>
      <w:bookmarkEnd w:id="59"/>
      <w:bookmarkEnd w:id="62"/>
      <w:bookmarkEnd w:id="63"/>
      <w:bookmarkEnd w:id="64"/>
      <w:r>
        <w:rPr>
          <w:rFonts w:ascii="Arial" w:hAnsi="Arial" w:cs="Arial"/>
          <w:b w:val="0"/>
          <w:bCs w:val="0"/>
        </w:rPr>
        <w:t xml:space="preserve"> </w:t>
      </w:r>
    </w:p>
    <w:p w14:paraId="6547B5E0" w14:textId="77777777" w:rsidR="00442DC7" w:rsidRPr="00606555" w:rsidRDefault="00442DC7" w:rsidP="00FD6DD4">
      <w:pPr>
        <w:spacing w:line="360" w:lineRule="auto"/>
        <w:jc w:val="both"/>
        <w:rPr>
          <w:sz w:val="24"/>
          <w:szCs w:val="24"/>
        </w:rPr>
      </w:pPr>
      <w:r w:rsidRPr="00606555">
        <w:rPr>
          <w:sz w:val="24"/>
          <w:szCs w:val="24"/>
        </w:rPr>
        <w:t xml:space="preserve">Lead release from </w:t>
      </w:r>
      <w:r>
        <w:rPr>
          <w:sz w:val="24"/>
          <w:szCs w:val="24"/>
        </w:rPr>
        <w:t>copper alloy plumbing products in contact with drinking water</w:t>
      </w:r>
      <w:r w:rsidRPr="00606555">
        <w:rPr>
          <w:sz w:val="24"/>
          <w:szCs w:val="24"/>
        </w:rPr>
        <w:t xml:space="preserve"> can occur </w:t>
      </w:r>
      <w:r>
        <w:rPr>
          <w:sz w:val="24"/>
          <w:szCs w:val="24"/>
        </w:rPr>
        <w:t>differently over the short and long term.</w:t>
      </w:r>
      <w:r w:rsidRPr="00606555">
        <w:rPr>
          <w:sz w:val="24"/>
          <w:szCs w:val="24"/>
        </w:rPr>
        <w:t xml:space="preserve"> </w:t>
      </w:r>
    </w:p>
    <w:p w14:paraId="0B193A14" w14:textId="77777777" w:rsidR="00442DC7" w:rsidRPr="003B0155" w:rsidRDefault="00442DC7" w:rsidP="00E00560">
      <w:pPr>
        <w:pStyle w:val="Heading4"/>
        <w:spacing w:after="120"/>
        <w:rPr>
          <w:rFonts w:ascii="Arial" w:hAnsi="Arial" w:cs="Arial"/>
          <w:b w:val="0"/>
          <w:bCs w:val="0"/>
          <w:sz w:val="28"/>
          <w:szCs w:val="28"/>
        </w:rPr>
      </w:pPr>
      <w:r w:rsidRPr="003B0155">
        <w:rPr>
          <w:rFonts w:ascii="Arial" w:hAnsi="Arial" w:cs="Arial"/>
          <w:b w:val="0"/>
          <w:bCs w:val="0"/>
          <w:sz w:val="28"/>
          <w:szCs w:val="28"/>
        </w:rPr>
        <w:t>Short-term lead release</w:t>
      </w:r>
    </w:p>
    <w:p w14:paraId="61D5D3BA" w14:textId="77777777" w:rsidR="00442DC7" w:rsidRDefault="00442DC7" w:rsidP="005F3D16">
      <w:pPr>
        <w:spacing w:line="360" w:lineRule="auto"/>
        <w:jc w:val="both"/>
        <w:rPr>
          <w:sz w:val="24"/>
          <w:szCs w:val="24"/>
        </w:rPr>
      </w:pPr>
      <w:r>
        <w:rPr>
          <w:sz w:val="24"/>
          <w:szCs w:val="24"/>
        </w:rPr>
        <w:t xml:space="preserve">The short-term release of lead is the result of dissolution of machining film which forms immediately after the manufacture of some copper alloy products. The ABCB is not aware of any Australian specific studies on the rate of short-term release of lead in drinking water and such studies are limited internationally. </w:t>
      </w:r>
    </w:p>
    <w:p w14:paraId="632864D4" w14:textId="22AC517F" w:rsidR="00442DC7" w:rsidRDefault="00442DC7" w:rsidP="008454A4">
      <w:pPr>
        <w:spacing w:line="360" w:lineRule="auto"/>
        <w:jc w:val="both"/>
        <w:rPr>
          <w:sz w:val="24"/>
          <w:szCs w:val="24"/>
        </w:rPr>
      </w:pPr>
      <w:r>
        <w:rPr>
          <w:sz w:val="24"/>
          <w:szCs w:val="24"/>
        </w:rPr>
        <w:t>A US study in 2010, found that most lead in drinking water within the first 30 days is surface lead.</w:t>
      </w:r>
      <w:r>
        <w:rPr>
          <w:rStyle w:val="FootnoteReference"/>
          <w:sz w:val="24"/>
          <w:szCs w:val="24"/>
        </w:rPr>
        <w:footnoteReference w:id="18"/>
      </w:r>
      <w:r>
        <w:rPr>
          <w:sz w:val="24"/>
          <w:szCs w:val="24"/>
        </w:rPr>
        <w:t xml:space="preserve"> </w:t>
      </w:r>
      <w:r w:rsidR="00B22235">
        <w:rPr>
          <w:sz w:val="24"/>
          <w:szCs w:val="24"/>
        </w:rPr>
        <w:t>S</w:t>
      </w:r>
      <w:r>
        <w:rPr>
          <w:sz w:val="24"/>
          <w:szCs w:val="24"/>
        </w:rPr>
        <w:t>hort-term release can continue to occur up to 3 months of operation.</w:t>
      </w:r>
      <w:r>
        <w:rPr>
          <w:rStyle w:val="FootnoteReference"/>
          <w:sz w:val="24"/>
          <w:szCs w:val="24"/>
        </w:rPr>
        <w:footnoteReference w:id="19"/>
      </w:r>
      <w:r>
        <w:rPr>
          <w:sz w:val="24"/>
          <w:szCs w:val="24"/>
        </w:rPr>
        <w:t xml:space="preserve"> Applying </w:t>
      </w:r>
      <w:r w:rsidRPr="00B3106F">
        <w:rPr>
          <w:sz w:val="24"/>
          <w:szCs w:val="24"/>
        </w:rPr>
        <w:t>monochloramine (NH</w:t>
      </w:r>
      <w:r w:rsidRPr="00140290">
        <w:rPr>
          <w:sz w:val="24"/>
          <w:szCs w:val="24"/>
          <w:vertAlign w:val="subscript"/>
        </w:rPr>
        <w:t>2</w:t>
      </w:r>
      <w:r w:rsidRPr="00B3106F">
        <w:rPr>
          <w:sz w:val="24"/>
          <w:szCs w:val="24"/>
        </w:rPr>
        <w:t>Cl) as a disinfectant</w:t>
      </w:r>
      <w:r>
        <w:rPr>
          <w:sz w:val="24"/>
          <w:szCs w:val="24"/>
        </w:rPr>
        <w:t xml:space="preserve"> of products following manufacturing can reduce the likelihood of this film being present.  </w:t>
      </w:r>
      <w:r w:rsidRPr="00B3106F">
        <w:rPr>
          <w:sz w:val="24"/>
          <w:szCs w:val="24"/>
        </w:rPr>
        <w:t xml:space="preserve">A 0.5 μm thick </w:t>
      </w:r>
      <w:r>
        <w:rPr>
          <w:sz w:val="24"/>
          <w:szCs w:val="24"/>
        </w:rPr>
        <w:t>lead</w:t>
      </w:r>
      <w:r w:rsidRPr="00B3106F">
        <w:rPr>
          <w:sz w:val="24"/>
          <w:szCs w:val="24"/>
        </w:rPr>
        <w:t xml:space="preserve"> film nearly completely dissolves in a </w:t>
      </w:r>
      <w:bookmarkStart w:id="65" w:name="_Hlk71469526"/>
      <w:r w:rsidRPr="00B3106F">
        <w:rPr>
          <w:sz w:val="24"/>
          <w:szCs w:val="24"/>
        </w:rPr>
        <w:t>NH</w:t>
      </w:r>
      <w:r w:rsidRPr="00140290">
        <w:rPr>
          <w:sz w:val="24"/>
          <w:szCs w:val="24"/>
          <w:vertAlign w:val="subscript"/>
        </w:rPr>
        <w:t>2</w:t>
      </w:r>
      <w:r w:rsidRPr="00B3106F">
        <w:rPr>
          <w:sz w:val="24"/>
          <w:szCs w:val="24"/>
        </w:rPr>
        <w:t>Cl</w:t>
      </w:r>
      <w:bookmarkEnd w:id="65"/>
      <w:r w:rsidRPr="00B3106F">
        <w:rPr>
          <w:sz w:val="24"/>
          <w:szCs w:val="24"/>
        </w:rPr>
        <w:t xml:space="preserve"> solution</w:t>
      </w:r>
      <w:r>
        <w:rPr>
          <w:sz w:val="24"/>
          <w:szCs w:val="24"/>
        </w:rPr>
        <w:t>.</w:t>
      </w:r>
      <w:r>
        <w:rPr>
          <w:rStyle w:val="FootnoteReference"/>
          <w:sz w:val="24"/>
          <w:szCs w:val="24"/>
        </w:rPr>
        <w:footnoteReference w:id="20"/>
      </w:r>
      <w:r>
        <w:rPr>
          <w:sz w:val="24"/>
          <w:szCs w:val="24"/>
        </w:rPr>
        <w:t xml:space="preserve"> </w:t>
      </w:r>
      <w:r w:rsidRPr="00D04F67">
        <w:rPr>
          <w:sz w:val="24"/>
          <w:szCs w:val="24"/>
        </w:rPr>
        <w:fldChar w:fldCharType="begin"/>
      </w:r>
      <w:r w:rsidRPr="00A86FFA">
        <w:rPr>
          <w:sz w:val="24"/>
          <w:szCs w:val="24"/>
        </w:rPr>
        <w:instrText xml:space="preserve"> REF _Ref51323995 \h </w:instrText>
      </w:r>
      <w:r>
        <w:rPr>
          <w:sz w:val="24"/>
          <w:szCs w:val="24"/>
        </w:rPr>
        <w:instrText xml:space="preserve"> \* MERGEFORMAT </w:instrText>
      </w:r>
      <w:r w:rsidRPr="00D04F67">
        <w:rPr>
          <w:sz w:val="24"/>
          <w:szCs w:val="24"/>
        </w:rPr>
      </w:r>
      <w:r w:rsidRPr="00D04F67">
        <w:rPr>
          <w:sz w:val="24"/>
          <w:szCs w:val="24"/>
        </w:rPr>
        <w:fldChar w:fldCharType="separate"/>
      </w:r>
      <w:r w:rsidRPr="00E00560">
        <w:rPr>
          <w:sz w:val="24"/>
          <w:szCs w:val="24"/>
        </w:rPr>
        <w:t xml:space="preserve">Figure </w:t>
      </w:r>
      <w:r>
        <w:rPr>
          <w:noProof/>
          <w:sz w:val="24"/>
          <w:szCs w:val="24"/>
        </w:rPr>
        <w:t>1</w:t>
      </w:r>
      <w:r w:rsidRPr="00D04F67">
        <w:rPr>
          <w:sz w:val="24"/>
          <w:szCs w:val="24"/>
        </w:rPr>
        <w:fldChar w:fldCharType="end"/>
      </w:r>
      <w:r w:rsidRPr="00D04F67">
        <w:rPr>
          <w:sz w:val="24"/>
          <w:szCs w:val="24"/>
        </w:rPr>
        <w:t xml:space="preserve"> shows the release of lead from a brass plumbing product in contact with drinking water</w:t>
      </w:r>
      <w:r>
        <w:rPr>
          <w:sz w:val="24"/>
          <w:szCs w:val="24"/>
        </w:rPr>
        <w:t xml:space="preserve"> from a study conducted in Germany in 2015</w:t>
      </w:r>
      <w:r w:rsidRPr="00D04F67">
        <w:rPr>
          <w:sz w:val="24"/>
          <w:szCs w:val="24"/>
        </w:rPr>
        <w:t>.</w:t>
      </w:r>
      <w:r w:rsidRPr="00E00560">
        <w:rPr>
          <w:sz w:val="24"/>
          <w:szCs w:val="24"/>
        </w:rPr>
        <w:t xml:space="preserve"> </w:t>
      </w:r>
    </w:p>
    <w:p w14:paraId="1FB10630" w14:textId="77777777" w:rsidR="00442DC7" w:rsidRDefault="00442DC7" w:rsidP="008454A4">
      <w:pPr>
        <w:spacing w:line="360" w:lineRule="auto"/>
        <w:jc w:val="both"/>
        <w:rPr>
          <w:sz w:val="24"/>
          <w:szCs w:val="24"/>
        </w:rPr>
      </w:pPr>
      <w:r>
        <w:rPr>
          <w:sz w:val="24"/>
          <w:szCs w:val="24"/>
        </w:rPr>
        <w:t>While</w:t>
      </w:r>
      <w:r w:rsidRPr="00E00560">
        <w:rPr>
          <w:sz w:val="24"/>
          <w:szCs w:val="24"/>
        </w:rPr>
        <w:t xml:space="preserve"> </w:t>
      </w:r>
      <w:r>
        <w:rPr>
          <w:sz w:val="24"/>
          <w:szCs w:val="24"/>
        </w:rPr>
        <w:t>Figure 1</w:t>
      </w:r>
      <w:r w:rsidRPr="00E00560">
        <w:rPr>
          <w:sz w:val="24"/>
          <w:szCs w:val="24"/>
        </w:rPr>
        <w:t xml:space="preserve"> </w:t>
      </w:r>
      <w:r>
        <w:rPr>
          <w:sz w:val="24"/>
          <w:szCs w:val="24"/>
        </w:rPr>
        <w:t>provides</w:t>
      </w:r>
      <w:r w:rsidRPr="00E00560">
        <w:rPr>
          <w:sz w:val="24"/>
          <w:szCs w:val="24"/>
        </w:rPr>
        <w:t xml:space="preserve"> </w:t>
      </w:r>
      <w:r>
        <w:rPr>
          <w:sz w:val="24"/>
          <w:szCs w:val="24"/>
        </w:rPr>
        <w:t xml:space="preserve">visual representation </w:t>
      </w:r>
      <w:r w:rsidRPr="00A92F98">
        <w:rPr>
          <w:sz w:val="24"/>
          <w:szCs w:val="24"/>
        </w:rPr>
        <w:t>of the</w:t>
      </w:r>
      <w:r>
        <w:rPr>
          <w:sz w:val="24"/>
          <w:szCs w:val="24"/>
        </w:rPr>
        <w:t xml:space="preserve"> short-term release of lead from a copper alloy </w:t>
      </w:r>
      <w:r w:rsidRPr="00E00560">
        <w:rPr>
          <w:sz w:val="24"/>
          <w:szCs w:val="24"/>
        </w:rPr>
        <w:t xml:space="preserve">product, it may not be representative </w:t>
      </w:r>
      <w:r>
        <w:rPr>
          <w:sz w:val="24"/>
          <w:szCs w:val="24"/>
        </w:rPr>
        <w:t>for all</w:t>
      </w:r>
      <w:r w:rsidRPr="00E00560">
        <w:rPr>
          <w:sz w:val="24"/>
          <w:szCs w:val="24"/>
        </w:rPr>
        <w:t xml:space="preserve"> plumbing products</w:t>
      </w:r>
      <w:r>
        <w:rPr>
          <w:sz w:val="24"/>
          <w:szCs w:val="24"/>
        </w:rPr>
        <w:t xml:space="preserve"> in Australia</w:t>
      </w:r>
      <w:r w:rsidRPr="00E00560">
        <w:rPr>
          <w:sz w:val="24"/>
          <w:szCs w:val="24"/>
        </w:rPr>
        <w:t xml:space="preserve">. This is because Australian Standards referenced in the </w:t>
      </w:r>
      <w:r>
        <w:rPr>
          <w:sz w:val="24"/>
          <w:szCs w:val="24"/>
        </w:rPr>
        <w:t xml:space="preserve">WMCS </w:t>
      </w:r>
      <w:r w:rsidRPr="00E00560">
        <w:rPr>
          <w:sz w:val="24"/>
          <w:szCs w:val="24"/>
        </w:rPr>
        <w:t xml:space="preserve">typically do not permit the use of gunmetal </w:t>
      </w:r>
      <w:r>
        <w:rPr>
          <w:sz w:val="24"/>
          <w:szCs w:val="24"/>
        </w:rPr>
        <w:t xml:space="preserve">brass, </w:t>
      </w:r>
      <w:r w:rsidRPr="0038772B">
        <w:rPr>
          <w:sz w:val="24"/>
          <w:szCs w:val="24"/>
        </w:rPr>
        <w:t>though its lead content is comparable</w:t>
      </w:r>
      <w:r>
        <w:rPr>
          <w:sz w:val="24"/>
          <w:szCs w:val="24"/>
        </w:rPr>
        <w:t xml:space="preserve"> to that found in red and yellow brass. T</w:t>
      </w:r>
      <w:r w:rsidRPr="00E00560">
        <w:rPr>
          <w:sz w:val="24"/>
          <w:szCs w:val="24"/>
        </w:rPr>
        <w:t xml:space="preserve">he exact detail of </w:t>
      </w:r>
      <w:r>
        <w:rPr>
          <w:sz w:val="24"/>
          <w:szCs w:val="24"/>
        </w:rPr>
        <w:t xml:space="preserve">the </w:t>
      </w:r>
      <w:r w:rsidRPr="00E00560">
        <w:rPr>
          <w:sz w:val="24"/>
          <w:szCs w:val="24"/>
        </w:rPr>
        <w:t xml:space="preserve">experimental conditions </w:t>
      </w:r>
      <w:r>
        <w:rPr>
          <w:sz w:val="24"/>
          <w:szCs w:val="24"/>
        </w:rPr>
        <w:t>underpinning the figure is</w:t>
      </w:r>
      <w:r w:rsidRPr="00E00560">
        <w:rPr>
          <w:sz w:val="24"/>
          <w:szCs w:val="24"/>
        </w:rPr>
        <w:t xml:space="preserve"> </w:t>
      </w:r>
      <w:r>
        <w:rPr>
          <w:sz w:val="24"/>
          <w:szCs w:val="24"/>
        </w:rPr>
        <w:t xml:space="preserve">also </w:t>
      </w:r>
      <w:r w:rsidRPr="00E00560">
        <w:rPr>
          <w:sz w:val="24"/>
          <w:szCs w:val="24"/>
        </w:rPr>
        <w:t>unclear from the source document.</w:t>
      </w:r>
      <w:r>
        <w:rPr>
          <w:sz w:val="24"/>
          <w:szCs w:val="24"/>
        </w:rPr>
        <w:t xml:space="preserve"> </w:t>
      </w:r>
    </w:p>
    <w:p w14:paraId="65472BDD" w14:textId="612C857C" w:rsidR="00442DC7" w:rsidRPr="002304B0" w:rsidRDefault="00442DC7" w:rsidP="00E00560">
      <w:pPr>
        <w:spacing w:after="0" w:line="360" w:lineRule="auto"/>
        <w:jc w:val="both"/>
      </w:pPr>
      <w:r>
        <w:rPr>
          <w:sz w:val="24"/>
          <w:szCs w:val="24"/>
        </w:rPr>
        <w:br w:type="page"/>
      </w:r>
      <w:bookmarkStart w:id="66" w:name="_Ref51323995"/>
      <w:bookmarkStart w:id="67" w:name="_Toc73028094"/>
      <w:r w:rsidRPr="00953C5A">
        <w:lastRenderedPageBreak/>
        <w:t xml:space="preserve">Figure </w:t>
      </w:r>
      <w:fldSimple w:instr=" SEQ Figure \* ARABIC ">
        <w:r w:rsidRPr="00953C5A">
          <w:t>1</w:t>
        </w:r>
      </w:fldSimple>
      <w:bookmarkEnd w:id="66"/>
      <w:r w:rsidRPr="00953C5A">
        <w:t>: Lead released from copper alloy plumbing products in contact with drinking water</w:t>
      </w:r>
      <w:r w:rsidRPr="002304B0">
        <w:rPr>
          <w:rStyle w:val="FootnoteReference"/>
        </w:rPr>
        <w:footnoteReference w:id="21"/>
      </w:r>
      <w:bookmarkEnd w:id="67"/>
    </w:p>
    <w:p w14:paraId="766AA19C" w14:textId="77777777" w:rsidR="00442DC7" w:rsidRDefault="00442DC7" w:rsidP="00765051">
      <w:pPr>
        <w:spacing w:after="0"/>
        <w:jc w:val="center"/>
      </w:pPr>
      <w:r w:rsidRPr="00000026">
        <w:rPr>
          <w:noProof/>
          <w:lang w:eastAsia="en-AU"/>
        </w:rPr>
        <w:drawing>
          <wp:inline distT="0" distB="0" distL="0" distR="0" wp14:anchorId="648D1B9D" wp14:editId="14693B44">
            <wp:extent cx="5026489" cy="2571750"/>
            <wp:effectExtent l="0" t="0" r="3175" b="0"/>
            <wp:docPr id="12" name="Picture 12" descr="Figure 1: Lead released from brass plumbing products in contact with drinking water. Figure shows the effects of short term lead release for common brass plumbing produ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Figure 1: Lead released from brass plumbing products in contact with drinking water. Figure shows the effects of short term lead release for common brass plumbing products. "/>
                    <pic:cNvPicPr/>
                  </pic:nvPicPr>
                  <pic:blipFill>
                    <a:blip r:embed="rId20"/>
                    <a:stretch>
                      <a:fillRect/>
                    </a:stretch>
                  </pic:blipFill>
                  <pic:spPr>
                    <a:xfrm>
                      <a:off x="0" y="0"/>
                      <a:ext cx="5176057" cy="2648275"/>
                    </a:xfrm>
                    <a:prstGeom prst="rect">
                      <a:avLst/>
                    </a:prstGeom>
                  </pic:spPr>
                </pic:pic>
              </a:graphicData>
            </a:graphic>
          </wp:inline>
        </w:drawing>
      </w:r>
    </w:p>
    <w:p w14:paraId="73C6E630" w14:textId="77777777" w:rsidR="00442DC7" w:rsidRPr="00782CDA" w:rsidRDefault="00442DC7" w:rsidP="00782CDA">
      <w:pPr>
        <w:jc w:val="center"/>
        <w:rPr>
          <w:sz w:val="20"/>
          <w:szCs w:val="20"/>
        </w:rPr>
      </w:pPr>
      <w:r w:rsidRPr="00262619">
        <w:rPr>
          <w:sz w:val="20"/>
          <w:szCs w:val="20"/>
        </w:rPr>
        <w:t>Source: Rapp (2015)</w:t>
      </w:r>
    </w:p>
    <w:p w14:paraId="3079BDD8" w14:textId="49FDDF98" w:rsidR="00442DC7" w:rsidRDefault="00442DC7" w:rsidP="00C060C0">
      <w:pPr>
        <w:spacing w:line="360" w:lineRule="auto"/>
        <w:jc w:val="both"/>
        <w:rPr>
          <w:rFonts w:cs="Arial"/>
          <w:sz w:val="24"/>
          <w:szCs w:val="24"/>
        </w:rPr>
      </w:pPr>
      <w:r>
        <w:rPr>
          <w:sz w:val="24"/>
          <w:szCs w:val="24"/>
        </w:rPr>
        <w:t xml:space="preserve">It is widely accepted within industry that the incorrect rinsing of a product can influence the lead content in drinking water. This has resulted in some stakeholders calling </w:t>
      </w:r>
      <w:r>
        <w:rPr>
          <w:rFonts w:cs="Arial"/>
          <w:sz w:val="24"/>
          <w:szCs w:val="24"/>
        </w:rPr>
        <w:t xml:space="preserve">for prescriptive requirements to be included in product standards to ensure that there are clear and unambiguous methods prescribed for the correct rinsing of products. </w:t>
      </w:r>
    </w:p>
    <w:p w14:paraId="7B62D0C4" w14:textId="7EF8DF8F" w:rsidR="00442DC7" w:rsidRDefault="00442DC7" w:rsidP="009C31D8">
      <w:pPr>
        <w:spacing w:line="360" w:lineRule="auto"/>
        <w:jc w:val="both"/>
        <w:rPr>
          <w:rFonts w:cs="Arial"/>
          <w:sz w:val="24"/>
          <w:szCs w:val="24"/>
        </w:rPr>
      </w:pPr>
      <w:r>
        <w:rPr>
          <w:rFonts w:cs="Arial"/>
          <w:sz w:val="24"/>
          <w:szCs w:val="24"/>
        </w:rPr>
        <w:t xml:space="preserve">There is no evidence that manufacturers lack the knowledge or incentive to correctly rinse products. Existing safeguards include WaterMark </w:t>
      </w:r>
      <w:r w:rsidRPr="00185C9F">
        <w:rPr>
          <w:rFonts w:cs="Arial"/>
          <w:sz w:val="24"/>
          <w:szCs w:val="24"/>
        </w:rPr>
        <w:t>Conformity Assessment Bodies (</w:t>
      </w:r>
      <w:r>
        <w:rPr>
          <w:rFonts w:cs="Arial"/>
          <w:sz w:val="24"/>
          <w:szCs w:val="24"/>
        </w:rPr>
        <w:t>WM</w:t>
      </w:r>
      <w:r w:rsidRPr="00185C9F">
        <w:rPr>
          <w:rFonts w:cs="Arial"/>
          <w:sz w:val="24"/>
          <w:szCs w:val="24"/>
        </w:rPr>
        <w:t xml:space="preserve">CABs) </w:t>
      </w:r>
      <w:r>
        <w:rPr>
          <w:rFonts w:cs="Arial"/>
          <w:sz w:val="24"/>
          <w:szCs w:val="24"/>
        </w:rPr>
        <w:t>reviewing</w:t>
      </w:r>
      <w:r w:rsidRPr="00185C9F">
        <w:rPr>
          <w:rFonts w:cs="Arial"/>
          <w:sz w:val="24"/>
          <w:szCs w:val="24"/>
        </w:rPr>
        <w:t xml:space="preserve"> AS</w:t>
      </w:r>
      <w:r>
        <w:rPr>
          <w:rFonts w:cs="Arial"/>
          <w:sz w:val="24"/>
          <w:szCs w:val="24"/>
        </w:rPr>
        <w:t>/NZS</w:t>
      </w:r>
      <w:r w:rsidRPr="00185C9F">
        <w:rPr>
          <w:rFonts w:cs="Arial"/>
          <w:sz w:val="24"/>
          <w:szCs w:val="24"/>
        </w:rPr>
        <w:t xml:space="preserve"> 4020 testing of plumbing products at the initial manufacturing process stage</w:t>
      </w:r>
      <w:r>
        <w:rPr>
          <w:rFonts w:cs="Arial"/>
          <w:sz w:val="24"/>
          <w:szCs w:val="24"/>
        </w:rPr>
        <w:t>, which would generally reveal a product’s susceptibility to short term lead release</w:t>
      </w:r>
      <w:r w:rsidRPr="00185C9F">
        <w:rPr>
          <w:rFonts w:cs="Arial"/>
          <w:sz w:val="24"/>
          <w:szCs w:val="24"/>
        </w:rPr>
        <w:t xml:space="preserve">. </w:t>
      </w:r>
      <w:r>
        <w:rPr>
          <w:rFonts w:cs="Arial"/>
          <w:sz w:val="24"/>
          <w:szCs w:val="24"/>
        </w:rPr>
        <w:t>Independent</w:t>
      </w:r>
      <w:r w:rsidRPr="00185C9F">
        <w:rPr>
          <w:rFonts w:cs="Arial"/>
          <w:sz w:val="24"/>
          <w:szCs w:val="24"/>
        </w:rPr>
        <w:t xml:space="preserve"> AS</w:t>
      </w:r>
      <w:r>
        <w:rPr>
          <w:rFonts w:cs="Arial"/>
          <w:sz w:val="24"/>
          <w:szCs w:val="24"/>
        </w:rPr>
        <w:t>/NZS</w:t>
      </w:r>
      <w:r w:rsidRPr="00185C9F">
        <w:rPr>
          <w:rFonts w:cs="Arial"/>
          <w:sz w:val="24"/>
          <w:szCs w:val="24"/>
        </w:rPr>
        <w:t xml:space="preserve"> 4020 testing of plumbing products is also </w:t>
      </w:r>
      <w:r>
        <w:rPr>
          <w:rFonts w:cs="Arial"/>
          <w:sz w:val="24"/>
          <w:szCs w:val="24"/>
        </w:rPr>
        <w:t>review</w:t>
      </w:r>
      <w:r w:rsidRPr="00185C9F">
        <w:rPr>
          <w:rFonts w:cs="Arial"/>
          <w:sz w:val="24"/>
          <w:szCs w:val="24"/>
        </w:rPr>
        <w:t xml:space="preserve">ed by the </w:t>
      </w:r>
      <w:r>
        <w:rPr>
          <w:rFonts w:cs="Arial"/>
          <w:sz w:val="24"/>
          <w:szCs w:val="24"/>
        </w:rPr>
        <w:t>WM</w:t>
      </w:r>
      <w:r w:rsidRPr="00185C9F">
        <w:rPr>
          <w:rFonts w:cs="Arial"/>
          <w:sz w:val="24"/>
          <w:szCs w:val="24"/>
        </w:rPr>
        <w:t>CABs</w:t>
      </w:r>
      <w:r w:rsidR="00B94CE9">
        <w:rPr>
          <w:rFonts w:cs="Arial"/>
          <w:sz w:val="24"/>
          <w:szCs w:val="24"/>
        </w:rPr>
        <w:t xml:space="preserve"> every five</w:t>
      </w:r>
      <w:r>
        <w:rPr>
          <w:rFonts w:cs="Arial"/>
          <w:sz w:val="24"/>
          <w:szCs w:val="24"/>
        </w:rPr>
        <w:t xml:space="preserve"> years, as part of WaterMark re-certification, or when there has been a change in the manufacturing process, materials, design or specification. </w:t>
      </w:r>
    </w:p>
    <w:p w14:paraId="1A000500" w14:textId="0697E3BC" w:rsidR="00442DC7" w:rsidRDefault="00442DC7" w:rsidP="009C31D8">
      <w:pPr>
        <w:spacing w:line="360" w:lineRule="auto"/>
        <w:jc w:val="both"/>
        <w:rPr>
          <w:rFonts w:cs="Arial"/>
          <w:sz w:val="24"/>
          <w:szCs w:val="24"/>
        </w:rPr>
      </w:pPr>
      <w:r>
        <w:rPr>
          <w:rFonts w:cs="Arial"/>
          <w:sz w:val="24"/>
          <w:szCs w:val="24"/>
        </w:rPr>
        <w:t xml:space="preserve">Despite these safeguards, there remains some concerns, as expressed by industry during consultation, regarding the short-term release of lead from incorrect rinsing procedures. These concerns will be referred to Standards Australia for the consideration of each relevant Standards </w:t>
      </w:r>
      <w:r w:rsidR="003F60CD">
        <w:rPr>
          <w:rFonts w:cs="Arial"/>
          <w:sz w:val="24"/>
          <w:szCs w:val="24"/>
        </w:rPr>
        <w:t xml:space="preserve">Australia Technical </w:t>
      </w:r>
      <w:r>
        <w:rPr>
          <w:rFonts w:cs="Arial"/>
          <w:sz w:val="24"/>
          <w:szCs w:val="24"/>
        </w:rPr>
        <w:t xml:space="preserve">Committee.  </w:t>
      </w:r>
    </w:p>
    <w:p w14:paraId="2990FED4" w14:textId="77777777" w:rsidR="00442DC7" w:rsidRPr="003B0155" w:rsidRDefault="00442DC7" w:rsidP="00E00560">
      <w:pPr>
        <w:pStyle w:val="Heading4"/>
        <w:spacing w:after="120"/>
        <w:rPr>
          <w:rFonts w:ascii="Arial" w:hAnsi="Arial" w:cs="Arial"/>
          <w:b w:val="0"/>
          <w:bCs w:val="0"/>
          <w:sz w:val="28"/>
          <w:szCs w:val="28"/>
        </w:rPr>
      </w:pPr>
      <w:r w:rsidRPr="003B0155">
        <w:rPr>
          <w:rFonts w:ascii="Arial" w:hAnsi="Arial" w:cs="Arial"/>
          <w:b w:val="0"/>
          <w:bCs w:val="0"/>
          <w:sz w:val="28"/>
          <w:szCs w:val="28"/>
        </w:rPr>
        <w:lastRenderedPageBreak/>
        <w:t>Long-term lead release</w:t>
      </w:r>
    </w:p>
    <w:p w14:paraId="3A8CDEF0" w14:textId="46C1EE71" w:rsidR="00442DC7" w:rsidRPr="00A10A3B" w:rsidRDefault="00442DC7" w:rsidP="00005180">
      <w:pPr>
        <w:spacing w:line="360" w:lineRule="auto"/>
        <w:jc w:val="both"/>
        <w:rPr>
          <w:sz w:val="24"/>
          <w:szCs w:val="24"/>
        </w:rPr>
      </w:pPr>
      <w:r w:rsidRPr="00A10A3B">
        <w:rPr>
          <w:sz w:val="24"/>
          <w:szCs w:val="24"/>
        </w:rPr>
        <w:t xml:space="preserve">The causes of long-term lead leaching into drinking water are well studied. With time, </w:t>
      </w:r>
      <w:r w:rsidRPr="003B58FB">
        <w:rPr>
          <w:sz w:val="24"/>
          <w:szCs w:val="24"/>
        </w:rPr>
        <w:t>zinc in brass is preferentially lost relative to copper</w:t>
      </w:r>
      <w:r w:rsidRPr="000E5109">
        <w:rPr>
          <w:sz w:val="24"/>
          <w:szCs w:val="24"/>
        </w:rPr>
        <w:t>.</w:t>
      </w:r>
      <w:r w:rsidRPr="00A10A3B">
        <w:rPr>
          <w:sz w:val="24"/>
          <w:szCs w:val="24"/>
          <w:vertAlign w:val="superscript"/>
        </w:rPr>
        <w:footnoteReference w:id="22"/>
      </w:r>
      <w:r w:rsidRPr="00A10A3B">
        <w:rPr>
          <w:sz w:val="24"/>
          <w:szCs w:val="24"/>
        </w:rPr>
        <w:t xml:space="preserve"> This process is known as dezincification. The effect of dezincification is shown by </w:t>
      </w:r>
      <w:r w:rsidRPr="00A10A3B">
        <w:rPr>
          <w:sz w:val="24"/>
          <w:szCs w:val="24"/>
        </w:rPr>
        <w:fldChar w:fldCharType="begin"/>
      </w:r>
      <w:r w:rsidRPr="004A1DC2">
        <w:rPr>
          <w:sz w:val="24"/>
          <w:szCs w:val="24"/>
        </w:rPr>
        <w:instrText xml:space="preserve"> REF _Ref51324015 \h </w:instrText>
      </w:r>
      <w:r>
        <w:rPr>
          <w:sz w:val="24"/>
          <w:szCs w:val="24"/>
        </w:rPr>
        <w:instrText xml:space="preserve"> \* MERGEFORMAT </w:instrText>
      </w:r>
      <w:r w:rsidRPr="00A10A3B">
        <w:rPr>
          <w:sz w:val="24"/>
          <w:szCs w:val="24"/>
        </w:rPr>
      </w:r>
      <w:r w:rsidRPr="00A10A3B">
        <w:rPr>
          <w:sz w:val="24"/>
          <w:szCs w:val="24"/>
        </w:rPr>
        <w:fldChar w:fldCharType="separate"/>
      </w:r>
      <w:r w:rsidRPr="001102FB">
        <w:rPr>
          <w:sz w:val="24"/>
          <w:szCs w:val="24"/>
        </w:rPr>
        <w:t xml:space="preserve">Figure </w:t>
      </w:r>
      <w:r w:rsidRPr="001102FB">
        <w:rPr>
          <w:noProof/>
          <w:sz w:val="24"/>
          <w:szCs w:val="24"/>
        </w:rPr>
        <w:t>2</w:t>
      </w:r>
      <w:r w:rsidRPr="00A10A3B">
        <w:rPr>
          <w:sz w:val="24"/>
          <w:szCs w:val="24"/>
        </w:rPr>
        <w:fldChar w:fldCharType="end"/>
      </w:r>
      <w:r w:rsidRPr="00A10A3B">
        <w:rPr>
          <w:sz w:val="24"/>
          <w:szCs w:val="24"/>
        </w:rPr>
        <w:t xml:space="preserve">. </w:t>
      </w:r>
    </w:p>
    <w:p w14:paraId="49516172" w14:textId="48FC9517" w:rsidR="00442DC7" w:rsidRPr="002304B0" w:rsidRDefault="00442DC7" w:rsidP="004C6304">
      <w:pPr>
        <w:pStyle w:val="Caption"/>
      </w:pPr>
      <w:bookmarkStart w:id="68" w:name="_Ref51324015"/>
      <w:bookmarkStart w:id="69" w:name="_Toc73028095"/>
      <w:r w:rsidRPr="00953C5A">
        <w:t>Figure</w:t>
      </w:r>
      <w:r w:rsidRPr="002304B0">
        <w:t xml:space="preserve"> </w:t>
      </w:r>
      <w:r w:rsidR="00362D62">
        <w:rPr>
          <w:noProof/>
        </w:rPr>
        <w:fldChar w:fldCharType="begin"/>
      </w:r>
      <w:r w:rsidR="00362D62">
        <w:rPr>
          <w:noProof/>
        </w:rPr>
        <w:instrText xml:space="preserve"> SEQ Figure \* ARABIC </w:instrText>
      </w:r>
      <w:r w:rsidR="00362D62">
        <w:rPr>
          <w:noProof/>
        </w:rPr>
        <w:fldChar w:fldCharType="separate"/>
      </w:r>
      <w:r>
        <w:rPr>
          <w:noProof/>
        </w:rPr>
        <w:t>2</w:t>
      </w:r>
      <w:r w:rsidR="00362D62">
        <w:rPr>
          <w:noProof/>
        </w:rPr>
        <w:fldChar w:fldCharType="end"/>
      </w:r>
      <w:bookmarkEnd w:id="68"/>
      <w:r w:rsidRPr="002304B0">
        <w:t xml:space="preserve">: </w:t>
      </w:r>
      <w:r w:rsidRPr="00953C5A">
        <w:t>Effects of dezincification on lead releasing from the bulk alloy</w:t>
      </w:r>
      <w:r w:rsidRPr="002304B0">
        <w:rPr>
          <w:rStyle w:val="FootnoteReference"/>
        </w:rPr>
        <w:footnoteReference w:id="23"/>
      </w:r>
      <w:bookmarkEnd w:id="69"/>
    </w:p>
    <w:p w14:paraId="52143E76" w14:textId="77777777" w:rsidR="00442DC7" w:rsidRDefault="00442DC7" w:rsidP="008E20D7">
      <w:pPr>
        <w:spacing w:after="0" w:line="360" w:lineRule="auto"/>
        <w:jc w:val="center"/>
        <w:rPr>
          <w:sz w:val="24"/>
          <w:szCs w:val="24"/>
        </w:rPr>
      </w:pPr>
      <w:r>
        <w:rPr>
          <w:noProof/>
          <w:lang w:eastAsia="en-AU"/>
        </w:rPr>
        <w:drawing>
          <wp:inline distT="0" distB="0" distL="0" distR="0" wp14:anchorId="24136264" wp14:editId="16B26322">
            <wp:extent cx="4870450" cy="2336800"/>
            <wp:effectExtent l="0" t="0" r="6350" b="6350"/>
            <wp:docPr id="2" name="Picture 2" descr="Figure 2: Effects of dezincification of lead releasing from the bulk alloy. Figure shows the effects of dezincification of lead release over time. "/>
            <wp:cNvGraphicFramePr/>
            <a:graphic xmlns:a="http://schemas.openxmlformats.org/drawingml/2006/main">
              <a:graphicData uri="http://schemas.openxmlformats.org/drawingml/2006/picture">
                <pic:pic xmlns:pic="http://schemas.openxmlformats.org/drawingml/2006/picture">
                  <pic:nvPicPr>
                    <pic:cNvPr id="2" name="Picture 2" descr="Figure 2: Effects of dezincification of lead releasing from the bulk alloy. Figure shows the effects of dezincification of lead release over time. "/>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004944" cy="2401329"/>
                    </a:xfrm>
                    <a:prstGeom prst="rect">
                      <a:avLst/>
                    </a:prstGeom>
                    <a:noFill/>
                    <a:ln>
                      <a:noFill/>
                    </a:ln>
                  </pic:spPr>
                </pic:pic>
              </a:graphicData>
            </a:graphic>
          </wp:inline>
        </w:drawing>
      </w:r>
    </w:p>
    <w:p w14:paraId="6DAD0BDB" w14:textId="77777777" w:rsidR="00442DC7" w:rsidRPr="00262619" w:rsidRDefault="00442DC7" w:rsidP="008E20D7">
      <w:pPr>
        <w:jc w:val="center"/>
        <w:rPr>
          <w:sz w:val="20"/>
          <w:szCs w:val="20"/>
        </w:rPr>
      </w:pPr>
      <w:r w:rsidRPr="00262619">
        <w:rPr>
          <w:sz w:val="20"/>
          <w:szCs w:val="20"/>
        </w:rPr>
        <w:t>Source: Rapp (2015)</w:t>
      </w:r>
    </w:p>
    <w:p w14:paraId="22ACCC58" w14:textId="77777777" w:rsidR="00442DC7" w:rsidRDefault="00442DC7" w:rsidP="00765051">
      <w:pPr>
        <w:spacing w:line="360" w:lineRule="auto"/>
        <w:jc w:val="both"/>
        <w:rPr>
          <w:sz w:val="24"/>
          <w:szCs w:val="24"/>
        </w:rPr>
      </w:pPr>
      <w:r>
        <w:rPr>
          <w:sz w:val="24"/>
          <w:szCs w:val="24"/>
        </w:rPr>
        <w:t>The above figure shows the lead leaching rate of a common brass product over time.</w:t>
      </w:r>
      <w:r w:rsidRPr="00C254CC">
        <w:rPr>
          <w:sz w:val="24"/>
          <w:szCs w:val="24"/>
          <w:vertAlign w:val="superscript"/>
        </w:rPr>
        <w:footnoteReference w:id="24"/>
      </w:r>
      <w:r>
        <w:rPr>
          <w:sz w:val="24"/>
          <w:szCs w:val="24"/>
        </w:rPr>
        <w:t xml:space="preserve"> After 20 weeks, lead is released at high levels as a direct result of dezincification; that is, lead leaching due to zinc being preferentially lost to copper within the bulk alloy containing lead. </w:t>
      </w:r>
    </w:p>
    <w:p w14:paraId="5A280224" w14:textId="4704E470" w:rsidR="00442DC7" w:rsidRDefault="00442DC7" w:rsidP="004C6FA2">
      <w:pPr>
        <w:spacing w:line="360" w:lineRule="auto"/>
        <w:jc w:val="both"/>
        <w:rPr>
          <w:sz w:val="24"/>
          <w:szCs w:val="24"/>
        </w:rPr>
      </w:pPr>
      <w:r>
        <w:rPr>
          <w:sz w:val="24"/>
          <w:szCs w:val="24"/>
        </w:rPr>
        <w:t xml:space="preserve">During consultation, enHealth and the NHMRC highlighted that lead leaching from the bulk alloy can occur much earlier than 20 weeks, citing the recent examples of high lead concentrations being found in Australian drinking water. </w:t>
      </w:r>
    </w:p>
    <w:p w14:paraId="4BE7056E" w14:textId="77777777" w:rsidR="00442DC7" w:rsidRDefault="00442DC7" w:rsidP="004C6FA2">
      <w:pPr>
        <w:spacing w:line="360" w:lineRule="auto"/>
        <w:jc w:val="both"/>
        <w:rPr>
          <w:sz w:val="24"/>
          <w:szCs w:val="24"/>
        </w:rPr>
      </w:pPr>
      <w:r>
        <w:rPr>
          <w:sz w:val="24"/>
          <w:szCs w:val="24"/>
        </w:rPr>
        <w:t>The possibility of lead leaching from the bulk alloy prior to 20 weeks is not disputed and the findings of Rapp (2015) was included in the Consultation RIS as general explanation of the dezincification process only.</w:t>
      </w:r>
      <w:r w:rsidRPr="00C060C0">
        <w:rPr>
          <w:sz w:val="24"/>
          <w:szCs w:val="24"/>
        </w:rPr>
        <w:t xml:space="preserve"> </w:t>
      </w:r>
    </w:p>
    <w:p w14:paraId="78C82B71" w14:textId="77777777" w:rsidR="00442DC7" w:rsidRDefault="00442DC7" w:rsidP="004C6FA2">
      <w:pPr>
        <w:spacing w:line="360" w:lineRule="auto"/>
        <w:jc w:val="both"/>
        <w:rPr>
          <w:sz w:val="24"/>
          <w:szCs w:val="24"/>
        </w:rPr>
      </w:pPr>
      <w:r>
        <w:rPr>
          <w:sz w:val="24"/>
          <w:szCs w:val="24"/>
        </w:rPr>
        <w:t>The rate of long-term lead release from certain copper alloy plumbing products is influenced by a number of factors, including:</w:t>
      </w:r>
    </w:p>
    <w:p w14:paraId="32379021" w14:textId="77777777" w:rsidR="00442DC7" w:rsidRPr="00606555" w:rsidRDefault="00442DC7" w:rsidP="009548F2">
      <w:pPr>
        <w:pStyle w:val="ListParagraph"/>
        <w:numPr>
          <w:ilvl w:val="0"/>
          <w:numId w:val="10"/>
        </w:numPr>
        <w:spacing w:line="360" w:lineRule="auto"/>
        <w:ind w:left="714" w:hanging="357"/>
        <w:jc w:val="both"/>
        <w:rPr>
          <w:rFonts w:cs="Arial"/>
          <w:bCs/>
          <w:iCs/>
          <w:sz w:val="24"/>
          <w:szCs w:val="24"/>
        </w:rPr>
      </w:pPr>
      <w:r w:rsidRPr="00606555">
        <w:rPr>
          <w:rFonts w:cs="Arial"/>
          <w:bCs/>
          <w:iCs/>
          <w:sz w:val="24"/>
          <w:szCs w:val="24"/>
        </w:rPr>
        <w:lastRenderedPageBreak/>
        <w:t>The surface characteristics of the product in contact with water. These characteristics will change over time dependant on the metal composition and water chemistry. The initial release of the surface lead film is followed by corrosion reactions which may produce a protective surface film or may lead to dezincification and continued release of lead from the body of the material.</w:t>
      </w:r>
    </w:p>
    <w:p w14:paraId="18A1020E" w14:textId="0E182318" w:rsidR="00442DC7" w:rsidRDefault="00442DC7" w:rsidP="009548F2">
      <w:pPr>
        <w:pStyle w:val="ListParagraph"/>
        <w:numPr>
          <w:ilvl w:val="0"/>
          <w:numId w:val="10"/>
        </w:numPr>
        <w:spacing w:after="240" w:line="360" w:lineRule="auto"/>
        <w:ind w:left="714" w:hanging="357"/>
        <w:jc w:val="both"/>
        <w:rPr>
          <w:rFonts w:cs="Arial"/>
          <w:bCs/>
          <w:iCs/>
          <w:sz w:val="24"/>
          <w:szCs w:val="24"/>
        </w:rPr>
      </w:pPr>
      <w:r>
        <w:rPr>
          <w:rFonts w:cs="Arial"/>
          <w:bCs/>
          <w:iCs/>
          <w:sz w:val="24"/>
          <w:szCs w:val="24"/>
        </w:rPr>
        <w:t xml:space="preserve">The presence of chlorine. </w:t>
      </w:r>
      <w:r w:rsidRPr="005222C8">
        <w:rPr>
          <w:rFonts w:cs="Arial"/>
          <w:bCs/>
          <w:iCs/>
          <w:sz w:val="24"/>
          <w:szCs w:val="24"/>
        </w:rPr>
        <w:t xml:space="preserve">High chlorine concentration usually increases metal release. </w:t>
      </w:r>
      <w:r>
        <w:rPr>
          <w:rFonts w:cs="Arial"/>
          <w:bCs/>
          <w:iCs/>
          <w:sz w:val="24"/>
          <w:szCs w:val="24"/>
        </w:rPr>
        <w:t>However, these levels are not common or permitted by the ADWG.</w:t>
      </w:r>
    </w:p>
    <w:p w14:paraId="73D8922C" w14:textId="77777777" w:rsidR="00442DC7" w:rsidRDefault="00442DC7" w:rsidP="009548F2">
      <w:pPr>
        <w:pStyle w:val="ListParagraph"/>
        <w:numPr>
          <w:ilvl w:val="0"/>
          <w:numId w:val="10"/>
        </w:numPr>
        <w:spacing w:after="240" w:line="360" w:lineRule="auto"/>
        <w:ind w:left="714" w:hanging="357"/>
        <w:jc w:val="both"/>
        <w:rPr>
          <w:rFonts w:cs="Arial"/>
          <w:bCs/>
          <w:iCs/>
          <w:sz w:val="24"/>
          <w:szCs w:val="24"/>
        </w:rPr>
      </w:pPr>
      <w:r>
        <w:rPr>
          <w:rFonts w:cs="Arial"/>
          <w:bCs/>
          <w:iCs/>
          <w:sz w:val="24"/>
          <w:szCs w:val="24"/>
        </w:rPr>
        <w:t xml:space="preserve">The velocity of the water within the plumbing system. Increased flow rates have been shown to speed up the dezincification process. </w:t>
      </w:r>
    </w:p>
    <w:p w14:paraId="566C9FF0" w14:textId="5D4E6D19" w:rsidR="00442DC7" w:rsidRPr="00142215" w:rsidRDefault="00442DC7" w:rsidP="009548F2">
      <w:pPr>
        <w:pStyle w:val="ListParagraph"/>
        <w:numPr>
          <w:ilvl w:val="0"/>
          <w:numId w:val="10"/>
        </w:numPr>
        <w:spacing w:after="240" w:line="360" w:lineRule="auto"/>
        <w:ind w:left="714" w:hanging="357"/>
        <w:jc w:val="both"/>
        <w:rPr>
          <w:rFonts w:cs="Arial"/>
          <w:bCs/>
          <w:iCs/>
          <w:sz w:val="24"/>
          <w:szCs w:val="24"/>
        </w:rPr>
      </w:pPr>
      <w:r>
        <w:rPr>
          <w:rFonts w:cs="Arial"/>
          <w:bCs/>
          <w:iCs/>
          <w:sz w:val="24"/>
          <w:szCs w:val="24"/>
        </w:rPr>
        <w:t>The potential for galvanic corrosion where lead solder is used</w:t>
      </w:r>
      <w:r w:rsidR="00B22235">
        <w:rPr>
          <w:rFonts w:cs="Arial"/>
          <w:bCs/>
          <w:iCs/>
          <w:sz w:val="24"/>
          <w:szCs w:val="24"/>
        </w:rPr>
        <w:t>, h</w:t>
      </w:r>
      <w:r>
        <w:rPr>
          <w:rFonts w:cs="Arial"/>
          <w:bCs/>
          <w:iCs/>
          <w:sz w:val="24"/>
          <w:szCs w:val="24"/>
        </w:rPr>
        <w:t xml:space="preserve">owever lead solder is no longer permitted in new plumbing work and as such, this source of lead is limited to existing plumbing work. </w:t>
      </w:r>
    </w:p>
    <w:p w14:paraId="2040A111" w14:textId="77777777" w:rsidR="00442DC7" w:rsidRPr="00606555" w:rsidRDefault="00442DC7" w:rsidP="003A53FA">
      <w:pPr>
        <w:spacing w:line="360" w:lineRule="auto"/>
        <w:jc w:val="both"/>
        <w:rPr>
          <w:sz w:val="24"/>
          <w:szCs w:val="24"/>
        </w:rPr>
      </w:pPr>
      <w:r w:rsidRPr="00606555">
        <w:rPr>
          <w:sz w:val="24"/>
          <w:szCs w:val="24"/>
        </w:rPr>
        <w:t>A report by the Water Industry Research Limited in the United Kingdom in 2016 on long</w:t>
      </w:r>
      <w:r>
        <w:rPr>
          <w:sz w:val="24"/>
          <w:szCs w:val="24"/>
        </w:rPr>
        <w:t>-</w:t>
      </w:r>
      <w:r w:rsidRPr="00606555">
        <w:rPr>
          <w:sz w:val="24"/>
          <w:szCs w:val="24"/>
        </w:rPr>
        <w:t>term testing of brass fittings found:</w:t>
      </w:r>
    </w:p>
    <w:p w14:paraId="6A6FCBB6" w14:textId="77777777" w:rsidR="00442DC7" w:rsidRPr="00606555" w:rsidRDefault="00442DC7" w:rsidP="003A53FA">
      <w:pPr>
        <w:pStyle w:val="ListParagraph"/>
        <w:numPr>
          <w:ilvl w:val="0"/>
          <w:numId w:val="10"/>
        </w:numPr>
        <w:spacing w:line="360" w:lineRule="auto"/>
        <w:jc w:val="both"/>
        <w:rPr>
          <w:rFonts w:cs="Arial"/>
          <w:bCs/>
          <w:iCs/>
          <w:sz w:val="24"/>
          <w:szCs w:val="24"/>
        </w:rPr>
      </w:pPr>
      <w:r w:rsidRPr="00606555">
        <w:rPr>
          <w:rFonts w:cs="Arial"/>
          <w:bCs/>
          <w:iCs/>
          <w:sz w:val="24"/>
          <w:szCs w:val="24"/>
        </w:rPr>
        <w:t xml:space="preserve">The majority of </w:t>
      </w:r>
      <w:r>
        <w:rPr>
          <w:rFonts w:cs="Arial"/>
          <w:bCs/>
          <w:iCs/>
          <w:sz w:val="24"/>
          <w:szCs w:val="24"/>
        </w:rPr>
        <w:t>copper alloy</w:t>
      </w:r>
      <w:r w:rsidRPr="00606555">
        <w:rPr>
          <w:rFonts w:cs="Arial"/>
          <w:bCs/>
          <w:iCs/>
          <w:sz w:val="24"/>
          <w:szCs w:val="24"/>
        </w:rPr>
        <w:t xml:space="preserve"> fittings exhibited a steady</w:t>
      </w:r>
      <w:r>
        <w:rPr>
          <w:rFonts w:cs="Arial"/>
          <w:bCs/>
          <w:iCs/>
          <w:sz w:val="24"/>
          <w:szCs w:val="24"/>
        </w:rPr>
        <w:t>,</w:t>
      </w:r>
      <w:r w:rsidRPr="00606555">
        <w:rPr>
          <w:rFonts w:cs="Arial"/>
          <w:bCs/>
          <w:iCs/>
          <w:sz w:val="24"/>
          <w:szCs w:val="24"/>
        </w:rPr>
        <w:t xml:space="preserve"> but low</w:t>
      </w:r>
      <w:r>
        <w:rPr>
          <w:rFonts w:cs="Arial"/>
          <w:bCs/>
          <w:iCs/>
          <w:sz w:val="24"/>
          <w:szCs w:val="24"/>
        </w:rPr>
        <w:t>,</w:t>
      </w:r>
      <w:r w:rsidRPr="00606555">
        <w:rPr>
          <w:rFonts w:cs="Arial"/>
          <w:bCs/>
          <w:iCs/>
          <w:sz w:val="24"/>
          <w:szCs w:val="24"/>
        </w:rPr>
        <w:t xml:space="preserve"> rate of metal leaching throughout the year. </w:t>
      </w:r>
    </w:p>
    <w:p w14:paraId="5DE6EA58" w14:textId="77777777" w:rsidR="00442DC7" w:rsidRPr="00606555" w:rsidRDefault="00442DC7" w:rsidP="003A53FA">
      <w:pPr>
        <w:pStyle w:val="ListParagraph"/>
        <w:numPr>
          <w:ilvl w:val="0"/>
          <w:numId w:val="10"/>
        </w:numPr>
        <w:spacing w:line="360" w:lineRule="auto"/>
        <w:jc w:val="both"/>
        <w:rPr>
          <w:rFonts w:cs="Arial"/>
          <w:bCs/>
          <w:iCs/>
          <w:sz w:val="24"/>
          <w:szCs w:val="24"/>
        </w:rPr>
      </w:pPr>
      <w:r w:rsidRPr="00606555">
        <w:rPr>
          <w:rFonts w:cs="Arial"/>
          <w:bCs/>
          <w:iCs/>
          <w:sz w:val="24"/>
          <w:szCs w:val="24"/>
        </w:rPr>
        <w:t xml:space="preserve">The yields of lead from combinations of some fittings had the potential to </w:t>
      </w:r>
      <w:r>
        <w:rPr>
          <w:rFonts w:cs="Arial"/>
          <w:bCs/>
          <w:iCs/>
          <w:sz w:val="24"/>
          <w:szCs w:val="24"/>
        </w:rPr>
        <w:t>result in lead concentrations being higher than permitted</w:t>
      </w:r>
      <w:r w:rsidRPr="00606555">
        <w:rPr>
          <w:rFonts w:cs="Arial"/>
          <w:bCs/>
          <w:iCs/>
          <w:sz w:val="24"/>
          <w:szCs w:val="24"/>
        </w:rPr>
        <w:t xml:space="preserve"> in a random daytime sample. This occurred when stagnation was 8 hours or greater and when high </w:t>
      </w:r>
      <w:r>
        <w:rPr>
          <w:rFonts w:cs="Arial"/>
          <w:bCs/>
          <w:iCs/>
          <w:sz w:val="24"/>
          <w:szCs w:val="24"/>
        </w:rPr>
        <w:t>lead</w:t>
      </w:r>
      <w:r w:rsidRPr="00606555">
        <w:rPr>
          <w:rFonts w:cs="Arial"/>
          <w:bCs/>
          <w:iCs/>
          <w:sz w:val="24"/>
          <w:szCs w:val="24"/>
        </w:rPr>
        <w:t xml:space="preserve"> content fittings were exposed to non-phosphate dosed waters.  </w:t>
      </w:r>
    </w:p>
    <w:p w14:paraId="7EB91B04" w14:textId="77777777" w:rsidR="00442DC7" w:rsidRPr="00606555" w:rsidRDefault="00442DC7" w:rsidP="003A53FA">
      <w:pPr>
        <w:pStyle w:val="ListParagraph"/>
        <w:numPr>
          <w:ilvl w:val="0"/>
          <w:numId w:val="10"/>
        </w:numPr>
        <w:spacing w:line="360" w:lineRule="auto"/>
        <w:jc w:val="both"/>
        <w:rPr>
          <w:rFonts w:cs="Arial"/>
          <w:bCs/>
          <w:iCs/>
          <w:sz w:val="24"/>
          <w:szCs w:val="24"/>
        </w:rPr>
      </w:pPr>
      <w:r w:rsidRPr="00606555">
        <w:rPr>
          <w:rFonts w:cs="Arial"/>
          <w:bCs/>
          <w:iCs/>
          <w:sz w:val="24"/>
          <w:szCs w:val="24"/>
        </w:rPr>
        <w:t>All low lead fittings tested showed significantly less lead and nickel leaching compared with their leaded</w:t>
      </w:r>
      <w:r>
        <w:rPr>
          <w:rFonts w:cs="Arial"/>
          <w:bCs/>
          <w:iCs/>
          <w:sz w:val="24"/>
          <w:szCs w:val="24"/>
        </w:rPr>
        <w:t xml:space="preserve"> copper alloy</w:t>
      </w:r>
      <w:r w:rsidRPr="00606555">
        <w:rPr>
          <w:rFonts w:cs="Arial"/>
          <w:bCs/>
          <w:iCs/>
          <w:sz w:val="24"/>
          <w:szCs w:val="24"/>
        </w:rPr>
        <w:t xml:space="preserve"> counterparts. </w:t>
      </w:r>
    </w:p>
    <w:p w14:paraId="1E4E5B9F" w14:textId="77777777" w:rsidR="00442DC7" w:rsidRPr="000C71AF" w:rsidRDefault="00442DC7" w:rsidP="000C71AF">
      <w:pPr>
        <w:pStyle w:val="ListParagraph"/>
        <w:numPr>
          <w:ilvl w:val="0"/>
          <w:numId w:val="10"/>
        </w:numPr>
        <w:spacing w:line="360" w:lineRule="auto"/>
        <w:jc w:val="both"/>
        <w:rPr>
          <w:rFonts w:cs="Arial"/>
          <w:bCs/>
          <w:iCs/>
          <w:sz w:val="24"/>
          <w:szCs w:val="24"/>
        </w:rPr>
      </w:pPr>
      <w:r w:rsidRPr="00606555">
        <w:rPr>
          <w:rFonts w:cs="Arial"/>
          <w:bCs/>
          <w:iCs/>
          <w:sz w:val="24"/>
          <w:szCs w:val="24"/>
        </w:rPr>
        <w:t>Neither seasonal</w:t>
      </w:r>
      <w:r>
        <w:rPr>
          <w:rFonts w:cs="Arial"/>
          <w:bCs/>
          <w:iCs/>
          <w:sz w:val="24"/>
          <w:szCs w:val="24"/>
        </w:rPr>
        <w:t xml:space="preserve"> or stagnation</w:t>
      </w:r>
      <w:r w:rsidRPr="00606555">
        <w:rPr>
          <w:rFonts w:cs="Arial"/>
          <w:bCs/>
          <w:iCs/>
          <w:sz w:val="24"/>
          <w:szCs w:val="24"/>
        </w:rPr>
        <w:t xml:space="preserve"> temperatures appeared to significantly contribute to the leaching for the metals. </w:t>
      </w:r>
    </w:p>
    <w:p w14:paraId="3F1D9D48" w14:textId="77777777" w:rsidR="00442DC7" w:rsidRPr="003B0155" w:rsidRDefault="00442DC7" w:rsidP="002304B0">
      <w:pPr>
        <w:pStyle w:val="Heading2"/>
        <w:rPr>
          <w:rFonts w:ascii="Arial" w:hAnsi="Arial" w:cs="Arial"/>
          <w:b w:val="0"/>
          <w:bCs w:val="0"/>
          <w:sz w:val="28"/>
          <w:szCs w:val="28"/>
        </w:rPr>
      </w:pPr>
      <w:bookmarkStart w:id="70" w:name="_Toc53963030"/>
      <w:bookmarkStart w:id="71" w:name="_Toc70887784"/>
      <w:bookmarkStart w:id="72" w:name="_Toc71195735"/>
      <w:bookmarkStart w:id="73" w:name="_Toc71789262"/>
      <w:r w:rsidRPr="003B0155">
        <w:rPr>
          <w:rFonts w:ascii="Arial" w:hAnsi="Arial" w:cs="Arial"/>
          <w:b w:val="0"/>
          <w:bCs w:val="0"/>
          <w:sz w:val="28"/>
          <w:szCs w:val="28"/>
        </w:rPr>
        <w:t>Parameters affecting lead release</w:t>
      </w:r>
      <w:bookmarkEnd w:id="70"/>
      <w:bookmarkEnd w:id="71"/>
      <w:bookmarkEnd w:id="72"/>
      <w:bookmarkEnd w:id="73"/>
    </w:p>
    <w:p w14:paraId="6E27A7AC" w14:textId="0841A9CE" w:rsidR="00442DC7" w:rsidRPr="00C96974" w:rsidRDefault="00442DC7" w:rsidP="002304B0">
      <w:pPr>
        <w:spacing w:before="240" w:after="240" w:line="360" w:lineRule="auto"/>
        <w:jc w:val="both"/>
        <w:rPr>
          <w:sz w:val="24"/>
          <w:szCs w:val="24"/>
        </w:rPr>
      </w:pPr>
      <w:r w:rsidRPr="00142215">
        <w:rPr>
          <w:sz w:val="24"/>
          <w:szCs w:val="24"/>
        </w:rPr>
        <w:t xml:space="preserve">The release of lead is known to be affected by stagnation time and the pH level of the water. </w:t>
      </w:r>
      <w:r w:rsidRPr="00142215">
        <w:rPr>
          <w:rFonts w:cs="Arial"/>
          <w:bCs/>
          <w:iCs/>
          <w:sz w:val="24"/>
          <w:szCs w:val="24"/>
        </w:rPr>
        <w:t xml:space="preserve">The stagnation time that water is in contact with the surface has a significant effect on </w:t>
      </w:r>
      <w:r>
        <w:rPr>
          <w:rFonts w:cs="Arial"/>
          <w:bCs/>
          <w:iCs/>
          <w:sz w:val="24"/>
          <w:szCs w:val="24"/>
        </w:rPr>
        <w:t xml:space="preserve">the </w:t>
      </w:r>
      <w:r w:rsidRPr="00142215">
        <w:rPr>
          <w:rFonts w:cs="Arial"/>
          <w:bCs/>
          <w:iCs/>
          <w:sz w:val="24"/>
          <w:szCs w:val="24"/>
        </w:rPr>
        <w:t>concentration of lead in water. The lead concentration initially increases rapidly in stagnant water for at least 24 hours</w:t>
      </w:r>
      <w:r>
        <w:rPr>
          <w:rFonts w:cs="Arial"/>
          <w:bCs/>
          <w:iCs/>
          <w:sz w:val="24"/>
          <w:szCs w:val="24"/>
        </w:rPr>
        <w:t>,</w:t>
      </w:r>
      <w:r w:rsidRPr="00142215">
        <w:rPr>
          <w:rFonts w:cs="Arial"/>
          <w:bCs/>
          <w:iCs/>
          <w:sz w:val="24"/>
          <w:szCs w:val="24"/>
        </w:rPr>
        <w:t xml:space="preserve"> but then slows until saturation, as shown </w:t>
      </w:r>
      <w:r w:rsidRPr="00212B54">
        <w:rPr>
          <w:rFonts w:cs="Arial"/>
          <w:bCs/>
          <w:iCs/>
          <w:sz w:val="24"/>
          <w:szCs w:val="24"/>
        </w:rPr>
        <w:t xml:space="preserve">in </w:t>
      </w:r>
      <w:r w:rsidRPr="0090327F">
        <w:rPr>
          <w:rFonts w:cs="Arial"/>
          <w:bCs/>
          <w:iCs/>
          <w:sz w:val="24"/>
          <w:szCs w:val="24"/>
        </w:rPr>
        <w:fldChar w:fldCharType="begin"/>
      </w:r>
      <w:r w:rsidRPr="00212B54">
        <w:rPr>
          <w:rFonts w:cs="Arial"/>
          <w:bCs/>
          <w:iCs/>
          <w:sz w:val="24"/>
          <w:szCs w:val="24"/>
        </w:rPr>
        <w:instrText xml:space="preserve"> REF _Ref51324035 \h </w:instrText>
      </w:r>
      <w:r>
        <w:rPr>
          <w:rFonts w:cs="Arial"/>
          <w:bCs/>
          <w:iCs/>
          <w:sz w:val="24"/>
          <w:szCs w:val="24"/>
        </w:rPr>
        <w:instrText xml:space="preserve"> \* MERGEFORMAT </w:instrText>
      </w:r>
      <w:r w:rsidRPr="0090327F">
        <w:rPr>
          <w:rFonts w:cs="Arial"/>
          <w:bCs/>
          <w:iCs/>
          <w:sz w:val="24"/>
          <w:szCs w:val="24"/>
        </w:rPr>
      </w:r>
      <w:r w:rsidRPr="0090327F">
        <w:rPr>
          <w:rFonts w:cs="Arial"/>
          <w:bCs/>
          <w:iCs/>
          <w:sz w:val="24"/>
          <w:szCs w:val="24"/>
        </w:rPr>
        <w:fldChar w:fldCharType="separate"/>
      </w:r>
      <w:r w:rsidRPr="001102FB">
        <w:rPr>
          <w:sz w:val="24"/>
          <w:szCs w:val="24"/>
        </w:rPr>
        <w:t xml:space="preserve">Figure </w:t>
      </w:r>
      <w:r w:rsidRPr="001102FB">
        <w:rPr>
          <w:noProof/>
          <w:sz w:val="24"/>
          <w:szCs w:val="24"/>
        </w:rPr>
        <w:t>3</w:t>
      </w:r>
      <w:r w:rsidRPr="0090327F">
        <w:rPr>
          <w:rFonts w:cs="Arial"/>
          <w:bCs/>
          <w:iCs/>
          <w:sz w:val="24"/>
          <w:szCs w:val="24"/>
        </w:rPr>
        <w:fldChar w:fldCharType="end"/>
      </w:r>
      <w:r w:rsidRPr="00212B54">
        <w:rPr>
          <w:rFonts w:cs="Arial"/>
          <w:bCs/>
          <w:iCs/>
          <w:sz w:val="24"/>
          <w:szCs w:val="24"/>
        </w:rPr>
        <w:t>. Stagnation</w:t>
      </w:r>
      <w:r w:rsidRPr="00142215">
        <w:rPr>
          <w:rFonts w:cs="Arial"/>
          <w:bCs/>
          <w:iCs/>
          <w:sz w:val="24"/>
          <w:szCs w:val="24"/>
        </w:rPr>
        <w:t xml:space="preserve"> times in household plumbing are usually less than 24 hours</w:t>
      </w:r>
      <w:r>
        <w:rPr>
          <w:rFonts w:cs="Arial"/>
          <w:bCs/>
          <w:iCs/>
          <w:sz w:val="24"/>
          <w:szCs w:val="24"/>
        </w:rPr>
        <w:t>,</w:t>
      </w:r>
      <w:r w:rsidRPr="00142215">
        <w:rPr>
          <w:rFonts w:cs="Arial"/>
          <w:bCs/>
          <w:iCs/>
          <w:sz w:val="24"/>
          <w:szCs w:val="24"/>
        </w:rPr>
        <w:t xml:space="preserve"> which is within the timeframe of increasing lead release. </w:t>
      </w:r>
    </w:p>
    <w:p w14:paraId="02586D7F" w14:textId="006C8CE6" w:rsidR="00442DC7" w:rsidRDefault="00442DC7" w:rsidP="002304B0">
      <w:pPr>
        <w:spacing w:line="360" w:lineRule="auto"/>
        <w:jc w:val="both"/>
      </w:pPr>
      <w:r w:rsidRPr="00142215">
        <w:rPr>
          <w:rFonts w:cs="Arial"/>
          <w:bCs/>
          <w:iCs/>
          <w:sz w:val="24"/>
          <w:szCs w:val="24"/>
        </w:rPr>
        <w:lastRenderedPageBreak/>
        <w:t xml:space="preserve">The degree of leaching is affected by the variations in water chemistry – particularly pH and alkalinity. This is </w:t>
      </w:r>
      <w:r>
        <w:rPr>
          <w:rFonts w:cs="Arial"/>
          <w:bCs/>
          <w:iCs/>
          <w:sz w:val="24"/>
          <w:szCs w:val="24"/>
        </w:rPr>
        <w:t xml:space="preserve">also </w:t>
      </w:r>
      <w:r w:rsidRPr="00142215">
        <w:rPr>
          <w:rFonts w:cs="Arial"/>
          <w:bCs/>
          <w:iCs/>
          <w:sz w:val="24"/>
          <w:szCs w:val="24"/>
        </w:rPr>
        <w:t xml:space="preserve">shown in </w:t>
      </w:r>
      <w:r w:rsidRPr="0090327F">
        <w:rPr>
          <w:rFonts w:cs="Arial"/>
          <w:bCs/>
          <w:iCs/>
          <w:sz w:val="24"/>
          <w:szCs w:val="24"/>
        </w:rPr>
        <w:fldChar w:fldCharType="begin"/>
      </w:r>
      <w:r w:rsidRPr="00212B54">
        <w:rPr>
          <w:rFonts w:cs="Arial"/>
          <w:bCs/>
          <w:iCs/>
          <w:sz w:val="24"/>
          <w:szCs w:val="24"/>
        </w:rPr>
        <w:instrText xml:space="preserve"> REF _Ref51324035 \h </w:instrText>
      </w:r>
      <w:r>
        <w:rPr>
          <w:rFonts w:cs="Arial"/>
          <w:bCs/>
          <w:iCs/>
          <w:sz w:val="24"/>
          <w:szCs w:val="24"/>
        </w:rPr>
        <w:instrText xml:space="preserve"> \* MERGEFORMAT </w:instrText>
      </w:r>
      <w:r w:rsidRPr="0090327F">
        <w:rPr>
          <w:rFonts w:cs="Arial"/>
          <w:bCs/>
          <w:iCs/>
          <w:sz w:val="24"/>
          <w:szCs w:val="24"/>
        </w:rPr>
      </w:r>
      <w:r w:rsidRPr="0090327F">
        <w:rPr>
          <w:rFonts w:cs="Arial"/>
          <w:bCs/>
          <w:iCs/>
          <w:sz w:val="24"/>
          <w:szCs w:val="24"/>
        </w:rPr>
        <w:fldChar w:fldCharType="separate"/>
      </w:r>
      <w:r w:rsidRPr="001102FB">
        <w:rPr>
          <w:sz w:val="24"/>
          <w:szCs w:val="24"/>
        </w:rPr>
        <w:t xml:space="preserve">Figure </w:t>
      </w:r>
      <w:r w:rsidRPr="001102FB">
        <w:rPr>
          <w:noProof/>
          <w:sz w:val="24"/>
          <w:szCs w:val="24"/>
        </w:rPr>
        <w:t>3</w:t>
      </w:r>
      <w:r w:rsidRPr="0090327F">
        <w:rPr>
          <w:rFonts w:cs="Arial"/>
          <w:bCs/>
          <w:iCs/>
          <w:sz w:val="24"/>
          <w:szCs w:val="24"/>
        </w:rPr>
        <w:fldChar w:fldCharType="end"/>
      </w:r>
      <w:r w:rsidRPr="00212B54">
        <w:rPr>
          <w:rFonts w:cs="Arial"/>
          <w:bCs/>
          <w:iCs/>
          <w:sz w:val="24"/>
          <w:szCs w:val="24"/>
        </w:rPr>
        <w:t>.</w:t>
      </w:r>
      <w:r w:rsidRPr="00142215">
        <w:rPr>
          <w:rFonts w:cs="Arial"/>
          <w:bCs/>
          <w:iCs/>
          <w:sz w:val="24"/>
          <w:szCs w:val="24"/>
        </w:rPr>
        <w:t xml:space="preserve"> </w:t>
      </w:r>
    </w:p>
    <w:p w14:paraId="156D45EE" w14:textId="0756D68D" w:rsidR="00442DC7" w:rsidRPr="002304B0" w:rsidRDefault="00442DC7" w:rsidP="004C6304">
      <w:pPr>
        <w:pStyle w:val="Caption"/>
      </w:pPr>
      <w:bookmarkStart w:id="74" w:name="_Ref51324035"/>
      <w:bookmarkStart w:id="75" w:name="_Toc73028096"/>
      <w:r w:rsidRPr="00953C5A">
        <w:t xml:space="preserve">Figure </w:t>
      </w:r>
      <w:fldSimple w:instr=" SEQ Figure \* ARABIC ">
        <w:r w:rsidRPr="00953C5A">
          <w:t>3</w:t>
        </w:r>
      </w:fldSimple>
      <w:bookmarkEnd w:id="74"/>
      <w:r w:rsidRPr="00953C5A">
        <w:t>: Lead leaching from stagnant water from a common brass plumbing produc</w:t>
      </w:r>
      <w:r w:rsidRPr="002304B0">
        <w:t>t</w:t>
      </w:r>
      <w:r w:rsidRPr="002304B0">
        <w:rPr>
          <w:rStyle w:val="FootnoteReference"/>
        </w:rPr>
        <w:footnoteReference w:id="25"/>
      </w:r>
      <w:bookmarkEnd w:id="75"/>
    </w:p>
    <w:p w14:paraId="1C20760F" w14:textId="77777777" w:rsidR="00442DC7" w:rsidRDefault="00442DC7" w:rsidP="008E20D7">
      <w:pPr>
        <w:pStyle w:val="ListParagraph"/>
        <w:spacing w:before="240" w:after="0" w:line="360" w:lineRule="auto"/>
        <w:ind w:left="360"/>
        <w:jc w:val="center"/>
      </w:pPr>
      <w:r w:rsidRPr="009D1684">
        <w:rPr>
          <w:rFonts w:cs="Arial"/>
          <w:noProof/>
          <w:sz w:val="30"/>
          <w:szCs w:val="30"/>
          <w:lang w:eastAsia="en-AU"/>
        </w:rPr>
        <w:drawing>
          <wp:inline distT="0" distB="0" distL="0" distR="0" wp14:anchorId="5491C9CB" wp14:editId="77F764A8">
            <wp:extent cx="4825219" cy="2730441"/>
            <wp:effectExtent l="0" t="0" r="0" b="0"/>
            <wp:docPr id="4" name="Picture 4" descr="Figure 3: Lead leaching from stagnant water from a common brass plumbing product. Figure shows the impact of stagnation times on lead leaching from brass plumbing produ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3: Lead leaching from stagnant water from a common brass plumbing product. Figure shows the impact of stagnation times on lead leaching from brass plumbing products. "/>
                    <pic:cNvPicPr/>
                  </pic:nvPicPr>
                  <pic:blipFill>
                    <a:blip r:embed="rId23"/>
                    <a:stretch>
                      <a:fillRect/>
                    </a:stretch>
                  </pic:blipFill>
                  <pic:spPr>
                    <a:xfrm>
                      <a:off x="0" y="0"/>
                      <a:ext cx="4825219" cy="2730441"/>
                    </a:xfrm>
                    <a:prstGeom prst="rect">
                      <a:avLst/>
                    </a:prstGeom>
                  </pic:spPr>
                </pic:pic>
              </a:graphicData>
            </a:graphic>
          </wp:inline>
        </w:drawing>
      </w:r>
    </w:p>
    <w:p w14:paraId="245DE994" w14:textId="77777777" w:rsidR="00442DC7" w:rsidRPr="00262619" w:rsidRDefault="00442DC7" w:rsidP="008E20D7">
      <w:pPr>
        <w:spacing w:after="240"/>
        <w:jc w:val="center"/>
        <w:rPr>
          <w:sz w:val="20"/>
          <w:szCs w:val="20"/>
        </w:rPr>
      </w:pPr>
      <w:r w:rsidRPr="00262619">
        <w:rPr>
          <w:sz w:val="20"/>
          <w:szCs w:val="20"/>
        </w:rPr>
        <w:t>Source: Tam &amp; Elefsiniotis (2009)</w:t>
      </w:r>
    </w:p>
    <w:p w14:paraId="41D69B39" w14:textId="77777777" w:rsidR="00442DC7" w:rsidRDefault="00442DC7" w:rsidP="00F04B35">
      <w:pPr>
        <w:spacing w:after="240" w:line="360" w:lineRule="auto"/>
        <w:jc w:val="both"/>
        <w:rPr>
          <w:rFonts w:cs="Arial"/>
          <w:sz w:val="24"/>
          <w:szCs w:val="24"/>
          <w:shd w:val="clear" w:color="auto" w:fill="FFFFFF"/>
        </w:rPr>
      </w:pPr>
      <w:r w:rsidRPr="00262619">
        <w:rPr>
          <w:rFonts w:cs="Arial"/>
          <w:bCs/>
          <w:iCs/>
          <w:sz w:val="24"/>
          <w:szCs w:val="24"/>
        </w:rPr>
        <w:t xml:space="preserve">The above figure </w:t>
      </w:r>
      <w:r>
        <w:rPr>
          <w:rFonts w:cs="Arial"/>
          <w:bCs/>
          <w:iCs/>
          <w:sz w:val="24"/>
          <w:szCs w:val="24"/>
        </w:rPr>
        <w:t>indicates that</w:t>
      </w:r>
      <w:r w:rsidRPr="00262619">
        <w:rPr>
          <w:rFonts w:cs="Arial"/>
          <w:bCs/>
          <w:iCs/>
          <w:sz w:val="24"/>
          <w:szCs w:val="24"/>
        </w:rPr>
        <w:t xml:space="preserve"> lead leaching from plumbing products </w:t>
      </w:r>
      <w:r>
        <w:rPr>
          <w:rFonts w:cs="Arial"/>
          <w:bCs/>
          <w:iCs/>
          <w:sz w:val="24"/>
          <w:szCs w:val="24"/>
        </w:rPr>
        <w:t xml:space="preserve">generally </w:t>
      </w:r>
      <w:r w:rsidRPr="00262619">
        <w:rPr>
          <w:rFonts w:cs="Arial"/>
          <w:bCs/>
          <w:iCs/>
          <w:sz w:val="24"/>
          <w:szCs w:val="24"/>
        </w:rPr>
        <w:t>reach</w:t>
      </w:r>
      <w:r>
        <w:rPr>
          <w:rFonts w:cs="Arial"/>
          <w:bCs/>
          <w:iCs/>
          <w:sz w:val="24"/>
          <w:szCs w:val="24"/>
        </w:rPr>
        <w:t>es</w:t>
      </w:r>
      <w:r w:rsidRPr="00262619">
        <w:rPr>
          <w:rFonts w:cs="Arial"/>
          <w:bCs/>
          <w:iCs/>
          <w:sz w:val="24"/>
          <w:szCs w:val="24"/>
        </w:rPr>
        <w:t xml:space="preserve"> its peak after 24 hours of </w:t>
      </w:r>
      <w:r w:rsidRPr="00CE1C33">
        <w:rPr>
          <w:rFonts w:cs="Arial"/>
          <w:bCs/>
          <w:iCs/>
          <w:sz w:val="24"/>
          <w:szCs w:val="24"/>
        </w:rPr>
        <w:t xml:space="preserve">stagnation for most water types </w:t>
      </w:r>
      <w:r w:rsidRPr="002304B0">
        <w:rPr>
          <w:rFonts w:cs="Arial"/>
          <w:sz w:val="24"/>
          <w:szCs w:val="24"/>
          <w:shd w:val="clear" w:color="auto" w:fill="FFFFFF"/>
        </w:rPr>
        <w:t>and reaches a short-run equilibrium state thereafter.</w:t>
      </w:r>
      <w:r w:rsidRPr="002304B0">
        <w:rPr>
          <w:rStyle w:val="FootnoteReference"/>
          <w:rFonts w:cs="Arial"/>
          <w:sz w:val="24"/>
          <w:szCs w:val="24"/>
          <w:shd w:val="clear" w:color="auto" w:fill="FFFFFF"/>
        </w:rPr>
        <w:footnoteReference w:id="26"/>
      </w:r>
      <w:r w:rsidRPr="002304B0">
        <w:rPr>
          <w:rFonts w:cs="Arial"/>
          <w:sz w:val="24"/>
          <w:szCs w:val="24"/>
          <w:shd w:val="clear" w:color="auto" w:fill="FFFFFF"/>
        </w:rPr>
        <w:t xml:space="preserve"> The degree of leaching is largely affected by the variations in pH and alkalinity. At a pH around neutrality, an increase in alkalinity promotes metal dissolution, while </w:t>
      </w:r>
      <w:r>
        <w:rPr>
          <w:rFonts w:cs="Arial"/>
          <w:sz w:val="24"/>
          <w:szCs w:val="24"/>
          <w:shd w:val="clear" w:color="auto" w:fill="FFFFFF"/>
        </w:rPr>
        <w:t xml:space="preserve">for </w:t>
      </w:r>
      <w:r w:rsidRPr="002304B0">
        <w:rPr>
          <w:rFonts w:cs="Arial"/>
          <w:sz w:val="24"/>
          <w:szCs w:val="24"/>
          <w:shd w:val="clear" w:color="auto" w:fill="FFFFFF"/>
        </w:rPr>
        <w:t>a pH of 9.0, the effect of alkalinity on leaching is marginal. The ADWG sets a pH regulatory target of 6.5 - 8.5. Less than 6.5, water may be corrosive</w:t>
      </w:r>
      <w:r>
        <w:rPr>
          <w:rFonts w:cs="Arial"/>
          <w:sz w:val="24"/>
          <w:szCs w:val="24"/>
          <w:shd w:val="clear" w:color="auto" w:fill="FFFFFF"/>
        </w:rPr>
        <w:t>,</w:t>
      </w:r>
      <w:r w:rsidRPr="002304B0">
        <w:rPr>
          <w:rFonts w:cs="Arial"/>
          <w:sz w:val="24"/>
          <w:szCs w:val="24"/>
          <w:shd w:val="clear" w:color="auto" w:fill="FFFFFF"/>
        </w:rPr>
        <w:t xml:space="preserve"> while above 8.5, scale (water hardness) and taste may be impacted.</w:t>
      </w:r>
      <w:r w:rsidRPr="002304B0">
        <w:rPr>
          <w:rStyle w:val="FootnoteReference"/>
          <w:rFonts w:cs="Arial"/>
          <w:sz w:val="24"/>
          <w:szCs w:val="24"/>
          <w:shd w:val="clear" w:color="auto" w:fill="FFFFFF"/>
        </w:rPr>
        <w:footnoteReference w:id="27"/>
      </w:r>
      <w:r w:rsidRPr="002304B0">
        <w:rPr>
          <w:rFonts w:cs="Arial"/>
          <w:sz w:val="24"/>
          <w:szCs w:val="24"/>
          <w:shd w:val="clear" w:color="auto" w:fill="FFFFFF"/>
        </w:rPr>
        <w:t xml:space="preserve"> </w:t>
      </w:r>
    </w:p>
    <w:p w14:paraId="610DA5FB" w14:textId="77777777" w:rsidR="00442DC7" w:rsidRDefault="00442DC7" w:rsidP="00F04B35">
      <w:pPr>
        <w:spacing w:after="240" w:line="360" w:lineRule="auto"/>
        <w:jc w:val="both"/>
        <w:rPr>
          <w:sz w:val="24"/>
          <w:szCs w:val="24"/>
        </w:rPr>
      </w:pPr>
      <w:r w:rsidRPr="00D04F67">
        <w:rPr>
          <w:rFonts w:cs="Arial"/>
          <w:sz w:val="24"/>
          <w:szCs w:val="24"/>
          <w:shd w:val="clear" w:color="auto" w:fill="FFFFFF"/>
        </w:rPr>
        <w:t>It should be noted that the above figure is taken from a study which uses an</w:t>
      </w:r>
      <w:r w:rsidRPr="00A92F98">
        <w:rPr>
          <w:rFonts w:cs="Arial"/>
          <w:sz w:val="24"/>
          <w:szCs w:val="24"/>
          <w:shd w:val="clear" w:color="auto" w:fill="FFFFFF"/>
        </w:rPr>
        <w:t xml:space="preserve"> </w:t>
      </w:r>
      <w:r w:rsidRPr="00E00560">
        <w:rPr>
          <w:sz w:val="24"/>
          <w:szCs w:val="24"/>
        </w:rPr>
        <w:t>alkalinity of 100 mg/L CaCO</w:t>
      </w:r>
      <w:r w:rsidRPr="00E00560">
        <w:rPr>
          <w:sz w:val="24"/>
          <w:szCs w:val="24"/>
          <w:vertAlign w:val="subscript"/>
        </w:rPr>
        <w:t>3</w:t>
      </w:r>
      <w:r w:rsidRPr="00E00560">
        <w:rPr>
          <w:sz w:val="24"/>
          <w:szCs w:val="24"/>
        </w:rPr>
        <w:t>. This is above what is typically reported in Australian municipal water testing (</w:t>
      </w:r>
      <w:r>
        <w:rPr>
          <w:sz w:val="24"/>
          <w:szCs w:val="24"/>
        </w:rPr>
        <w:t xml:space="preserve">which is </w:t>
      </w:r>
      <w:r w:rsidRPr="00E00560">
        <w:rPr>
          <w:sz w:val="24"/>
          <w:szCs w:val="24"/>
        </w:rPr>
        <w:t>typically 20-30 mg/L CaCO</w:t>
      </w:r>
      <w:r w:rsidRPr="00E00560">
        <w:rPr>
          <w:sz w:val="24"/>
          <w:szCs w:val="24"/>
          <w:vertAlign w:val="subscript"/>
        </w:rPr>
        <w:t>3</w:t>
      </w:r>
      <w:r>
        <w:rPr>
          <w:sz w:val="24"/>
          <w:szCs w:val="24"/>
        </w:rPr>
        <w:t>)</w:t>
      </w:r>
      <w:r w:rsidRPr="00E00560">
        <w:rPr>
          <w:sz w:val="24"/>
          <w:szCs w:val="24"/>
        </w:rPr>
        <w:t>.</w:t>
      </w:r>
      <w:r>
        <w:rPr>
          <w:sz w:val="24"/>
          <w:szCs w:val="24"/>
        </w:rPr>
        <w:t xml:space="preserve"> </w:t>
      </w:r>
      <w:r w:rsidRPr="00E00560">
        <w:rPr>
          <w:sz w:val="24"/>
          <w:szCs w:val="24"/>
        </w:rPr>
        <w:t>At alkalinity levels of 20 mg/L CaCO</w:t>
      </w:r>
      <w:r w:rsidRPr="00E00560">
        <w:rPr>
          <w:sz w:val="24"/>
          <w:szCs w:val="24"/>
          <w:vertAlign w:val="subscript"/>
        </w:rPr>
        <w:t>3</w:t>
      </w:r>
      <w:r>
        <w:rPr>
          <w:sz w:val="24"/>
          <w:szCs w:val="24"/>
        </w:rPr>
        <w:t xml:space="preserve">, </w:t>
      </w:r>
      <w:r w:rsidRPr="00E00560">
        <w:rPr>
          <w:sz w:val="24"/>
          <w:szCs w:val="24"/>
        </w:rPr>
        <w:t>lead leaching is considerably lower relative to higher alkalinity values</w:t>
      </w:r>
      <w:r>
        <w:rPr>
          <w:sz w:val="24"/>
          <w:szCs w:val="24"/>
        </w:rPr>
        <w:t xml:space="preserve"> and as </w:t>
      </w:r>
      <w:r>
        <w:rPr>
          <w:sz w:val="24"/>
          <w:szCs w:val="24"/>
        </w:rPr>
        <w:lastRenderedPageBreak/>
        <w:t xml:space="preserve">a consequence, the concentration of lead leaching will vary throughout Australia. Though stagnation will increase the rate of lead release across all alkalinity levels.  </w:t>
      </w:r>
    </w:p>
    <w:p w14:paraId="63A58AF0" w14:textId="77777777" w:rsidR="00442DC7" w:rsidRPr="003B0155" w:rsidRDefault="00442DC7" w:rsidP="003B0155">
      <w:pPr>
        <w:pStyle w:val="Heading3"/>
        <w:spacing w:after="120"/>
        <w:rPr>
          <w:rFonts w:ascii="Arial" w:hAnsi="Arial" w:cs="Arial"/>
          <w:b w:val="0"/>
          <w:bCs w:val="0"/>
        </w:rPr>
      </w:pPr>
      <w:bookmarkStart w:id="76" w:name="_Toc53963031"/>
      <w:bookmarkStart w:id="77" w:name="_Toc70887785"/>
      <w:bookmarkStart w:id="78" w:name="_Toc71195736"/>
      <w:bookmarkStart w:id="79" w:name="_Toc71789263"/>
      <w:r w:rsidRPr="003B0155">
        <w:rPr>
          <w:rFonts w:ascii="Arial" w:hAnsi="Arial" w:cs="Arial"/>
          <w:b w:val="0"/>
          <w:bCs w:val="0"/>
        </w:rPr>
        <w:t>Baseline lead levels in Australian drinking water</w:t>
      </w:r>
      <w:bookmarkEnd w:id="76"/>
      <w:bookmarkEnd w:id="77"/>
      <w:bookmarkEnd w:id="78"/>
      <w:bookmarkEnd w:id="79"/>
    </w:p>
    <w:p w14:paraId="60D00396" w14:textId="77777777" w:rsidR="00442DC7" w:rsidRPr="003A53FA" w:rsidRDefault="00442DC7" w:rsidP="00AB5885">
      <w:pPr>
        <w:spacing w:line="360" w:lineRule="auto"/>
        <w:jc w:val="both"/>
        <w:rPr>
          <w:rFonts w:cs="Arial"/>
          <w:bCs/>
          <w:iCs/>
          <w:sz w:val="24"/>
          <w:szCs w:val="24"/>
        </w:rPr>
      </w:pPr>
      <w:r w:rsidRPr="003A53FA">
        <w:rPr>
          <w:rFonts w:cs="Arial"/>
          <w:bCs/>
          <w:iCs/>
          <w:sz w:val="24"/>
          <w:szCs w:val="24"/>
        </w:rPr>
        <w:t>Australian drinking water is of high quality. An Environmental Performance Index developed by Yale University ranks Australian drinking water 21 out of 180 countries</w:t>
      </w:r>
      <w:r>
        <w:rPr>
          <w:rFonts w:cs="Arial"/>
          <w:bCs/>
          <w:iCs/>
          <w:sz w:val="24"/>
          <w:szCs w:val="24"/>
        </w:rPr>
        <w:t>,</w:t>
      </w:r>
      <w:r w:rsidRPr="003A53FA">
        <w:rPr>
          <w:rFonts w:cs="Arial"/>
          <w:bCs/>
          <w:iCs/>
          <w:sz w:val="24"/>
          <w:szCs w:val="24"/>
        </w:rPr>
        <w:t xml:space="preserve"> placing it in the top 15% of drinking water quality in the world.</w:t>
      </w:r>
      <w:r w:rsidRPr="003A53FA">
        <w:rPr>
          <w:rStyle w:val="FootnoteReference"/>
          <w:rFonts w:cs="Arial"/>
          <w:bCs/>
          <w:iCs/>
          <w:sz w:val="24"/>
          <w:szCs w:val="24"/>
        </w:rPr>
        <w:footnoteReference w:id="28"/>
      </w:r>
      <w:r w:rsidRPr="003A53FA">
        <w:rPr>
          <w:rFonts w:cs="Arial"/>
          <w:bCs/>
          <w:iCs/>
          <w:sz w:val="24"/>
          <w:szCs w:val="24"/>
        </w:rPr>
        <w:t xml:space="preserve"> </w:t>
      </w:r>
    </w:p>
    <w:p w14:paraId="272668A3" w14:textId="77777777" w:rsidR="00442DC7" w:rsidRPr="003A53FA" w:rsidRDefault="00442DC7" w:rsidP="00AB5885">
      <w:pPr>
        <w:spacing w:line="360" w:lineRule="auto"/>
        <w:jc w:val="both"/>
        <w:rPr>
          <w:rFonts w:cs="Arial"/>
          <w:bCs/>
          <w:iCs/>
          <w:sz w:val="24"/>
          <w:szCs w:val="24"/>
        </w:rPr>
      </w:pPr>
      <w:r w:rsidRPr="003A53FA">
        <w:rPr>
          <w:rFonts w:cs="Arial"/>
          <w:bCs/>
          <w:iCs/>
          <w:sz w:val="24"/>
          <w:szCs w:val="24"/>
        </w:rPr>
        <w:t>The base level of lead in Australian drinking water, that is, the lead levels from the water source, including its transport through</w:t>
      </w:r>
      <w:r>
        <w:rPr>
          <w:rFonts w:cs="Arial"/>
          <w:bCs/>
          <w:iCs/>
          <w:sz w:val="24"/>
          <w:szCs w:val="24"/>
        </w:rPr>
        <w:t xml:space="preserve"> the</w:t>
      </w:r>
      <w:r w:rsidRPr="003A53FA">
        <w:rPr>
          <w:rFonts w:cs="Arial"/>
          <w:bCs/>
          <w:iCs/>
          <w:sz w:val="24"/>
          <w:szCs w:val="24"/>
        </w:rPr>
        <w:t xml:space="preserve"> </w:t>
      </w:r>
      <w:r>
        <w:rPr>
          <w:rFonts w:cs="Arial"/>
          <w:bCs/>
          <w:iCs/>
          <w:sz w:val="24"/>
          <w:szCs w:val="24"/>
        </w:rPr>
        <w:t xml:space="preserve">NUO </w:t>
      </w:r>
      <w:r w:rsidRPr="003A53FA">
        <w:rPr>
          <w:rFonts w:cs="Arial"/>
          <w:bCs/>
          <w:iCs/>
          <w:sz w:val="24"/>
          <w:szCs w:val="24"/>
        </w:rPr>
        <w:t>infrastructure</w:t>
      </w:r>
      <w:r>
        <w:rPr>
          <w:rFonts w:cs="Arial"/>
          <w:bCs/>
          <w:iCs/>
          <w:sz w:val="24"/>
          <w:szCs w:val="24"/>
        </w:rPr>
        <w:t>,</w:t>
      </w:r>
      <w:r w:rsidRPr="003A53FA">
        <w:rPr>
          <w:rFonts w:cs="Arial"/>
          <w:bCs/>
          <w:iCs/>
          <w:sz w:val="24"/>
          <w:szCs w:val="24"/>
        </w:rPr>
        <w:t xml:space="preserve"> is very low. A Joint Monitoring Programme Report undertaken by the WHO and the United Nations International Children’s Fund (UNICEF) in 2017</w:t>
      </w:r>
      <w:r>
        <w:rPr>
          <w:rFonts w:cs="Arial"/>
          <w:bCs/>
          <w:iCs/>
          <w:sz w:val="24"/>
          <w:szCs w:val="24"/>
        </w:rPr>
        <w:t>,</w:t>
      </w:r>
      <w:r w:rsidRPr="003A53FA">
        <w:rPr>
          <w:rFonts w:cs="Arial"/>
          <w:bCs/>
          <w:iCs/>
          <w:sz w:val="24"/>
          <w:szCs w:val="24"/>
        </w:rPr>
        <w:t xml:space="preserve"> </w:t>
      </w:r>
      <w:r>
        <w:rPr>
          <w:rFonts w:cs="Arial"/>
          <w:bCs/>
          <w:iCs/>
          <w:sz w:val="24"/>
          <w:szCs w:val="24"/>
        </w:rPr>
        <w:t>found</w:t>
      </w:r>
      <w:r w:rsidRPr="003A53FA">
        <w:rPr>
          <w:rFonts w:cs="Arial"/>
          <w:bCs/>
          <w:iCs/>
          <w:sz w:val="24"/>
          <w:szCs w:val="24"/>
        </w:rPr>
        <w:t xml:space="preserve"> that the proportion of the population using safely managed supplies</w:t>
      </w:r>
      <w:r>
        <w:rPr>
          <w:rFonts w:cs="Arial"/>
          <w:bCs/>
          <w:iCs/>
          <w:sz w:val="24"/>
          <w:szCs w:val="24"/>
        </w:rPr>
        <w:t xml:space="preserve"> of drinking water</w:t>
      </w:r>
      <w:r w:rsidRPr="003A53FA">
        <w:rPr>
          <w:rFonts w:cs="Arial"/>
          <w:bCs/>
          <w:iCs/>
          <w:sz w:val="24"/>
          <w:szCs w:val="24"/>
        </w:rPr>
        <w:t xml:space="preserve"> for Australian urban areas is 99%.</w:t>
      </w:r>
      <w:r w:rsidRPr="003A53FA">
        <w:rPr>
          <w:rStyle w:val="FootnoteReference"/>
          <w:rFonts w:cs="Arial"/>
          <w:bCs/>
          <w:iCs/>
          <w:sz w:val="24"/>
          <w:szCs w:val="24"/>
        </w:rPr>
        <w:footnoteReference w:id="29"/>
      </w:r>
      <w:r w:rsidRPr="003A53FA">
        <w:rPr>
          <w:rFonts w:cs="Arial"/>
          <w:bCs/>
          <w:iCs/>
          <w:sz w:val="24"/>
          <w:szCs w:val="24"/>
        </w:rPr>
        <w:t xml:space="preserve"> </w:t>
      </w:r>
      <w:r>
        <w:rPr>
          <w:rFonts w:cs="Arial"/>
          <w:bCs/>
          <w:iCs/>
          <w:sz w:val="24"/>
          <w:szCs w:val="24"/>
        </w:rPr>
        <w:t>The</w:t>
      </w:r>
      <w:r w:rsidRPr="003A53FA">
        <w:rPr>
          <w:rFonts w:cs="Arial"/>
          <w:bCs/>
          <w:iCs/>
          <w:sz w:val="24"/>
          <w:szCs w:val="24"/>
        </w:rPr>
        <w:t xml:space="preserve"> compliance levels of rural supplies in Australia </w:t>
      </w:r>
      <w:r>
        <w:rPr>
          <w:rFonts w:cs="Arial"/>
          <w:bCs/>
          <w:iCs/>
          <w:sz w:val="24"/>
          <w:szCs w:val="24"/>
        </w:rPr>
        <w:t xml:space="preserve">are not known </w:t>
      </w:r>
      <w:r w:rsidRPr="003A53FA">
        <w:rPr>
          <w:rFonts w:cs="Arial"/>
          <w:bCs/>
          <w:iCs/>
          <w:sz w:val="24"/>
          <w:szCs w:val="24"/>
        </w:rPr>
        <w:t xml:space="preserve">due to </w:t>
      </w:r>
      <w:r>
        <w:rPr>
          <w:rFonts w:cs="Arial"/>
          <w:bCs/>
          <w:iCs/>
          <w:sz w:val="24"/>
          <w:szCs w:val="24"/>
        </w:rPr>
        <w:t xml:space="preserve">the lack of </w:t>
      </w:r>
      <w:r w:rsidRPr="003A53FA">
        <w:rPr>
          <w:rFonts w:cs="Arial"/>
          <w:bCs/>
          <w:iCs/>
          <w:sz w:val="24"/>
          <w:szCs w:val="24"/>
        </w:rPr>
        <w:t>aggregate data on a national level.</w:t>
      </w:r>
    </w:p>
    <w:p w14:paraId="36A2B171" w14:textId="485FE37C" w:rsidR="00442DC7" w:rsidRDefault="00442DC7" w:rsidP="009141ED">
      <w:pPr>
        <w:spacing w:line="360" w:lineRule="auto"/>
        <w:jc w:val="both"/>
        <w:rPr>
          <w:rFonts w:cs="Arial"/>
          <w:bCs/>
          <w:iCs/>
          <w:sz w:val="24"/>
          <w:szCs w:val="24"/>
        </w:rPr>
      </w:pPr>
      <w:r w:rsidRPr="003A53FA">
        <w:rPr>
          <w:rFonts w:cs="Arial"/>
          <w:bCs/>
          <w:iCs/>
          <w:sz w:val="24"/>
          <w:szCs w:val="24"/>
        </w:rPr>
        <w:t>Drinking water in Australia is routinely tested for</w:t>
      </w:r>
      <w:r>
        <w:rPr>
          <w:rFonts w:cs="Arial"/>
          <w:bCs/>
          <w:iCs/>
          <w:sz w:val="24"/>
          <w:szCs w:val="24"/>
        </w:rPr>
        <w:t xml:space="preserve"> the presence of</w:t>
      </w:r>
      <w:r w:rsidRPr="003A53FA">
        <w:rPr>
          <w:rFonts w:cs="Arial"/>
          <w:bCs/>
          <w:iCs/>
          <w:sz w:val="24"/>
          <w:szCs w:val="24"/>
        </w:rPr>
        <w:t xml:space="preserve"> </w:t>
      </w:r>
      <w:r>
        <w:rPr>
          <w:rFonts w:cs="Arial"/>
          <w:bCs/>
          <w:iCs/>
          <w:sz w:val="24"/>
          <w:szCs w:val="24"/>
        </w:rPr>
        <w:t xml:space="preserve">metals, including </w:t>
      </w:r>
      <w:r w:rsidRPr="003A53FA">
        <w:rPr>
          <w:rFonts w:cs="Arial"/>
          <w:bCs/>
          <w:iCs/>
          <w:sz w:val="24"/>
          <w:szCs w:val="24"/>
        </w:rPr>
        <w:t>lead</w:t>
      </w:r>
      <w:r>
        <w:rPr>
          <w:rFonts w:cs="Arial"/>
          <w:bCs/>
          <w:iCs/>
          <w:sz w:val="24"/>
          <w:szCs w:val="24"/>
        </w:rPr>
        <w:t>,</w:t>
      </w:r>
      <w:r w:rsidRPr="003A53FA">
        <w:rPr>
          <w:rFonts w:cs="Arial"/>
          <w:bCs/>
          <w:iCs/>
          <w:sz w:val="24"/>
          <w:szCs w:val="24"/>
        </w:rPr>
        <w:t xml:space="preserve"> to ensure continued compliance with the ADWG</w:t>
      </w:r>
      <w:r w:rsidRPr="005F1BA6">
        <w:rPr>
          <w:rFonts w:cs="Arial"/>
          <w:bCs/>
          <w:iCs/>
          <w:sz w:val="24"/>
          <w:szCs w:val="24"/>
        </w:rPr>
        <w:t xml:space="preserve">. </w:t>
      </w:r>
      <w:r>
        <w:rPr>
          <w:rFonts w:cs="Arial"/>
          <w:sz w:val="24"/>
          <w:szCs w:val="24"/>
          <w:shd w:val="clear" w:color="auto" w:fill="FFFFFF"/>
        </w:rPr>
        <w:t>NUO’s</w:t>
      </w:r>
      <w:r w:rsidRPr="009C074D">
        <w:rPr>
          <w:rFonts w:cs="Arial"/>
          <w:sz w:val="24"/>
          <w:szCs w:val="24"/>
          <w:shd w:val="clear" w:color="auto" w:fill="FFFFFF"/>
        </w:rPr>
        <w:t xml:space="preserve"> conduct their own daily assessments of water quality, against the ADWG, and take action should levels cross thresholds. They report annually on these levels, and these reports are in turn assessed for compliance with the guidelines.</w:t>
      </w:r>
      <w:r w:rsidRPr="009C074D">
        <w:rPr>
          <w:rStyle w:val="FootnoteReference"/>
          <w:rFonts w:cs="Arial"/>
          <w:sz w:val="24"/>
          <w:szCs w:val="24"/>
          <w:shd w:val="clear" w:color="auto" w:fill="FFFFFF"/>
        </w:rPr>
        <w:footnoteReference w:id="30"/>
      </w:r>
      <w:r>
        <w:rPr>
          <w:rFonts w:cs="Arial"/>
          <w:sz w:val="24"/>
          <w:szCs w:val="24"/>
          <w:shd w:val="clear" w:color="auto" w:fill="FFFFFF"/>
        </w:rPr>
        <w:t xml:space="preserve"> </w:t>
      </w:r>
      <w:r w:rsidRPr="009141ED">
        <w:rPr>
          <w:rFonts w:cs="Arial"/>
          <w:bCs/>
          <w:iCs/>
          <w:sz w:val="24"/>
          <w:szCs w:val="24"/>
        </w:rPr>
        <w:t>Corrosion inhibitors, such as zinc orthophosphates, can also be used. It is particularly effective at inhibiting lead leaching because it reduces lead solubility in waters of both low and high alkalinity. Z</w:t>
      </w:r>
      <w:bookmarkStart w:id="80" w:name="_Hlk70870146"/>
      <w:r w:rsidRPr="009141ED">
        <w:rPr>
          <w:rFonts w:cs="Arial"/>
          <w:bCs/>
          <w:iCs/>
          <w:sz w:val="24"/>
          <w:szCs w:val="24"/>
        </w:rPr>
        <w:t xml:space="preserve">inc orthophosphate </w:t>
      </w:r>
      <w:bookmarkEnd w:id="80"/>
      <w:r w:rsidRPr="009141ED">
        <w:rPr>
          <w:rFonts w:cs="Arial"/>
          <w:bCs/>
          <w:iCs/>
          <w:sz w:val="24"/>
          <w:szCs w:val="24"/>
        </w:rPr>
        <w:t>limits the release of lead, copper and iron from metal surfaces by forming a microscopic protective film on these surfaces, and through electrochemical passivation.</w:t>
      </w:r>
      <w:r w:rsidRPr="003A53FA">
        <w:rPr>
          <w:rStyle w:val="FootnoteReference"/>
          <w:rFonts w:cs="Arial"/>
          <w:bCs/>
          <w:iCs/>
          <w:sz w:val="24"/>
          <w:szCs w:val="24"/>
        </w:rPr>
        <w:footnoteReference w:id="31"/>
      </w:r>
      <w:r w:rsidRPr="00997723">
        <w:rPr>
          <w:rFonts w:cs="Arial"/>
          <w:bCs/>
          <w:iCs/>
          <w:sz w:val="24"/>
          <w:szCs w:val="24"/>
        </w:rPr>
        <w:t xml:space="preserve"> Though, the extent zinc orthophosphate is used by water utility operators vary. </w:t>
      </w:r>
    </w:p>
    <w:p w14:paraId="2BC0AF8D" w14:textId="61C132E3" w:rsidR="00442DC7" w:rsidRDefault="00442DC7" w:rsidP="009141ED">
      <w:pPr>
        <w:spacing w:line="360" w:lineRule="auto"/>
        <w:jc w:val="both"/>
        <w:rPr>
          <w:rFonts w:eastAsiaTheme="majorEastAsia" w:cs="Arial"/>
          <w:color w:val="000000" w:themeColor="text1"/>
          <w:sz w:val="24"/>
          <w:szCs w:val="24"/>
        </w:rPr>
      </w:pPr>
      <w:r>
        <w:rPr>
          <w:rFonts w:cs="Arial"/>
          <w:bCs/>
          <w:iCs/>
          <w:sz w:val="24"/>
          <w:szCs w:val="24"/>
        </w:rPr>
        <w:t>In response to the Consultation RIS, a water testing consultant</w:t>
      </w:r>
      <w:r w:rsidRPr="00997723">
        <w:rPr>
          <w:rFonts w:cs="Arial"/>
          <w:bCs/>
          <w:iCs/>
          <w:sz w:val="24"/>
          <w:szCs w:val="24"/>
        </w:rPr>
        <w:t xml:space="preserve"> noted that it was rare in his experience for </w:t>
      </w:r>
      <w:r>
        <w:rPr>
          <w:rFonts w:cs="Arial"/>
          <w:bCs/>
          <w:iCs/>
          <w:sz w:val="24"/>
          <w:szCs w:val="24"/>
        </w:rPr>
        <w:t>zinc orthophosphate</w:t>
      </w:r>
      <w:r w:rsidRPr="00997723">
        <w:rPr>
          <w:rFonts w:cs="Arial"/>
          <w:bCs/>
          <w:iCs/>
          <w:sz w:val="24"/>
          <w:szCs w:val="24"/>
        </w:rPr>
        <w:t xml:space="preserve"> to be used </w:t>
      </w:r>
      <w:r>
        <w:rPr>
          <w:rFonts w:cs="Arial"/>
          <w:bCs/>
          <w:iCs/>
          <w:sz w:val="24"/>
          <w:szCs w:val="24"/>
        </w:rPr>
        <w:t xml:space="preserve">as a water treatment strategy by NUOs on the east coast of Australia </w:t>
      </w:r>
      <w:r w:rsidRPr="00997723">
        <w:rPr>
          <w:rFonts w:cs="Arial"/>
          <w:bCs/>
          <w:iCs/>
          <w:sz w:val="24"/>
          <w:szCs w:val="24"/>
        </w:rPr>
        <w:t>and in his opinion, providers should not have to add orthophosphate to drinking water supplies if the issue was treated at its source.</w:t>
      </w:r>
      <w:r w:rsidRPr="00997723">
        <w:rPr>
          <w:rFonts w:eastAsiaTheme="majorEastAsia" w:cs="Arial"/>
          <w:color w:val="000000" w:themeColor="text1"/>
          <w:sz w:val="24"/>
          <w:szCs w:val="24"/>
        </w:rPr>
        <w:t xml:space="preserve"> </w:t>
      </w:r>
    </w:p>
    <w:p w14:paraId="1A1B74F7" w14:textId="5E8FC286" w:rsidR="00442DC7" w:rsidRPr="000A44E5" w:rsidRDefault="00442DC7" w:rsidP="009141ED">
      <w:pPr>
        <w:spacing w:line="360" w:lineRule="auto"/>
        <w:jc w:val="both"/>
        <w:rPr>
          <w:rFonts w:eastAsiaTheme="majorEastAsia" w:cs="Arial"/>
          <w:color w:val="000000" w:themeColor="text1"/>
          <w:sz w:val="24"/>
          <w:szCs w:val="24"/>
        </w:rPr>
      </w:pPr>
      <w:r w:rsidRPr="000A44E5">
        <w:rPr>
          <w:rFonts w:eastAsiaTheme="majorEastAsia" w:cs="Arial"/>
          <w:color w:val="000000" w:themeColor="text1"/>
          <w:sz w:val="24"/>
          <w:szCs w:val="24"/>
        </w:rPr>
        <w:lastRenderedPageBreak/>
        <w:t xml:space="preserve">Advice from WSAA following consultation </w:t>
      </w:r>
      <w:r>
        <w:rPr>
          <w:rFonts w:eastAsiaTheme="majorEastAsia" w:cs="Arial"/>
          <w:color w:val="000000" w:themeColor="text1"/>
          <w:sz w:val="24"/>
          <w:szCs w:val="24"/>
        </w:rPr>
        <w:t xml:space="preserve">also </w:t>
      </w:r>
      <w:r w:rsidRPr="000A44E5">
        <w:rPr>
          <w:rFonts w:eastAsiaTheme="majorEastAsia" w:cs="Arial"/>
          <w:color w:val="000000" w:themeColor="text1"/>
          <w:sz w:val="24"/>
          <w:szCs w:val="24"/>
        </w:rPr>
        <w:t>reveals the extent of</w:t>
      </w:r>
      <w:r>
        <w:rPr>
          <w:rFonts w:eastAsiaTheme="majorEastAsia" w:cs="Arial"/>
          <w:color w:val="000000" w:themeColor="text1"/>
          <w:sz w:val="24"/>
          <w:szCs w:val="24"/>
        </w:rPr>
        <w:t xml:space="preserve"> </w:t>
      </w:r>
      <w:r w:rsidRPr="00997723">
        <w:rPr>
          <w:rFonts w:cs="Arial"/>
          <w:bCs/>
          <w:iCs/>
          <w:sz w:val="24"/>
          <w:szCs w:val="24"/>
        </w:rPr>
        <w:t>zinc orthophosphate</w:t>
      </w:r>
      <w:r w:rsidRPr="000A44E5">
        <w:rPr>
          <w:rFonts w:eastAsiaTheme="majorEastAsia" w:cs="Arial"/>
          <w:color w:val="000000" w:themeColor="text1"/>
          <w:sz w:val="24"/>
          <w:szCs w:val="24"/>
        </w:rPr>
        <w:t xml:space="preserve"> use varies by jurisdiction, though not common among NUO’s. </w:t>
      </w:r>
    </w:p>
    <w:p w14:paraId="2D245611" w14:textId="24BC4960" w:rsidR="00442DC7" w:rsidRPr="003A53FA" w:rsidRDefault="00442DC7" w:rsidP="00890675">
      <w:pPr>
        <w:spacing w:line="360" w:lineRule="auto"/>
        <w:jc w:val="both"/>
        <w:rPr>
          <w:rFonts w:cs="Arial"/>
          <w:bCs/>
          <w:iCs/>
          <w:sz w:val="24"/>
          <w:szCs w:val="24"/>
        </w:rPr>
      </w:pPr>
      <w:r w:rsidRPr="003A53FA">
        <w:rPr>
          <w:rFonts w:cs="Arial"/>
          <w:bCs/>
          <w:iCs/>
          <w:sz w:val="24"/>
          <w:szCs w:val="24"/>
        </w:rPr>
        <w:t>Based on the available information, the baseline level of lead in drinking water</w:t>
      </w:r>
      <w:r>
        <w:rPr>
          <w:rFonts w:cs="Arial"/>
          <w:bCs/>
          <w:iCs/>
          <w:sz w:val="24"/>
          <w:szCs w:val="24"/>
        </w:rPr>
        <w:t xml:space="preserve"> supplied by NUO’s</w:t>
      </w:r>
      <w:r w:rsidRPr="003A53FA">
        <w:rPr>
          <w:rFonts w:cs="Arial"/>
          <w:bCs/>
          <w:iCs/>
          <w:sz w:val="24"/>
          <w:szCs w:val="24"/>
        </w:rPr>
        <w:t xml:space="preserve"> in Australia contains less than 1</w:t>
      </w:r>
      <w:r w:rsidRPr="003A53FA">
        <w:rPr>
          <w:rFonts w:cs="Arial"/>
          <w:color w:val="333333"/>
          <w:sz w:val="24"/>
          <w:szCs w:val="24"/>
          <w:shd w:val="clear" w:color="auto" w:fill="FFFFFF"/>
        </w:rPr>
        <w:t xml:space="preserve"> </w:t>
      </w:r>
      <w:bookmarkStart w:id="81" w:name="_Hlk70517499"/>
      <w:r w:rsidRPr="003A53FA">
        <w:rPr>
          <w:rFonts w:cs="Arial"/>
          <w:color w:val="333333"/>
          <w:sz w:val="24"/>
          <w:szCs w:val="24"/>
          <w:shd w:val="clear" w:color="auto" w:fill="FFFFFF"/>
        </w:rPr>
        <w:t>μ</w:t>
      </w:r>
      <w:r w:rsidRPr="003A53FA">
        <w:rPr>
          <w:rFonts w:cs="Arial"/>
          <w:bCs/>
          <w:iCs/>
          <w:sz w:val="24"/>
          <w:szCs w:val="24"/>
        </w:rPr>
        <w:t>g</w:t>
      </w:r>
      <w:bookmarkEnd w:id="81"/>
      <w:r w:rsidRPr="003A53FA">
        <w:rPr>
          <w:rFonts w:cs="Arial"/>
          <w:bCs/>
          <w:iCs/>
          <w:sz w:val="24"/>
          <w:szCs w:val="24"/>
        </w:rPr>
        <w:t xml:space="preserve">/L. </w:t>
      </w:r>
      <w:r w:rsidR="00B22235">
        <w:rPr>
          <w:rFonts w:cs="Arial"/>
          <w:bCs/>
          <w:iCs/>
          <w:sz w:val="24"/>
          <w:szCs w:val="24"/>
        </w:rPr>
        <w:t>F</w:t>
      </w:r>
      <w:r w:rsidRPr="003A53FA">
        <w:rPr>
          <w:rFonts w:cs="Arial"/>
          <w:bCs/>
          <w:iCs/>
          <w:sz w:val="24"/>
          <w:szCs w:val="24"/>
        </w:rPr>
        <w:t xml:space="preserve">luctuations may occur in areas in close proximity to </w:t>
      </w:r>
      <w:r>
        <w:rPr>
          <w:rFonts w:cs="Arial"/>
          <w:bCs/>
          <w:iCs/>
          <w:sz w:val="24"/>
          <w:szCs w:val="24"/>
        </w:rPr>
        <w:t xml:space="preserve">mining sites or </w:t>
      </w:r>
      <w:r w:rsidRPr="003A53FA">
        <w:rPr>
          <w:rFonts w:cs="Arial"/>
          <w:bCs/>
          <w:iCs/>
          <w:sz w:val="24"/>
          <w:szCs w:val="24"/>
        </w:rPr>
        <w:t>lead smelters. These levels compare well with many developed countries.</w:t>
      </w:r>
      <w:r w:rsidRPr="003A53FA">
        <w:rPr>
          <w:rStyle w:val="FootnoteReference"/>
          <w:rFonts w:cs="Arial"/>
          <w:bCs/>
          <w:iCs/>
          <w:sz w:val="24"/>
          <w:szCs w:val="24"/>
        </w:rPr>
        <w:footnoteReference w:id="32"/>
      </w:r>
      <w:r w:rsidRPr="003A53FA">
        <w:rPr>
          <w:rFonts w:cs="Arial"/>
          <w:bCs/>
          <w:iCs/>
          <w:sz w:val="24"/>
          <w:szCs w:val="24"/>
        </w:rPr>
        <w:t xml:space="preserve"> </w:t>
      </w:r>
    </w:p>
    <w:p w14:paraId="66068DFC" w14:textId="77777777" w:rsidR="00442DC7" w:rsidRDefault="00442DC7" w:rsidP="00FC3E8A">
      <w:pPr>
        <w:spacing w:line="360" w:lineRule="auto"/>
        <w:jc w:val="both"/>
        <w:rPr>
          <w:rFonts w:cs="Arial"/>
          <w:bCs/>
          <w:iCs/>
          <w:sz w:val="24"/>
          <w:szCs w:val="24"/>
        </w:rPr>
      </w:pPr>
      <w:bookmarkStart w:id="82" w:name="_Hlk58235031"/>
      <w:r>
        <w:rPr>
          <w:rFonts w:cs="Arial"/>
          <w:bCs/>
          <w:iCs/>
          <w:sz w:val="24"/>
          <w:szCs w:val="24"/>
        </w:rPr>
        <w:t>Hence, research suggests</w:t>
      </w:r>
      <w:r>
        <w:rPr>
          <w:rStyle w:val="FootnoteReference"/>
          <w:rFonts w:cs="Arial"/>
          <w:bCs/>
          <w:iCs/>
          <w:sz w:val="24"/>
          <w:szCs w:val="24"/>
        </w:rPr>
        <w:footnoteReference w:id="33"/>
      </w:r>
      <w:r>
        <w:rPr>
          <w:rFonts w:cs="Arial"/>
          <w:bCs/>
          <w:iCs/>
          <w:sz w:val="24"/>
          <w:szCs w:val="24"/>
        </w:rPr>
        <w:t xml:space="preserve"> where lead is present in drinking water in quantities above that permitted by AS/NZS 4020, the likely cause is plumbing products in contact with drinking water from within the property. </w:t>
      </w:r>
    </w:p>
    <w:p w14:paraId="2481E526" w14:textId="77777777" w:rsidR="00442DC7" w:rsidRPr="003B0155" w:rsidRDefault="00442DC7" w:rsidP="00C36B1A">
      <w:pPr>
        <w:pStyle w:val="Heading2"/>
        <w:spacing w:after="120"/>
        <w:rPr>
          <w:rFonts w:ascii="Arial" w:hAnsi="Arial" w:cs="Arial"/>
          <w:b w:val="0"/>
          <w:bCs w:val="0"/>
        </w:rPr>
      </w:pPr>
      <w:bookmarkStart w:id="83" w:name="_Toc53963032"/>
      <w:bookmarkStart w:id="84" w:name="_Toc70887786"/>
      <w:bookmarkStart w:id="85" w:name="_Toc71195737"/>
      <w:bookmarkStart w:id="86" w:name="_Toc71789264"/>
      <w:bookmarkEnd w:id="82"/>
      <w:r w:rsidRPr="003B0155">
        <w:rPr>
          <w:rFonts w:ascii="Arial" w:hAnsi="Arial" w:cs="Arial"/>
          <w:b w:val="0"/>
          <w:bCs w:val="0"/>
        </w:rPr>
        <w:t>Cases of lead leaching into drinking water in Australia</w:t>
      </w:r>
      <w:bookmarkEnd w:id="83"/>
      <w:bookmarkEnd w:id="84"/>
      <w:bookmarkEnd w:id="85"/>
      <w:bookmarkEnd w:id="86"/>
    </w:p>
    <w:p w14:paraId="2640AC29" w14:textId="77777777" w:rsidR="00442DC7" w:rsidRPr="006C6687" w:rsidRDefault="00442DC7" w:rsidP="00606555">
      <w:pPr>
        <w:spacing w:line="360" w:lineRule="auto"/>
        <w:jc w:val="both"/>
        <w:rPr>
          <w:sz w:val="24"/>
          <w:szCs w:val="24"/>
        </w:rPr>
      </w:pPr>
      <w:r w:rsidRPr="006C6687">
        <w:rPr>
          <w:sz w:val="24"/>
          <w:szCs w:val="24"/>
        </w:rPr>
        <w:t xml:space="preserve">There have been a number of highly publicised </w:t>
      </w:r>
      <w:bookmarkStart w:id="87" w:name="_Hlk70774151"/>
      <w:r w:rsidRPr="006C6687">
        <w:rPr>
          <w:sz w:val="24"/>
          <w:szCs w:val="24"/>
        </w:rPr>
        <w:t>incidences</w:t>
      </w:r>
      <w:bookmarkEnd w:id="87"/>
      <w:r w:rsidRPr="006C6687">
        <w:rPr>
          <w:sz w:val="24"/>
          <w:szCs w:val="24"/>
        </w:rPr>
        <w:t xml:space="preserve"> of lead </w:t>
      </w:r>
      <w:r>
        <w:rPr>
          <w:sz w:val="24"/>
          <w:szCs w:val="24"/>
        </w:rPr>
        <w:t xml:space="preserve">being found </w:t>
      </w:r>
      <w:r w:rsidRPr="006C6687">
        <w:rPr>
          <w:sz w:val="24"/>
          <w:szCs w:val="24"/>
        </w:rPr>
        <w:t xml:space="preserve">in </w:t>
      </w:r>
      <w:r>
        <w:rPr>
          <w:sz w:val="24"/>
          <w:szCs w:val="24"/>
        </w:rPr>
        <w:t xml:space="preserve">Australian </w:t>
      </w:r>
      <w:r w:rsidRPr="006C6687">
        <w:rPr>
          <w:sz w:val="24"/>
          <w:szCs w:val="24"/>
        </w:rPr>
        <w:t xml:space="preserve">drinking water exceeding </w:t>
      </w:r>
      <w:r>
        <w:rPr>
          <w:rFonts w:eastAsia="Calibri" w:cs="Times New Roman"/>
          <w:sz w:val="24"/>
          <w:szCs w:val="24"/>
        </w:rPr>
        <w:t xml:space="preserve">10 </w:t>
      </w:r>
      <w:r w:rsidRPr="003A53FA">
        <w:rPr>
          <w:rFonts w:cs="Arial"/>
          <w:color w:val="333333"/>
          <w:sz w:val="24"/>
          <w:szCs w:val="24"/>
          <w:shd w:val="clear" w:color="auto" w:fill="FFFFFF"/>
        </w:rPr>
        <w:t>μ</w:t>
      </w:r>
      <w:r w:rsidRPr="003A53FA">
        <w:rPr>
          <w:rFonts w:cs="Arial"/>
          <w:bCs/>
          <w:iCs/>
          <w:sz w:val="24"/>
          <w:szCs w:val="24"/>
        </w:rPr>
        <w:t>g/L</w:t>
      </w:r>
      <w:r w:rsidRPr="00AE11D5">
        <w:rPr>
          <w:rFonts w:eastAsia="Calibri" w:cs="Times New Roman"/>
          <w:sz w:val="24"/>
          <w:szCs w:val="24"/>
        </w:rPr>
        <w:t xml:space="preserve"> </w:t>
      </w:r>
      <w:r>
        <w:rPr>
          <w:rFonts w:eastAsia="Calibri" w:cs="Times New Roman"/>
          <w:sz w:val="24"/>
          <w:szCs w:val="24"/>
        </w:rPr>
        <w:t xml:space="preserve">in </w:t>
      </w:r>
      <w:r w:rsidRPr="006C6687">
        <w:rPr>
          <w:sz w:val="24"/>
          <w:szCs w:val="24"/>
        </w:rPr>
        <w:t xml:space="preserve">recent years. </w:t>
      </w:r>
      <w:r>
        <w:rPr>
          <w:sz w:val="24"/>
          <w:szCs w:val="24"/>
        </w:rPr>
        <w:t xml:space="preserve">Fortunately, these incidences are rare and examples are provided below. </w:t>
      </w:r>
    </w:p>
    <w:p w14:paraId="1A197411" w14:textId="77777777" w:rsidR="00442DC7" w:rsidRPr="006C6687" w:rsidRDefault="00442DC7" w:rsidP="00C36B1A">
      <w:pPr>
        <w:pStyle w:val="Heading3"/>
        <w:spacing w:after="120"/>
        <w:rPr>
          <w:rFonts w:ascii="Arial" w:hAnsi="Arial" w:cs="Arial"/>
          <w:b w:val="0"/>
          <w:bCs w:val="0"/>
          <w:szCs w:val="28"/>
        </w:rPr>
      </w:pPr>
      <w:bookmarkStart w:id="88" w:name="_Toc47287458"/>
      <w:bookmarkStart w:id="89" w:name="_Toc47287741"/>
      <w:bookmarkStart w:id="90" w:name="_Toc47287882"/>
      <w:bookmarkStart w:id="91" w:name="_Toc53963033"/>
      <w:bookmarkStart w:id="92" w:name="_Toc70887787"/>
      <w:bookmarkStart w:id="93" w:name="_Toc71195738"/>
      <w:bookmarkStart w:id="94" w:name="_Toc71789265"/>
      <w:r w:rsidRPr="006C6687">
        <w:rPr>
          <w:rFonts w:ascii="Arial" w:hAnsi="Arial" w:cs="Arial"/>
          <w:b w:val="0"/>
          <w:bCs w:val="0"/>
          <w:szCs w:val="28"/>
        </w:rPr>
        <w:t>Perth Children’s Hospital</w:t>
      </w:r>
      <w:bookmarkEnd w:id="88"/>
      <w:bookmarkEnd w:id="89"/>
      <w:bookmarkEnd w:id="90"/>
      <w:bookmarkEnd w:id="91"/>
      <w:bookmarkEnd w:id="92"/>
      <w:bookmarkEnd w:id="93"/>
      <w:bookmarkEnd w:id="94"/>
      <w:r w:rsidRPr="006C6687">
        <w:rPr>
          <w:rFonts w:ascii="Arial" w:hAnsi="Arial" w:cs="Arial"/>
          <w:b w:val="0"/>
          <w:bCs w:val="0"/>
          <w:szCs w:val="28"/>
        </w:rPr>
        <w:t xml:space="preserve"> </w:t>
      </w:r>
    </w:p>
    <w:p w14:paraId="5D867B7A" w14:textId="77777777" w:rsidR="00442DC7" w:rsidRPr="006C6687" w:rsidRDefault="00442DC7" w:rsidP="00CB18A3">
      <w:pPr>
        <w:spacing w:before="240" w:line="360" w:lineRule="auto"/>
        <w:jc w:val="both"/>
        <w:rPr>
          <w:sz w:val="24"/>
          <w:szCs w:val="24"/>
        </w:rPr>
      </w:pPr>
      <w:r w:rsidRPr="006C6687">
        <w:rPr>
          <w:sz w:val="24"/>
          <w:szCs w:val="24"/>
        </w:rPr>
        <w:t xml:space="preserve">In 2016, testing of the drinking water system at the new Perth Children’s Hospital (PCH) found concentrations of lead greater than those permitted by AS/NZS 4020. </w:t>
      </w:r>
    </w:p>
    <w:p w14:paraId="0B3BE638" w14:textId="77777777" w:rsidR="00442DC7" w:rsidRPr="00532855" w:rsidRDefault="00442DC7" w:rsidP="00606555">
      <w:pPr>
        <w:spacing w:line="360" w:lineRule="auto"/>
        <w:jc w:val="both"/>
        <w:rPr>
          <w:sz w:val="24"/>
          <w:szCs w:val="24"/>
        </w:rPr>
      </w:pPr>
      <w:r w:rsidRPr="00532855">
        <w:rPr>
          <w:sz w:val="24"/>
          <w:szCs w:val="24"/>
        </w:rPr>
        <w:t>A report issued by the Chief Health Officer (CHO) in 2017 considered that:</w:t>
      </w:r>
      <w:r w:rsidRPr="00532855">
        <w:rPr>
          <w:rStyle w:val="FootnoteReference"/>
          <w:sz w:val="24"/>
          <w:szCs w:val="24"/>
        </w:rPr>
        <w:footnoteReference w:id="34"/>
      </w:r>
      <w:r w:rsidRPr="00532855">
        <w:rPr>
          <w:sz w:val="24"/>
          <w:szCs w:val="24"/>
        </w:rPr>
        <w:t xml:space="preserve"> </w:t>
      </w:r>
    </w:p>
    <w:p w14:paraId="13FB9F3B" w14:textId="77777777" w:rsidR="00442DC7" w:rsidRPr="00532855" w:rsidRDefault="00442DC7" w:rsidP="008734AE">
      <w:pPr>
        <w:pStyle w:val="ListParagraph"/>
        <w:numPr>
          <w:ilvl w:val="0"/>
          <w:numId w:val="26"/>
        </w:numPr>
        <w:spacing w:line="360" w:lineRule="auto"/>
        <w:jc w:val="both"/>
        <w:rPr>
          <w:sz w:val="24"/>
          <w:szCs w:val="24"/>
        </w:rPr>
      </w:pPr>
      <w:r>
        <w:rPr>
          <w:sz w:val="24"/>
          <w:szCs w:val="24"/>
        </w:rPr>
        <w:t>T</w:t>
      </w:r>
      <w:r w:rsidRPr="00532855">
        <w:rPr>
          <w:sz w:val="24"/>
          <w:szCs w:val="24"/>
        </w:rPr>
        <w:t>he source of lead was from brass fittings that had undergone a process of dezincification.</w:t>
      </w:r>
    </w:p>
    <w:p w14:paraId="37184658" w14:textId="77777777" w:rsidR="00442DC7" w:rsidRPr="00532855" w:rsidRDefault="00442DC7" w:rsidP="008734AE">
      <w:pPr>
        <w:pStyle w:val="ListParagraph"/>
        <w:numPr>
          <w:ilvl w:val="0"/>
          <w:numId w:val="26"/>
        </w:numPr>
        <w:spacing w:line="360" w:lineRule="auto"/>
        <w:jc w:val="both"/>
        <w:rPr>
          <w:sz w:val="24"/>
          <w:szCs w:val="24"/>
        </w:rPr>
      </w:pPr>
      <w:r>
        <w:rPr>
          <w:sz w:val="24"/>
          <w:szCs w:val="24"/>
        </w:rPr>
        <w:t>M</w:t>
      </w:r>
      <w:r w:rsidRPr="00532855">
        <w:rPr>
          <w:sz w:val="24"/>
          <w:szCs w:val="24"/>
        </w:rPr>
        <w:t>any of the brass fittings were located within the Thermostatic Mixing Valve (TMV) Assembly Boxes, which were located in close proximity to drinking water outlets.</w:t>
      </w:r>
    </w:p>
    <w:p w14:paraId="394F6261" w14:textId="77777777" w:rsidR="00442DC7" w:rsidRPr="00532855" w:rsidRDefault="00442DC7" w:rsidP="008734AE">
      <w:pPr>
        <w:pStyle w:val="ListParagraph"/>
        <w:numPr>
          <w:ilvl w:val="0"/>
          <w:numId w:val="26"/>
        </w:numPr>
        <w:spacing w:line="360" w:lineRule="auto"/>
        <w:jc w:val="both"/>
        <w:rPr>
          <w:sz w:val="24"/>
          <w:szCs w:val="24"/>
        </w:rPr>
      </w:pPr>
      <w:r>
        <w:rPr>
          <w:sz w:val="24"/>
          <w:szCs w:val="24"/>
        </w:rPr>
        <w:t>P</w:t>
      </w:r>
      <w:r w:rsidRPr="00532855">
        <w:rPr>
          <w:sz w:val="24"/>
          <w:szCs w:val="24"/>
        </w:rPr>
        <w:t>hosphate treatment had been partially</w:t>
      </w:r>
      <w:r>
        <w:rPr>
          <w:sz w:val="24"/>
          <w:szCs w:val="24"/>
        </w:rPr>
        <w:t>,</w:t>
      </w:r>
      <w:r w:rsidRPr="00532855">
        <w:rPr>
          <w:sz w:val="24"/>
          <w:szCs w:val="24"/>
        </w:rPr>
        <w:t xml:space="preserve"> but not sufficiently</w:t>
      </w:r>
      <w:r>
        <w:rPr>
          <w:sz w:val="24"/>
          <w:szCs w:val="24"/>
        </w:rPr>
        <w:t>,</w:t>
      </w:r>
      <w:r w:rsidRPr="00532855">
        <w:rPr>
          <w:sz w:val="24"/>
          <w:szCs w:val="24"/>
        </w:rPr>
        <w:t xml:space="preserve"> effective in reducing lead levels.</w:t>
      </w:r>
    </w:p>
    <w:p w14:paraId="357DF6DC" w14:textId="231EEC19" w:rsidR="00442DC7" w:rsidRPr="00532855" w:rsidRDefault="00442DC7" w:rsidP="00606555">
      <w:pPr>
        <w:spacing w:line="360" w:lineRule="auto"/>
        <w:jc w:val="both"/>
        <w:rPr>
          <w:sz w:val="24"/>
          <w:szCs w:val="24"/>
        </w:rPr>
      </w:pPr>
      <w:r w:rsidRPr="00532855">
        <w:rPr>
          <w:sz w:val="24"/>
          <w:szCs w:val="24"/>
        </w:rPr>
        <w:lastRenderedPageBreak/>
        <w:t>The investigators also considered that there were additional mechanisms other than the initial leaching of lead from new surfaces which contributed to the problem. Dezincification was the likely cause and this was supported by a small sample study of brass fittings from the TMV Assembly Boxes by Curtin University.</w:t>
      </w:r>
      <w:r w:rsidRPr="00532855">
        <w:rPr>
          <w:rStyle w:val="FootnoteReference"/>
          <w:sz w:val="24"/>
          <w:szCs w:val="24"/>
        </w:rPr>
        <w:footnoteReference w:id="35"/>
      </w:r>
      <w:r w:rsidRPr="00532855">
        <w:rPr>
          <w:sz w:val="24"/>
          <w:szCs w:val="24"/>
        </w:rPr>
        <w:t xml:space="preserve"> </w:t>
      </w:r>
      <w:r w:rsidRPr="00532855">
        <w:rPr>
          <w:rFonts w:eastAsia="Calibri" w:cs="Times New Roman"/>
          <w:sz w:val="24"/>
          <w:szCs w:val="24"/>
        </w:rPr>
        <w:t>Some components of the TMV Assembly Boxes lacked identifying markings required for certification under the WMCS, leading to questions about the source, quality and compliance of the fittings</w:t>
      </w:r>
      <w:r>
        <w:rPr>
          <w:rFonts w:eastAsia="Calibri" w:cs="Times New Roman"/>
          <w:sz w:val="24"/>
          <w:szCs w:val="24"/>
        </w:rPr>
        <w:t>.</w:t>
      </w:r>
    </w:p>
    <w:p w14:paraId="3C7424AC" w14:textId="52ACA4AD" w:rsidR="00442DC7" w:rsidRPr="00532855" w:rsidRDefault="00442DC7" w:rsidP="00606555">
      <w:pPr>
        <w:spacing w:line="360" w:lineRule="auto"/>
        <w:jc w:val="both"/>
        <w:rPr>
          <w:sz w:val="24"/>
          <w:szCs w:val="24"/>
        </w:rPr>
      </w:pPr>
      <w:r w:rsidRPr="00532855">
        <w:rPr>
          <w:sz w:val="24"/>
          <w:szCs w:val="24"/>
        </w:rPr>
        <w:t>The history of the hospital’s plumbing system was also examined including chlorination</w:t>
      </w:r>
      <w:r>
        <w:rPr>
          <w:sz w:val="24"/>
          <w:szCs w:val="24"/>
        </w:rPr>
        <w:t xml:space="preserve"> </w:t>
      </w:r>
      <w:r w:rsidRPr="00532855">
        <w:rPr>
          <w:sz w:val="24"/>
          <w:szCs w:val="24"/>
        </w:rPr>
        <w:t>flushing and phosphate treatment</w:t>
      </w:r>
      <w:r w:rsidRPr="00532855">
        <w:rPr>
          <w:rFonts w:eastAsia="Calibri" w:cs="Times New Roman"/>
          <w:sz w:val="24"/>
          <w:szCs w:val="24"/>
        </w:rPr>
        <w:t>.</w:t>
      </w:r>
      <w:r w:rsidRPr="00532855">
        <w:rPr>
          <w:sz w:val="24"/>
          <w:szCs w:val="24"/>
        </w:rPr>
        <w:t xml:space="preserve"> The investigators suspected that chlorination may have contributed to the high rates of dezincification and associated lead leaching</w:t>
      </w:r>
      <w:r w:rsidR="00B22235">
        <w:rPr>
          <w:sz w:val="24"/>
          <w:szCs w:val="24"/>
        </w:rPr>
        <w:t>,</w:t>
      </w:r>
      <w:r w:rsidRPr="00532855">
        <w:rPr>
          <w:sz w:val="24"/>
          <w:szCs w:val="24"/>
        </w:rPr>
        <w:t xml:space="preserve"> </w:t>
      </w:r>
      <w:r w:rsidR="00B22235">
        <w:rPr>
          <w:sz w:val="24"/>
          <w:szCs w:val="24"/>
        </w:rPr>
        <w:t>h</w:t>
      </w:r>
      <w:r w:rsidRPr="00532855">
        <w:rPr>
          <w:sz w:val="24"/>
          <w:szCs w:val="24"/>
        </w:rPr>
        <w:t xml:space="preserve">owever records were not available to confirm the contact time or concentration of chlorine used during commissioning of the plumbing system. </w:t>
      </w:r>
    </w:p>
    <w:p w14:paraId="4EAFB0A7" w14:textId="77777777" w:rsidR="00442DC7" w:rsidRPr="003B0155" w:rsidRDefault="00442DC7" w:rsidP="00DA119A">
      <w:pPr>
        <w:pStyle w:val="Heading3"/>
        <w:rPr>
          <w:rFonts w:ascii="Arial" w:hAnsi="Arial" w:cs="Arial"/>
          <w:b w:val="0"/>
          <w:bCs w:val="0"/>
          <w:szCs w:val="28"/>
        </w:rPr>
      </w:pPr>
      <w:r w:rsidRPr="003B0155">
        <w:rPr>
          <w:rFonts w:ascii="Arial" w:hAnsi="Arial" w:cs="Arial"/>
          <w:b w:val="0"/>
          <w:bCs w:val="0"/>
          <w:szCs w:val="28"/>
        </w:rPr>
        <w:t xml:space="preserve">Spiral Spring Mixer Taps </w:t>
      </w:r>
    </w:p>
    <w:p w14:paraId="4518CC29" w14:textId="443656DE" w:rsidR="00442DC7" w:rsidRPr="0051360D" w:rsidRDefault="00442DC7" w:rsidP="00CB18A3">
      <w:pPr>
        <w:spacing w:before="240" w:line="360" w:lineRule="auto"/>
        <w:jc w:val="both"/>
        <w:rPr>
          <w:sz w:val="24"/>
          <w:szCs w:val="24"/>
        </w:rPr>
      </w:pPr>
      <w:r w:rsidRPr="00491187">
        <w:rPr>
          <w:sz w:val="24"/>
          <w:szCs w:val="24"/>
        </w:rPr>
        <w:t xml:space="preserve">In 2017, </w:t>
      </w:r>
      <w:r>
        <w:rPr>
          <w:sz w:val="24"/>
          <w:szCs w:val="24"/>
        </w:rPr>
        <w:t>the Queensland Building and Construction Commission</w:t>
      </w:r>
      <w:r w:rsidRPr="00491187">
        <w:rPr>
          <w:sz w:val="24"/>
          <w:szCs w:val="24"/>
        </w:rPr>
        <w:t xml:space="preserve"> </w:t>
      </w:r>
      <w:r w:rsidR="00B26735">
        <w:rPr>
          <w:sz w:val="24"/>
          <w:szCs w:val="24"/>
        </w:rPr>
        <w:t xml:space="preserve">(QBCC) </w:t>
      </w:r>
      <w:r>
        <w:rPr>
          <w:sz w:val="24"/>
          <w:szCs w:val="24"/>
        </w:rPr>
        <w:t xml:space="preserve">reported </w:t>
      </w:r>
      <w:r w:rsidRPr="00491187">
        <w:rPr>
          <w:sz w:val="24"/>
          <w:szCs w:val="24"/>
        </w:rPr>
        <w:t xml:space="preserve">a </w:t>
      </w:r>
      <w:r>
        <w:rPr>
          <w:sz w:val="24"/>
          <w:szCs w:val="24"/>
        </w:rPr>
        <w:t xml:space="preserve">popular </w:t>
      </w:r>
      <w:r w:rsidRPr="00491187">
        <w:rPr>
          <w:sz w:val="24"/>
          <w:szCs w:val="24"/>
        </w:rPr>
        <w:t xml:space="preserve">type of mixer tap released up to </w:t>
      </w:r>
      <w:r>
        <w:rPr>
          <w:sz w:val="24"/>
          <w:szCs w:val="24"/>
        </w:rPr>
        <w:t>15</w:t>
      </w:r>
      <w:r w:rsidRPr="00491187">
        <w:rPr>
          <w:sz w:val="24"/>
          <w:szCs w:val="24"/>
        </w:rPr>
        <w:t xml:space="preserve"> times the permissible level of lead</w:t>
      </w:r>
      <w:r>
        <w:rPr>
          <w:sz w:val="24"/>
          <w:szCs w:val="24"/>
        </w:rPr>
        <w:t>.</w:t>
      </w:r>
      <w:r w:rsidRPr="00491187">
        <w:rPr>
          <w:sz w:val="24"/>
          <w:szCs w:val="24"/>
        </w:rPr>
        <w:t xml:space="preserve"> </w:t>
      </w:r>
      <w:r w:rsidR="00B22235">
        <w:rPr>
          <w:rFonts w:cs="Arial"/>
          <w:sz w:val="24"/>
          <w:szCs w:val="24"/>
          <w:shd w:val="clear" w:color="auto" w:fill="FFFFFF"/>
        </w:rPr>
        <w:t>I</w:t>
      </w:r>
      <w:r w:rsidRPr="008D48E8">
        <w:rPr>
          <w:rFonts w:cs="Arial"/>
          <w:sz w:val="24"/>
          <w:szCs w:val="24"/>
          <w:shd w:val="clear" w:color="auto" w:fill="FFFFFF"/>
        </w:rPr>
        <w:t xml:space="preserve">ndependent tests by the retailer showed the product to be compliant with </w:t>
      </w:r>
      <w:r>
        <w:rPr>
          <w:rFonts w:cs="Arial"/>
          <w:sz w:val="24"/>
          <w:szCs w:val="24"/>
          <w:shd w:val="clear" w:color="auto" w:fill="FFFFFF"/>
        </w:rPr>
        <w:t>lead levels permitted by AS/NZS 4020 when tested by an accredited AS/NZS 4020 testing laboratory</w:t>
      </w:r>
      <w:r w:rsidRPr="00491187">
        <w:rPr>
          <w:sz w:val="24"/>
          <w:szCs w:val="24"/>
        </w:rPr>
        <w:t>.</w:t>
      </w:r>
      <w:r>
        <w:rPr>
          <w:sz w:val="24"/>
          <w:szCs w:val="24"/>
        </w:rPr>
        <w:t xml:space="preserve"> </w:t>
      </w:r>
      <w:r w:rsidRPr="0051360D">
        <w:rPr>
          <w:sz w:val="24"/>
          <w:szCs w:val="24"/>
        </w:rPr>
        <w:t>Queensland Health sought advice from NATA on the inconsistency of the results. NATA could not identify anything that would account for the difference in the original results.</w:t>
      </w:r>
    </w:p>
    <w:p w14:paraId="635D2466" w14:textId="77777777" w:rsidR="00442DC7" w:rsidRPr="003B0155" w:rsidRDefault="00442DC7" w:rsidP="00DA119A">
      <w:pPr>
        <w:pStyle w:val="Heading3"/>
        <w:rPr>
          <w:rFonts w:ascii="Arial" w:hAnsi="Arial" w:cs="Arial"/>
          <w:b w:val="0"/>
          <w:bCs w:val="0"/>
          <w:szCs w:val="28"/>
        </w:rPr>
      </w:pPr>
      <w:r w:rsidRPr="003B0155">
        <w:rPr>
          <w:rFonts w:ascii="Arial" w:hAnsi="Arial" w:cs="Arial"/>
          <w:b w:val="0"/>
          <w:bCs w:val="0"/>
          <w:szCs w:val="28"/>
        </w:rPr>
        <w:t>Public water fountains</w:t>
      </w:r>
    </w:p>
    <w:p w14:paraId="074A3F4A" w14:textId="69F7C021" w:rsidR="00442DC7" w:rsidRPr="00AE11D5" w:rsidRDefault="00442DC7" w:rsidP="00CB18A3">
      <w:pPr>
        <w:spacing w:before="240" w:line="360" w:lineRule="auto"/>
        <w:jc w:val="both"/>
        <w:rPr>
          <w:rFonts w:eastAsia="Calibri" w:cs="Times New Roman"/>
          <w:sz w:val="24"/>
          <w:szCs w:val="24"/>
        </w:rPr>
      </w:pPr>
      <w:r w:rsidRPr="00AE11D5">
        <w:rPr>
          <w:rFonts w:eastAsia="Calibri" w:cs="Times New Roman"/>
          <w:sz w:val="24"/>
          <w:szCs w:val="24"/>
        </w:rPr>
        <w:t xml:space="preserve">In 2018, a random sample of public water fountains were found to have lead concentrations in excess of </w:t>
      </w:r>
      <w:r>
        <w:rPr>
          <w:rFonts w:eastAsia="Calibri" w:cs="Times New Roman"/>
          <w:sz w:val="24"/>
          <w:szCs w:val="24"/>
        </w:rPr>
        <w:t xml:space="preserve">10 </w:t>
      </w:r>
      <w:r w:rsidRPr="003A53FA">
        <w:rPr>
          <w:rFonts w:cs="Arial"/>
          <w:color w:val="333333"/>
          <w:sz w:val="24"/>
          <w:szCs w:val="24"/>
          <w:shd w:val="clear" w:color="auto" w:fill="FFFFFF"/>
        </w:rPr>
        <w:t>μ</w:t>
      </w:r>
      <w:r w:rsidRPr="003A53FA">
        <w:rPr>
          <w:rFonts w:cs="Arial"/>
          <w:bCs/>
          <w:iCs/>
          <w:sz w:val="24"/>
          <w:szCs w:val="24"/>
        </w:rPr>
        <w:t>g/L</w:t>
      </w:r>
      <w:r w:rsidRPr="00AE11D5">
        <w:rPr>
          <w:rFonts w:eastAsia="Calibri" w:cs="Times New Roman"/>
          <w:sz w:val="24"/>
          <w:szCs w:val="24"/>
        </w:rPr>
        <w:t xml:space="preserve"> in Geelong, Victoria.</w:t>
      </w:r>
      <w:r w:rsidRPr="00AE11D5">
        <w:rPr>
          <w:rFonts w:eastAsia="Calibri" w:cs="Times New Roman"/>
          <w:sz w:val="24"/>
          <w:szCs w:val="24"/>
          <w:vertAlign w:val="superscript"/>
        </w:rPr>
        <w:footnoteReference w:id="36"/>
      </w:r>
      <w:r w:rsidRPr="00AE11D5">
        <w:rPr>
          <w:rFonts w:eastAsia="Calibri" w:cs="Times New Roman"/>
          <w:sz w:val="24"/>
          <w:szCs w:val="24"/>
        </w:rPr>
        <w:t xml:space="preserve"> The evidence indicated that lead levels had accumulated in the drinking water because the drinking fountains were in</w:t>
      </w:r>
      <w:r w:rsidRPr="005851C9">
        <w:rPr>
          <w:rFonts w:eastAsia="Calibri" w:cs="Times New Roman"/>
          <w:sz w:val="24"/>
          <w:szCs w:val="24"/>
        </w:rPr>
        <w:t xml:space="preserve">frequently used and the resulting stagnation caused lead to leach from the brass fittings. It is also understood that </w:t>
      </w:r>
      <w:r w:rsidRPr="005851C9">
        <w:rPr>
          <w:sz w:val="24"/>
          <w:szCs w:val="24"/>
        </w:rPr>
        <w:t xml:space="preserve">of all the drinking fountains investigated in Geelong, 57% exceeded </w:t>
      </w:r>
      <w:r w:rsidRPr="005851C9">
        <w:rPr>
          <w:rFonts w:eastAsia="Calibri" w:cs="Times New Roman"/>
          <w:sz w:val="24"/>
          <w:szCs w:val="24"/>
        </w:rPr>
        <w:t xml:space="preserve">10 </w:t>
      </w:r>
      <w:r w:rsidRPr="005851C9">
        <w:rPr>
          <w:sz w:val="24"/>
          <w:szCs w:val="24"/>
        </w:rPr>
        <w:t xml:space="preserve">μg/L. Of the 130 sites investigated, 16% still exceeded 10 μg/L </w:t>
      </w:r>
      <w:r w:rsidRPr="005851C9">
        <w:rPr>
          <w:sz w:val="24"/>
          <w:szCs w:val="24"/>
        </w:rPr>
        <w:lastRenderedPageBreak/>
        <w:t>following a flush of the pipes – demonstrating the significant impact of lead leaching at some of those sites.</w:t>
      </w:r>
      <w:r>
        <w:t xml:space="preserve"> </w:t>
      </w:r>
    </w:p>
    <w:p w14:paraId="466AB261" w14:textId="77777777" w:rsidR="00442DC7" w:rsidRDefault="00442DC7" w:rsidP="00DA119A">
      <w:pPr>
        <w:spacing w:line="360" w:lineRule="auto"/>
        <w:jc w:val="both"/>
        <w:rPr>
          <w:sz w:val="24"/>
          <w:szCs w:val="24"/>
        </w:rPr>
      </w:pPr>
      <w:r>
        <w:rPr>
          <w:sz w:val="24"/>
          <w:szCs w:val="24"/>
        </w:rPr>
        <w:t xml:space="preserve">Lead content from drinking fountains in the Borough of Queenscliffe and Warrnambool, Victoria, was also found to be at levels higher than </w:t>
      </w:r>
      <w:r>
        <w:rPr>
          <w:rFonts w:eastAsia="Calibri" w:cs="Times New Roman"/>
          <w:sz w:val="24"/>
          <w:szCs w:val="24"/>
        </w:rPr>
        <w:t xml:space="preserve">10 </w:t>
      </w:r>
      <w:r w:rsidRPr="003A53FA">
        <w:rPr>
          <w:rFonts w:cs="Arial"/>
          <w:color w:val="333333"/>
          <w:sz w:val="24"/>
          <w:szCs w:val="24"/>
          <w:shd w:val="clear" w:color="auto" w:fill="FFFFFF"/>
        </w:rPr>
        <w:t>μ</w:t>
      </w:r>
      <w:r w:rsidRPr="003A53FA">
        <w:rPr>
          <w:rFonts w:cs="Arial"/>
          <w:bCs/>
          <w:iCs/>
          <w:sz w:val="24"/>
          <w:szCs w:val="24"/>
        </w:rPr>
        <w:t>g/L</w:t>
      </w:r>
      <w:r w:rsidRPr="00AE11D5">
        <w:rPr>
          <w:rFonts w:eastAsia="Calibri" w:cs="Times New Roman"/>
          <w:sz w:val="24"/>
          <w:szCs w:val="24"/>
        </w:rPr>
        <w:t xml:space="preserve"> </w:t>
      </w:r>
      <w:r>
        <w:rPr>
          <w:sz w:val="24"/>
          <w:szCs w:val="24"/>
        </w:rPr>
        <w:t xml:space="preserve">following testing of water fountains in the same year. </w:t>
      </w:r>
      <w:r w:rsidRPr="00547334">
        <w:rPr>
          <w:sz w:val="24"/>
          <w:szCs w:val="24"/>
        </w:rPr>
        <w:t xml:space="preserve">Testing revealed levels of lead and nickel above the acceptable amount specified in the </w:t>
      </w:r>
      <w:r>
        <w:rPr>
          <w:sz w:val="24"/>
          <w:szCs w:val="24"/>
        </w:rPr>
        <w:t>ADWG</w:t>
      </w:r>
      <w:r w:rsidRPr="00547334">
        <w:rPr>
          <w:sz w:val="24"/>
          <w:szCs w:val="24"/>
        </w:rPr>
        <w:t xml:space="preserve"> in water from six public drinking fountains</w:t>
      </w:r>
      <w:r>
        <w:rPr>
          <w:sz w:val="24"/>
          <w:szCs w:val="24"/>
        </w:rPr>
        <w:t xml:space="preserve"> in the Borough of Queenscliffe and two public drinking fountains in Warrnambool.</w:t>
      </w:r>
      <w:r>
        <w:rPr>
          <w:rStyle w:val="FootnoteReference"/>
          <w:sz w:val="24"/>
          <w:szCs w:val="24"/>
        </w:rPr>
        <w:footnoteReference w:id="37"/>
      </w:r>
      <w:r w:rsidRPr="00B457C6">
        <w:rPr>
          <w:sz w:val="24"/>
          <w:szCs w:val="24"/>
          <w:vertAlign w:val="superscript"/>
        </w:rPr>
        <w:t>,</w:t>
      </w:r>
      <w:r>
        <w:rPr>
          <w:rStyle w:val="FootnoteReference"/>
          <w:sz w:val="24"/>
          <w:szCs w:val="24"/>
        </w:rPr>
        <w:footnoteReference w:id="38"/>
      </w:r>
    </w:p>
    <w:p w14:paraId="064A0B6F" w14:textId="77777777" w:rsidR="00442DC7" w:rsidRPr="00D8385F" w:rsidRDefault="00442DC7" w:rsidP="00D8385F">
      <w:pPr>
        <w:pStyle w:val="Heading3"/>
        <w:rPr>
          <w:rFonts w:ascii="Arial" w:hAnsi="Arial" w:cs="Arial"/>
          <w:b w:val="0"/>
          <w:bCs w:val="0"/>
          <w:szCs w:val="28"/>
        </w:rPr>
      </w:pPr>
      <w:r w:rsidRPr="00D8385F">
        <w:rPr>
          <w:rFonts w:ascii="Arial" w:hAnsi="Arial" w:cs="Arial"/>
          <w:b w:val="0"/>
          <w:bCs w:val="0"/>
          <w:szCs w:val="28"/>
        </w:rPr>
        <w:t>Water Meters</w:t>
      </w:r>
    </w:p>
    <w:p w14:paraId="61A54CC8" w14:textId="77777777" w:rsidR="00442DC7" w:rsidRPr="007F069A" w:rsidRDefault="00442DC7" w:rsidP="00B409C6">
      <w:pPr>
        <w:spacing w:before="240" w:line="360" w:lineRule="auto"/>
        <w:jc w:val="both"/>
        <w:rPr>
          <w:sz w:val="24"/>
          <w:szCs w:val="24"/>
        </w:rPr>
      </w:pPr>
      <w:r w:rsidRPr="007F069A">
        <w:rPr>
          <w:sz w:val="24"/>
          <w:szCs w:val="24"/>
        </w:rPr>
        <w:t>Following an investigation into two children (siblings) with high blood lead levels, a sampling program for lead at point of delivery was undertaken by a water supply operator in Queensland. While water was found to not be the source of lead for the children, lead was detected in water samples taken at the water meters of some control properties.</w:t>
      </w:r>
    </w:p>
    <w:p w14:paraId="1D7F7BFC" w14:textId="77777777" w:rsidR="00442DC7" w:rsidRPr="007F069A" w:rsidRDefault="00442DC7" w:rsidP="00DA119A">
      <w:pPr>
        <w:spacing w:line="360" w:lineRule="auto"/>
        <w:jc w:val="both"/>
        <w:rPr>
          <w:sz w:val="24"/>
          <w:szCs w:val="24"/>
        </w:rPr>
      </w:pPr>
      <w:r w:rsidRPr="007F069A">
        <w:rPr>
          <w:sz w:val="24"/>
          <w:szCs w:val="24"/>
        </w:rPr>
        <w:t xml:space="preserve">Investigations into this issue are ongoing with a report being prepared by the NUO after investigations are complete.  Existing water meters are also being replaced with low lead alternatives where high levels of lead have been found. Queensland Health also understands at least one other local government area has replaced existing water meters with low lead meters. </w:t>
      </w:r>
    </w:p>
    <w:p w14:paraId="3EC43888" w14:textId="77777777" w:rsidR="00442DC7" w:rsidRPr="003B0155" w:rsidRDefault="00442DC7" w:rsidP="00DA119A">
      <w:pPr>
        <w:pStyle w:val="Heading2"/>
        <w:rPr>
          <w:rFonts w:ascii="Arial" w:hAnsi="Arial" w:cs="Arial"/>
          <w:b w:val="0"/>
          <w:bCs w:val="0"/>
        </w:rPr>
      </w:pPr>
      <w:bookmarkStart w:id="95" w:name="_Toc53963034"/>
      <w:bookmarkStart w:id="96" w:name="_Toc70887788"/>
      <w:bookmarkStart w:id="97" w:name="_Toc71195739"/>
      <w:bookmarkStart w:id="98" w:name="_Toc71789266"/>
      <w:r w:rsidRPr="004A6A9F">
        <w:rPr>
          <w:rFonts w:ascii="Arial" w:hAnsi="Arial" w:cs="Arial"/>
          <w:b w:val="0"/>
          <w:bCs w:val="0"/>
        </w:rPr>
        <w:t>Impacts of lead exposure on human health</w:t>
      </w:r>
      <w:bookmarkEnd w:id="95"/>
      <w:bookmarkEnd w:id="96"/>
      <w:bookmarkEnd w:id="97"/>
      <w:bookmarkEnd w:id="98"/>
    </w:p>
    <w:p w14:paraId="08B985E9" w14:textId="77777777" w:rsidR="00442DC7" w:rsidRDefault="00442DC7" w:rsidP="00B409C6">
      <w:pPr>
        <w:spacing w:before="240" w:line="360" w:lineRule="auto"/>
        <w:jc w:val="both"/>
        <w:rPr>
          <w:rFonts w:cs="Arial"/>
          <w:bCs/>
          <w:iCs/>
          <w:sz w:val="24"/>
          <w:szCs w:val="24"/>
        </w:rPr>
      </w:pPr>
      <w:r w:rsidRPr="009C0A5D">
        <w:rPr>
          <w:rFonts w:cs="Arial"/>
          <w:bCs/>
          <w:iCs/>
          <w:sz w:val="24"/>
          <w:szCs w:val="24"/>
        </w:rPr>
        <w:t xml:space="preserve">Lead </w:t>
      </w:r>
      <w:r>
        <w:rPr>
          <w:rFonts w:cs="Arial"/>
          <w:bCs/>
          <w:iCs/>
          <w:sz w:val="24"/>
          <w:szCs w:val="24"/>
        </w:rPr>
        <w:t>is</w:t>
      </w:r>
      <w:r w:rsidRPr="009C0A5D">
        <w:rPr>
          <w:rFonts w:cs="Arial"/>
          <w:bCs/>
          <w:iCs/>
          <w:sz w:val="24"/>
          <w:szCs w:val="24"/>
        </w:rPr>
        <w:t xml:space="preserve"> a cumulative toxicant and there is no blood</w:t>
      </w:r>
      <w:r>
        <w:rPr>
          <w:rFonts w:cs="Arial"/>
          <w:bCs/>
          <w:iCs/>
          <w:sz w:val="24"/>
          <w:szCs w:val="24"/>
        </w:rPr>
        <w:t xml:space="preserve"> </w:t>
      </w:r>
      <w:r w:rsidRPr="009C0A5D">
        <w:rPr>
          <w:rFonts w:cs="Arial"/>
          <w:bCs/>
          <w:iCs/>
          <w:sz w:val="24"/>
          <w:szCs w:val="24"/>
        </w:rPr>
        <w:t>lead level which is considered safe.</w:t>
      </w:r>
      <w:r w:rsidRPr="009C0A5D">
        <w:rPr>
          <w:rStyle w:val="FootnoteReference"/>
          <w:rFonts w:cs="Arial"/>
          <w:bCs/>
          <w:iCs/>
          <w:sz w:val="24"/>
          <w:szCs w:val="24"/>
        </w:rPr>
        <w:footnoteReference w:id="39"/>
      </w:r>
      <w:r w:rsidRPr="009C0A5D">
        <w:rPr>
          <w:rFonts w:cs="Arial"/>
          <w:bCs/>
          <w:iCs/>
          <w:sz w:val="24"/>
          <w:szCs w:val="24"/>
        </w:rPr>
        <w:t xml:space="preserve"> Once lead enters the blood, it is distributed to organs such as the brain, kidneys, liver and bones. At high exposure, lead has been known to cause coma, convulsion and death. </w:t>
      </w:r>
    </w:p>
    <w:p w14:paraId="50530094" w14:textId="416F24F8" w:rsidR="00442DC7" w:rsidRDefault="00442DC7" w:rsidP="00DA119A">
      <w:pPr>
        <w:spacing w:line="360" w:lineRule="auto"/>
        <w:jc w:val="both"/>
        <w:rPr>
          <w:rFonts w:cs="Arial"/>
          <w:bCs/>
          <w:iCs/>
          <w:sz w:val="24"/>
          <w:szCs w:val="24"/>
        </w:rPr>
      </w:pPr>
      <w:r w:rsidRPr="009200DD">
        <w:rPr>
          <w:rFonts w:cs="Arial"/>
          <w:bCs/>
          <w:iCs/>
          <w:sz w:val="24"/>
          <w:szCs w:val="24"/>
        </w:rPr>
        <w:lastRenderedPageBreak/>
        <w:t>Chronic exposure causes haematological effects, such as anaemia, or neurological disturbances, including headache, irritability, lethargy, convulsions, muscle weakness, ataxia, tremors and paralysis. Acute exposures may cause</w:t>
      </w:r>
      <w:r>
        <w:rPr>
          <w:rFonts w:cs="Arial"/>
          <w:bCs/>
          <w:iCs/>
          <w:sz w:val="24"/>
          <w:szCs w:val="24"/>
        </w:rPr>
        <w:t xml:space="preserve"> </w:t>
      </w:r>
      <w:r w:rsidRPr="009200DD">
        <w:rPr>
          <w:rFonts w:cs="Arial"/>
          <w:bCs/>
          <w:iCs/>
          <w:sz w:val="24"/>
          <w:szCs w:val="24"/>
        </w:rPr>
        <w:t>gastrointestinal disturbances (anorexia, nausea, vomiting</w:t>
      </w:r>
      <w:r>
        <w:rPr>
          <w:rFonts w:cs="Arial"/>
          <w:bCs/>
          <w:iCs/>
          <w:sz w:val="24"/>
          <w:szCs w:val="24"/>
        </w:rPr>
        <w:t xml:space="preserve"> and</w:t>
      </w:r>
      <w:r w:rsidRPr="009200DD">
        <w:rPr>
          <w:rFonts w:cs="Arial"/>
          <w:bCs/>
          <w:iCs/>
          <w:sz w:val="24"/>
          <w:szCs w:val="24"/>
        </w:rPr>
        <w:t xml:space="preserve"> abdominal pain), hepatic and renal damage, hypertension and neurological effects (malaise, drowsiness, encephalopathy).</w:t>
      </w:r>
      <w:r>
        <w:rPr>
          <w:rStyle w:val="FootnoteReference"/>
          <w:rFonts w:cs="Arial"/>
          <w:bCs/>
          <w:iCs/>
          <w:sz w:val="24"/>
          <w:szCs w:val="24"/>
        </w:rPr>
        <w:footnoteReference w:id="40"/>
      </w:r>
    </w:p>
    <w:p w14:paraId="1B4A0BCE" w14:textId="77777777" w:rsidR="00442DC7" w:rsidRPr="009200DD" w:rsidRDefault="00442DC7" w:rsidP="00DA119A">
      <w:pPr>
        <w:spacing w:line="360" w:lineRule="auto"/>
        <w:jc w:val="both"/>
        <w:rPr>
          <w:rFonts w:cs="Arial"/>
          <w:bCs/>
          <w:iCs/>
          <w:sz w:val="24"/>
          <w:szCs w:val="24"/>
        </w:rPr>
      </w:pPr>
      <w:r w:rsidRPr="009200DD">
        <w:rPr>
          <w:rFonts w:cs="Arial"/>
          <w:bCs/>
          <w:iCs/>
          <w:sz w:val="24"/>
          <w:szCs w:val="24"/>
        </w:rPr>
        <w:t>Children are particularly vulnerable to the neurotoxic effects of lead and even low levels of exposure can cause serious and, in some cases, irreversible neurological damage. The potential for adverse effects of lead exposure is greater for children than for adults</w:t>
      </w:r>
      <w:r>
        <w:rPr>
          <w:rFonts w:cs="Arial"/>
          <w:bCs/>
          <w:iCs/>
          <w:sz w:val="24"/>
          <w:szCs w:val="24"/>
        </w:rPr>
        <w:t xml:space="preserve"> </w:t>
      </w:r>
      <w:r w:rsidRPr="009200DD">
        <w:rPr>
          <w:rFonts w:cs="Arial"/>
          <w:bCs/>
          <w:iCs/>
          <w:sz w:val="24"/>
          <w:szCs w:val="24"/>
        </w:rPr>
        <w:t>because the intake of lead per unit</w:t>
      </w:r>
      <w:r>
        <w:rPr>
          <w:rFonts w:cs="Arial"/>
          <w:bCs/>
          <w:iCs/>
          <w:sz w:val="24"/>
          <w:szCs w:val="24"/>
        </w:rPr>
        <w:t xml:space="preserve"> of</w:t>
      </w:r>
      <w:r w:rsidRPr="009200DD">
        <w:rPr>
          <w:rFonts w:cs="Arial"/>
          <w:bCs/>
          <w:iCs/>
          <w:sz w:val="24"/>
          <w:szCs w:val="24"/>
        </w:rPr>
        <w:t xml:space="preserve"> body weight is higher, lead absorption in the gastrointestinal tract is higher, the blood</w:t>
      </w:r>
      <w:r>
        <w:rPr>
          <w:rFonts w:cs="Arial"/>
          <w:bCs/>
          <w:iCs/>
          <w:sz w:val="24"/>
          <w:szCs w:val="24"/>
        </w:rPr>
        <w:t>-</w:t>
      </w:r>
      <w:r w:rsidRPr="009200DD">
        <w:rPr>
          <w:rFonts w:cs="Arial"/>
          <w:bCs/>
          <w:iCs/>
          <w:sz w:val="24"/>
          <w:szCs w:val="24"/>
        </w:rPr>
        <w:t>brain barrier is not yet fully developed and neurological effects occur at lower levels than in adults.</w:t>
      </w:r>
      <w:r>
        <w:rPr>
          <w:rStyle w:val="FootnoteReference"/>
          <w:rFonts w:cs="Arial"/>
          <w:bCs/>
          <w:iCs/>
          <w:sz w:val="24"/>
          <w:szCs w:val="24"/>
        </w:rPr>
        <w:footnoteReference w:id="41"/>
      </w:r>
      <w:r w:rsidRPr="009200DD">
        <w:rPr>
          <w:rFonts w:cs="Arial"/>
          <w:bCs/>
          <w:iCs/>
          <w:sz w:val="24"/>
          <w:szCs w:val="24"/>
        </w:rPr>
        <w:t xml:space="preserve"> </w:t>
      </w:r>
    </w:p>
    <w:p w14:paraId="02B38FBE" w14:textId="77777777" w:rsidR="00442DC7" w:rsidRDefault="00442DC7" w:rsidP="00DA119A">
      <w:pPr>
        <w:spacing w:line="360" w:lineRule="auto"/>
        <w:jc w:val="both"/>
        <w:rPr>
          <w:rFonts w:cs="Arial"/>
          <w:bCs/>
          <w:iCs/>
          <w:sz w:val="24"/>
          <w:szCs w:val="24"/>
        </w:rPr>
      </w:pPr>
      <w:r w:rsidRPr="009C0A5D">
        <w:rPr>
          <w:rFonts w:cs="Arial"/>
          <w:bCs/>
          <w:iCs/>
          <w:sz w:val="24"/>
          <w:szCs w:val="24"/>
        </w:rPr>
        <w:t>At blood</w:t>
      </w:r>
      <w:r>
        <w:rPr>
          <w:rFonts w:cs="Arial"/>
          <w:bCs/>
          <w:iCs/>
          <w:sz w:val="24"/>
          <w:szCs w:val="24"/>
        </w:rPr>
        <w:t xml:space="preserve"> </w:t>
      </w:r>
      <w:r w:rsidRPr="009C0A5D">
        <w:rPr>
          <w:rFonts w:cs="Arial"/>
          <w:bCs/>
          <w:iCs/>
          <w:sz w:val="24"/>
          <w:szCs w:val="24"/>
        </w:rPr>
        <w:t>lead levels which were previously considered safe</w:t>
      </w:r>
      <w:r>
        <w:rPr>
          <w:rFonts w:cs="Arial"/>
          <w:bCs/>
          <w:iCs/>
          <w:sz w:val="24"/>
          <w:szCs w:val="24"/>
        </w:rPr>
        <w:t xml:space="preserve">, </w:t>
      </w:r>
      <w:r w:rsidRPr="009C0A5D">
        <w:rPr>
          <w:rFonts w:cs="Arial"/>
          <w:bCs/>
          <w:iCs/>
          <w:sz w:val="24"/>
          <w:szCs w:val="24"/>
        </w:rPr>
        <w:t xml:space="preserve">lead is now </w:t>
      </w:r>
      <w:r>
        <w:rPr>
          <w:rFonts w:cs="Arial"/>
          <w:bCs/>
          <w:iCs/>
          <w:sz w:val="24"/>
          <w:szCs w:val="24"/>
        </w:rPr>
        <w:t>associated with</w:t>
      </w:r>
      <w:r w:rsidRPr="009C0A5D">
        <w:rPr>
          <w:rFonts w:cs="Arial"/>
          <w:bCs/>
          <w:iCs/>
          <w:sz w:val="24"/>
          <w:szCs w:val="24"/>
        </w:rPr>
        <w:t xml:space="preserve"> reduced intelligence quotient (IQ)</w:t>
      </w:r>
      <w:r>
        <w:rPr>
          <w:rFonts w:cs="Arial"/>
          <w:bCs/>
          <w:iCs/>
          <w:sz w:val="24"/>
          <w:szCs w:val="24"/>
        </w:rPr>
        <w:t>.</w:t>
      </w:r>
      <w:r w:rsidRPr="009C0A5D">
        <w:rPr>
          <w:rFonts w:cs="Arial"/>
          <w:bCs/>
          <w:iCs/>
          <w:sz w:val="24"/>
          <w:szCs w:val="24"/>
        </w:rPr>
        <w:t xml:space="preserve"> </w:t>
      </w:r>
      <w:r>
        <w:rPr>
          <w:rFonts w:cs="Arial"/>
          <w:bCs/>
          <w:iCs/>
          <w:sz w:val="24"/>
          <w:szCs w:val="24"/>
        </w:rPr>
        <w:t>B</w:t>
      </w:r>
      <w:r w:rsidRPr="009C0A5D">
        <w:rPr>
          <w:rFonts w:cs="Arial"/>
          <w:bCs/>
          <w:iCs/>
          <w:sz w:val="24"/>
          <w:szCs w:val="24"/>
        </w:rPr>
        <w:t>ehavioural changes such as reduced attention span and increased antisocial behaviour, anaemia, hypertension, renal impairment, immunotoxicity and toxicity to reproductive organs</w:t>
      </w:r>
      <w:r>
        <w:rPr>
          <w:rFonts w:cs="Arial"/>
          <w:bCs/>
          <w:iCs/>
          <w:sz w:val="24"/>
          <w:szCs w:val="24"/>
        </w:rPr>
        <w:t xml:space="preserve"> have also been established from blood lead levels of 10 </w:t>
      </w:r>
      <w:r w:rsidRPr="001465C2">
        <w:rPr>
          <w:rFonts w:cs="Arial"/>
          <w:color w:val="333333"/>
          <w:sz w:val="24"/>
          <w:szCs w:val="24"/>
          <w:shd w:val="clear" w:color="auto" w:fill="FFFFFF"/>
        </w:rPr>
        <w:t>μ</w:t>
      </w:r>
      <w:r>
        <w:rPr>
          <w:rFonts w:cs="Arial"/>
          <w:bCs/>
          <w:iCs/>
          <w:sz w:val="24"/>
          <w:szCs w:val="24"/>
        </w:rPr>
        <w:t>g/dL and above</w:t>
      </w:r>
      <w:r w:rsidRPr="009C0A5D">
        <w:rPr>
          <w:rFonts w:cs="Arial"/>
          <w:bCs/>
          <w:iCs/>
          <w:sz w:val="24"/>
          <w:szCs w:val="24"/>
        </w:rPr>
        <w:t>. These effects are believed to be irreversible</w:t>
      </w:r>
      <w:r>
        <w:rPr>
          <w:rFonts w:cs="Arial"/>
          <w:bCs/>
          <w:iCs/>
          <w:sz w:val="24"/>
          <w:szCs w:val="24"/>
        </w:rPr>
        <w:t>.</w:t>
      </w:r>
    </w:p>
    <w:p w14:paraId="3D9E1E73" w14:textId="26BE98A4" w:rsidR="00442DC7" w:rsidRPr="00BB66EA" w:rsidRDefault="00442DC7" w:rsidP="00DA119A">
      <w:pPr>
        <w:spacing w:line="360" w:lineRule="auto"/>
        <w:jc w:val="both"/>
        <w:rPr>
          <w:rFonts w:cs="Arial"/>
          <w:bCs/>
          <w:iCs/>
          <w:sz w:val="24"/>
          <w:szCs w:val="24"/>
        </w:rPr>
      </w:pPr>
      <w:r w:rsidRPr="009200DD">
        <w:rPr>
          <w:rFonts w:cs="Arial"/>
          <w:bCs/>
          <w:iCs/>
          <w:sz w:val="24"/>
          <w:szCs w:val="24"/>
        </w:rPr>
        <w:t xml:space="preserve">The most critical effect of lead in young children is </w:t>
      </w:r>
      <w:r>
        <w:rPr>
          <w:rFonts w:cs="Arial"/>
          <w:bCs/>
          <w:iCs/>
          <w:sz w:val="24"/>
          <w:szCs w:val="24"/>
        </w:rPr>
        <w:t>on that of</w:t>
      </w:r>
      <w:r w:rsidRPr="009200DD">
        <w:rPr>
          <w:rFonts w:cs="Arial"/>
          <w:bCs/>
          <w:iCs/>
          <w:sz w:val="24"/>
          <w:szCs w:val="24"/>
        </w:rPr>
        <w:t xml:space="preserve"> the developing nervous system. Subtle effects on IQ are expected from blood lead levels at least as low as 5 µg/d</w:t>
      </w:r>
      <w:r>
        <w:rPr>
          <w:rFonts w:cs="Arial"/>
          <w:bCs/>
          <w:iCs/>
          <w:sz w:val="24"/>
          <w:szCs w:val="24"/>
        </w:rPr>
        <w:t xml:space="preserve">L </w:t>
      </w:r>
      <w:r w:rsidRPr="009200DD">
        <w:rPr>
          <w:rFonts w:cs="Arial"/>
          <w:bCs/>
          <w:iCs/>
          <w:sz w:val="24"/>
          <w:szCs w:val="24"/>
        </w:rPr>
        <w:t>and the effects gradually increase with increasing levels of lead in blood. Lead exposure has also been linked epidemiologically to attention deficit disorder and aggression.</w:t>
      </w:r>
      <w:r w:rsidRPr="00F45FEC">
        <w:rPr>
          <w:vertAlign w:val="superscript"/>
        </w:rPr>
        <w:footnoteReference w:id="42"/>
      </w:r>
      <w:r w:rsidRPr="009200DD">
        <w:rPr>
          <w:rFonts w:cs="Arial"/>
          <w:bCs/>
          <w:iCs/>
          <w:sz w:val="24"/>
          <w:szCs w:val="24"/>
        </w:rPr>
        <w:t xml:space="preserve"> </w:t>
      </w:r>
    </w:p>
    <w:p w14:paraId="760304FB" w14:textId="77777777" w:rsidR="00442DC7" w:rsidRPr="00EC4F9C" w:rsidRDefault="00442DC7" w:rsidP="00DA119A">
      <w:pPr>
        <w:spacing w:after="60" w:line="360" w:lineRule="auto"/>
        <w:jc w:val="both"/>
        <w:rPr>
          <w:rFonts w:cs="Arial"/>
          <w:bCs/>
          <w:iCs/>
          <w:color w:val="002060"/>
          <w:sz w:val="24"/>
          <w:szCs w:val="24"/>
        </w:rPr>
      </w:pPr>
      <w:r w:rsidRPr="00EC4F9C">
        <w:rPr>
          <w:rFonts w:cs="Arial"/>
          <w:bCs/>
          <w:iCs/>
          <w:color w:val="002060"/>
          <w:sz w:val="24"/>
          <w:szCs w:val="24"/>
        </w:rPr>
        <w:t>Evidence from the NHMRC on the effects of lead on human health</w:t>
      </w:r>
    </w:p>
    <w:p w14:paraId="6CE314E8" w14:textId="77777777" w:rsidR="00442DC7" w:rsidRPr="00CC66C1" w:rsidRDefault="00442DC7" w:rsidP="00DA119A">
      <w:pPr>
        <w:spacing w:after="60" w:line="360" w:lineRule="auto"/>
        <w:jc w:val="both"/>
        <w:rPr>
          <w:rFonts w:cs="Arial"/>
          <w:bCs/>
          <w:i/>
          <w:sz w:val="24"/>
          <w:szCs w:val="24"/>
          <w:vertAlign w:val="superscript"/>
        </w:rPr>
      </w:pPr>
      <w:r>
        <w:rPr>
          <w:rFonts w:cs="Arial"/>
          <w:bCs/>
          <w:iCs/>
          <w:sz w:val="24"/>
          <w:szCs w:val="24"/>
        </w:rPr>
        <w:t xml:space="preserve">In 2015, the NHMRC released a report on the effects of lead on human health. </w:t>
      </w:r>
      <w:r w:rsidRPr="00EC4F9C">
        <w:rPr>
          <w:rFonts w:cs="Arial"/>
          <w:bCs/>
          <w:iCs/>
          <w:sz w:val="24"/>
          <w:szCs w:val="24"/>
        </w:rPr>
        <w:t xml:space="preserve">After considering the evidence and taking into account the quality and design of the studies, </w:t>
      </w:r>
      <w:r w:rsidRPr="00EC4F9C">
        <w:rPr>
          <w:rFonts w:cs="Arial"/>
          <w:bCs/>
          <w:iCs/>
          <w:sz w:val="24"/>
          <w:szCs w:val="24"/>
        </w:rPr>
        <w:lastRenderedPageBreak/>
        <w:t xml:space="preserve">the Lead Working Committee made the following conclusions about the health effects on the population with blood lead levels less than 10 </w:t>
      </w:r>
      <w:r w:rsidRPr="00E81EEC">
        <w:rPr>
          <w:rFonts w:cs="Arial"/>
          <w:bCs/>
          <w:iCs/>
          <w:sz w:val="24"/>
          <w:szCs w:val="24"/>
        </w:rPr>
        <w:t>μg/dL</w:t>
      </w:r>
      <w:r w:rsidRPr="00EC4F9C">
        <w:rPr>
          <w:rFonts w:cs="Arial"/>
          <w:bCs/>
          <w:iCs/>
          <w:sz w:val="24"/>
          <w:szCs w:val="24"/>
        </w:rPr>
        <w:t>:</w:t>
      </w:r>
      <w:r w:rsidRPr="00900EC4">
        <w:rPr>
          <w:rFonts w:cs="Arial"/>
          <w:bCs/>
          <w:i/>
          <w:sz w:val="24"/>
          <w:szCs w:val="24"/>
          <w:vertAlign w:val="superscript"/>
        </w:rPr>
        <w:t xml:space="preserve"> </w:t>
      </w:r>
      <w:r w:rsidRPr="00900EC4">
        <w:rPr>
          <w:rFonts w:cs="Arial"/>
          <w:bCs/>
          <w:iCs/>
          <w:sz w:val="24"/>
          <w:szCs w:val="24"/>
          <w:vertAlign w:val="superscript"/>
        </w:rPr>
        <w:footnoteReference w:id="43"/>
      </w:r>
    </w:p>
    <w:p w14:paraId="5EA5EEB5" w14:textId="77777777" w:rsidR="00442DC7" w:rsidRDefault="00442DC7" w:rsidP="002D1E18">
      <w:pPr>
        <w:pStyle w:val="Quote"/>
        <w:spacing w:before="120" w:line="360" w:lineRule="auto"/>
        <w:jc w:val="both"/>
      </w:pPr>
      <w:bookmarkStart w:id="99" w:name="_Hlk42072847"/>
      <w:r>
        <w:t>“</w:t>
      </w:r>
      <w:r w:rsidRPr="00EC4F9C">
        <w:t xml:space="preserve">While the body of evidence indicates that there may be an association between blood lead levels and health effects in some population groups, there is not enough high-quality evidence (i.e. results of studies that were well-designed, well-conducted and well-reported) to conclude that a blood lead level less than 10 micrograms per decilitre was the causing factor for any health effects that were observed. </w:t>
      </w:r>
    </w:p>
    <w:p w14:paraId="1EC37B49" w14:textId="77777777" w:rsidR="00442DC7" w:rsidRDefault="00442DC7" w:rsidP="002D1E18">
      <w:pPr>
        <w:pStyle w:val="Quote"/>
        <w:spacing w:after="240" w:line="360" w:lineRule="auto"/>
        <w:ind w:left="862" w:right="862"/>
        <w:jc w:val="both"/>
      </w:pPr>
      <w:r w:rsidRPr="00EC4F9C">
        <w:t>The available evidence suggests that blood lead levels between 5 micrograms and 10 micrograms per decilitre are associated with reduced IQ and academic achievement in children. The relative contribution of lead in causing reduced IQ is unknown. Certain populations of children may be affected by other factors (e.g. socioeconomic status, education, parenting style, diet, or exposure to other substances) that put them at greater risk, making it difficult to know how much blood lead levels between 5 micrograms and 10 micrograms per decilitre may contribute to reduced IQ.</w:t>
      </w:r>
      <w:r>
        <w:t>”</w:t>
      </w:r>
    </w:p>
    <w:p w14:paraId="4C5D57B7" w14:textId="77777777" w:rsidR="00442DC7" w:rsidRPr="006313FE" w:rsidRDefault="00442DC7" w:rsidP="00DA119A">
      <w:pPr>
        <w:spacing w:after="120" w:line="360" w:lineRule="auto"/>
        <w:jc w:val="both"/>
        <w:rPr>
          <w:sz w:val="24"/>
          <w:szCs w:val="24"/>
        </w:rPr>
      </w:pPr>
      <w:r w:rsidRPr="00064661">
        <w:rPr>
          <w:sz w:val="24"/>
          <w:szCs w:val="24"/>
        </w:rPr>
        <w:t xml:space="preserve">Despite the uncertainty of these findings, </w:t>
      </w:r>
      <w:r>
        <w:rPr>
          <w:sz w:val="24"/>
          <w:szCs w:val="24"/>
        </w:rPr>
        <w:t xml:space="preserve">the </w:t>
      </w:r>
      <w:r w:rsidRPr="00064661">
        <w:rPr>
          <w:sz w:val="24"/>
          <w:szCs w:val="24"/>
        </w:rPr>
        <w:t>NHMRC and experts from the Lead Working Committee had sufficient concerns about the health impacts to issue the NHMRC Statement: Evidence on the effects of lead on human health (2015) (the Statement).</w:t>
      </w:r>
      <w:r w:rsidRPr="00064661">
        <w:rPr>
          <w:rStyle w:val="FootnoteReference"/>
          <w:sz w:val="24"/>
          <w:szCs w:val="24"/>
        </w:rPr>
        <w:footnoteReference w:id="44"/>
      </w:r>
      <w:r w:rsidRPr="00064661">
        <w:rPr>
          <w:sz w:val="24"/>
          <w:szCs w:val="24"/>
        </w:rPr>
        <w:t xml:space="preserve"> The Statement recommends that exposure to lead should be eliminated as much as possible to reduce the risk of harm to the individual and the community. It is also recommended that if an individual has a blood lead level greater than 5 µg/dL</w:t>
      </w:r>
      <w:r>
        <w:rPr>
          <w:sz w:val="24"/>
          <w:szCs w:val="24"/>
        </w:rPr>
        <w:t>,</w:t>
      </w:r>
      <w:r w:rsidRPr="00064661">
        <w:rPr>
          <w:sz w:val="24"/>
          <w:szCs w:val="24"/>
        </w:rPr>
        <w:t xml:space="preserve"> the source of lead exposure should be identified and reduced, particularly if the person is a child or a pregnant woman. The Lead Working Committee had expertise in public and environmental health, health risk management, toxicology and paediatric medicine. The Statement was endorsed by </w:t>
      </w:r>
      <w:r>
        <w:rPr>
          <w:sz w:val="24"/>
          <w:szCs w:val="24"/>
        </w:rPr>
        <w:t xml:space="preserve">the </w:t>
      </w:r>
      <w:r w:rsidRPr="00064661">
        <w:rPr>
          <w:sz w:val="24"/>
          <w:szCs w:val="24"/>
        </w:rPr>
        <w:t>NHMRC Council, which includes the Chief Health and Medical Officers from the states and territories.</w:t>
      </w:r>
    </w:p>
    <w:bookmarkEnd w:id="99"/>
    <w:p w14:paraId="33FAEA29" w14:textId="25937816" w:rsidR="00442DC7" w:rsidRDefault="00442DC7" w:rsidP="00DA119A">
      <w:pPr>
        <w:spacing w:after="120" w:line="360" w:lineRule="auto"/>
        <w:jc w:val="both"/>
        <w:rPr>
          <w:rFonts w:cs="Arial"/>
          <w:bCs/>
          <w:iCs/>
          <w:sz w:val="24"/>
          <w:szCs w:val="24"/>
        </w:rPr>
      </w:pPr>
      <w:r w:rsidRPr="00C22F7B">
        <w:rPr>
          <w:rFonts w:cs="Arial"/>
          <w:bCs/>
          <w:iCs/>
          <w:sz w:val="24"/>
          <w:szCs w:val="24"/>
        </w:rPr>
        <w:t>The findings of the NHMRC</w:t>
      </w:r>
      <w:r>
        <w:rPr>
          <w:rFonts w:cs="Arial"/>
          <w:bCs/>
          <w:iCs/>
          <w:sz w:val="24"/>
          <w:szCs w:val="24"/>
        </w:rPr>
        <w:t xml:space="preserve"> are important for two reasons. Firstly, they show there may be an association between low level lead exposure and health impacts and more high-quality evidence could reveal a causal relationship. Secondly, the findings </w:t>
      </w:r>
      <w:r>
        <w:rPr>
          <w:rFonts w:cs="Arial"/>
          <w:bCs/>
          <w:iCs/>
          <w:sz w:val="24"/>
          <w:szCs w:val="24"/>
        </w:rPr>
        <w:lastRenderedPageBreak/>
        <w:t xml:space="preserve">demonstrate that quantifying the health impacts below a blood lead level of 10 </w:t>
      </w:r>
      <w:r w:rsidRPr="00C22F7B">
        <w:rPr>
          <w:rFonts w:cs="Arial"/>
          <w:bCs/>
          <w:iCs/>
          <w:sz w:val="24"/>
          <w:szCs w:val="24"/>
        </w:rPr>
        <w:t>μ</w:t>
      </w:r>
      <w:r>
        <w:rPr>
          <w:rFonts w:cs="Arial"/>
          <w:bCs/>
          <w:iCs/>
          <w:sz w:val="24"/>
          <w:szCs w:val="24"/>
        </w:rPr>
        <w:t>g/dL will be difficult and may not reflect the true impacts based on the uncertainty of health impacts below this threshold</w:t>
      </w:r>
      <w:r w:rsidR="00B22235">
        <w:rPr>
          <w:rFonts w:cs="Arial"/>
          <w:bCs/>
          <w:iCs/>
          <w:sz w:val="24"/>
          <w:szCs w:val="24"/>
        </w:rPr>
        <w:t>,</w:t>
      </w:r>
      <w:r>
        <w:rPr>
          <w:rFonts w:cs="Arial"/>
          <w:bCs/>
          <w:iCs/>
          <w:sz w:val="24"/>
          <w:szCs w:val="24"/>
        </w:rPr>
        <w:t xml:space="preserve"> </w:t>
      </w:r>
      <w:r w:rsidR="00B22235">
        <w:rPr>
          <w:rFonts w:cs="Arial"/>
          <w:bCs/>
          <w:iCs/>
          <w:sz w:val="24"/>
          <w:szCs w:val="24"/>
        </w:rPr>
        <w:t>h</w:t>
      </w:r>
      <w:r>
        <w:rPr>
          <w:rFonts w:cs="Arial"/>
          <w:bCs/>
          <w:iCs/>
          <w:sz w:val="24"/>
          <w:szCs w:val="24"/>
        </w:rPr>
        <w:t xml:space="preserve">owever this does not mean the impacts do not exist. </w:t>
      </w:r>
    </w:p>
    <w:p w14:paraId="3BF60933" w14:textId="77777777" w:rsidR="00442DC7" w:rsidRDefault="00442DC7" w:rsidP="00DA119A">
      <w:pPr>
        <w:spacing w:after="120" w:line="360" w:lineRule="auto"/>
        <w:jc w:val="both"/>
        <w:rPr>
          <w:rFonts w:cs="Arial"/>
          <w:bCs/>
          <w:iCs/>
          <w:sz w:val="24"/>
          <w:szCs w:val="24"/>
        </w:rPr>
      </w:pPr>
      <w:r>
        <w:rPr>
          <w:rFonts w:cs="Arial"/>
          <w:bCs/>
          <w:iCs/>
          <w:sz w:val="24"/>
          <w:szCs w:val="24"/>
        </w:rPr>
        <w:t>In response to the Consultation RIS, the NHMRC further emphasised the need to lower lead exposure from all sources despite the ongoing uncertainty on the extent low lead exposure from drinking water is contributing to the total health effects of lead exposure:</w:t>
      </w:r>
    </w:p>
    <w:p w14:paraId="68CBCF5A" w14:textId="77777777" w:rsidR="00442DC7" w:rsidRPr="002D1E18" w:rsidRDefault="00442DC7" w:rsidP="002D1E18">
      <w:pPr>
        <w:spacing w:after="120" w:line="360" w:lineRule="auto"/>
        <w:ind w:left="720"/>
        <w:jc w:val="both"/>
        <w:rPr>
          <w:i/>
          <w:iCs/>
          <w:color w:val="404040" w:themeColor="text1" w:themeTint="BF"/>
        </w:rPr>
      </w:pPr>
      <w:r w:rsidRPr="002D1E18">
        <w:rPr>
          <w:i/>
          <w:iCs/>
          <w:color w:val="404040" w:themeColor="text1" w:themeTint="BF"/>
        </w:rPr>
        <w:t xml:space="preserve">“In the section on health effects, </w:t>
      </w:r>
      <w:bookmarkStart w:id="100" w:name="_Hlk70346889"/>
      <w:r w:rsidRPr="002D1E18">
        <w:rPr>
          <w:i/>
          <w:iCs/>
          <w:color w:val="404040" w:themeColor="text1" w:themeTint="BF"/>
        </w:rPr>
        <w:t>it needs to be made clear that, as well as being a cumulative toxicant, the critical health effects observed from lead exposure (e.g. known or suspected reproductive/developmental, mutagenic and carcinogenic health effects (AICIS 2016)) can be realised in a relatively short timeframe, particularly those observed in children. The uncertainty about the blood lead levels at which these effects occur means that a safe threshold of lead exposure cannot be established and the risks will only increase with ongoing exposure to lead as it accumulates within the body.”</w:t>
      </w:r>
      <w:bookmarkEnd w:id="100"/>
    </w:p>
    <w:p w14:paraId="6DDEAA20" w14:textId="77777777" w:rsidR="00442DC7" w:rsidRPr="00E00560" w:rsidRDefault="00442DC7" w:rsidP="00DA119A">
      <w:pPr>
        <w:spacing w:after="120" w:line="360" w:lineRule="auto"/>
        <w:jc w:val="both"/>
        <w:rPr>
          <w:sz w:val="24"/>
          <w:szCs w:val="24"/>
        </w:rPr>
      </w:pPr>
      <w:r>
        <w:rPr>
          <w:sz w:val="24"/>
          <w:szCs w:val="24"/>
        </w:rPr>
        <w:t xml:space="preserve">The </w:t>
      </w:r>
      <w:r w:rsidRPr="00E00560">
        <w:rPr>
          <w:sz w:val="24"/>
          <w:szCs w:val="24"/>
        </w:rPr>
        <w:t>NHMRC’s position is supported by the 2017 revision to the WHO Guidelines for Drinking-water Quality</w:t>
      </w:r>
      <w:r>
        <w:rPr>
          <w:sz w:val="24"/>
          <w:szCs w:val="24"/>
        </w:rPr>
        <w:t>,</w:t>
      </w:r>
      <w:r w:rsidRPr="00E00560">
        <w:rPr>
          <w:sz w:val="24"/>
          <w:szCs w:val="24"/>
        </w:rPr>
        <w:t xml:space="preserve"> which state</w:t>
      </w:r>
      <w:r>
        <w:rPr>
          <w:sz w:val="24"/>
          <w:szCs w:val="24"/>
        </w:rPr>
        <w:t>s</w:t>
      </w:r>
      <w:r w:rsidRPr="00E00560">
        <w:rPr>
          <w:sz w:val="24"/>
          <w:szCs w:val="24"/>
        </w:rPr>
        <w:t xml:space="preserve">: </w:t>
      </w:r>
      <w:bookmarkStart w:id="101" w:name="_Hlk68450693"/>
    </w:p>
    <w:p w14:paraId="12318630" w14:textId="77777777" w:rsidR="00442DC7" w:rsidRPr="002D1E18" w:rsidRDefault="00442DC7" w:rsidP="002D1E18">
      <w:pPr>
        <w:spacing w:after="120" w:line="360" w:lineRule="auto"/>
        <w:ind w:left="720"/>
        <w:jc w:val="both"/>
        <w:rPr>
          <w:i/>
          <w:iCs/>
          <w:color w:val="404040" w:themeColor="text1" w:themeTint="BF"/>
        </w:rPr>
      </w:pPr>
      <w:r w:rsidRPr="002D1E18">
        <w:rPr>
          <w:i/>
          <w:iCs/>
          <w:color w:val="404040" w:themeColor="text1" w:themeTint="BF"/>
        </w:rPr>
        <w:t>“The guideline value is designated as provisional based on treatment performance and analytical achievability. As this is no longer a health-based guideline value, concentrations should be maintained as low as reasonably practical. New sources of lead, such as service connections and lead solder, should not be introduced into any system, and low lead alloy fittings should be used in repairs and new installations”</w:t>
      </w:r>
      <w:bookmarkEnd w:id="101"/>
      <w:r w:rsidRPr="002D1E18">
        <w:rPr>
          <w:i/>
          <w:iCs/>
          <w:color w:val="404040" w:themeColor="text1" w:themeTint="BF"/>
        </w:rPr>
        <w:t xml:space="preserve">. </w:t>
      </w:r>
    </w:p>
    <w:p w14:paraId="10F59CF5" w14:textId="77777777" w:rsidR="00442DC7" w:rsidRPr="004C6304" w:rsidRDefault="00442DC7" w:rsidP="00DA119A">
      <w:pPr>
        <w:spacing w:line="360" w:lineRule="auto"/>
        <w:jc w:val="both"/>
        <w:rPr>
          <w:sz w:val="24"/>
          <w:szCs w:val="24"/>
        </w:rPr>
      </w:pPr>
      <w:bookmarkStart w:id="102" w:name="_Toc47287460"/>
      <w:bookmarkStart w:id="103" w:name="_Toc47287743"/>
      <w:bookmarkStart w:id="104" w:name="_Toc47287884"/>
      <w:bookmarkStart w:id="105" w:name="_Toc53963035"/>
      <w:r w:rsidRPr="004C6304">
        <w:rPr>
          <w:sz w:val="24"/>
          <w:szCs w:val="24"/>
        </w:rPr>
        <w:t xml:space="preserve">Both of these statements encourage further intervention in reducing lead exposure from all sources despite the uncertainty associated with low lead exposure from plumbing products in contact with drinking water. </w:t>
      </w:r>
    </w:p>
    <w:p w14:paraId="39931B5A" w14:textId="77777777" w:rsidR="00442DC7" w:rsidRDefault="00442DC7" w:rsidP="002661B0">
      <w:pPr>
        <w:pStyle w:val="Heading3"/>
        <w:spacing w:after="240"/>
        <w:rPr>
          <w:rFonts w:ascii="Arial" w:hAnsi="Arial" w:cs="Arial"/>
          <w:b w:val="0"/>
          <w:bCs w:val="0"/>
        </w:rPr>
      </w:pPr>
      <w:bookmarkStart w:id="106" w:name="_Toc70887789"/>
      <w:bookmarkStart w:id="107" w:name="_Toc71195740"/>
      <w:bookmarkStart w:id="108" w:name="_Toc71789267"/>
      <w:r w:rsidRPr="000F113D">
        <w:rPr>
          <w:rFonts w:ascii="Arial" w:hAnsi="Arial" w:cs="Arial"/>
          <w:b w:val="0"/>
          <w:bCs w:val="0"/>
        </w:rPr>
        <w:t xml:space="preserve">Regulatory </w:t>
      </w:r>
      <w:r>
        <w:rPr>
          <w:rFonts w:ascii="Arial" w:hAnsi="Arial" w:cs="Arial"/>
          <w:b w:val="0"/>
          <w:bCs w:val="0"/>
        </w:rPr>
        <w:t>interventions in Australia</w:t>
      </w:r>
      <w:bookmarkEnd w:id="102"/>
      <w:bookmarkEnd w:id="103"/>
      <w:bookmarkEnd w:id="104"/>
      <w:bookmarkEnd w:id="105"/>
      <w:bookmarkEnd w:id="106"/>
      <w:bookmarkEnd w:id="107"/>
      <w:bookmarkEnd w:id="108"/>
    </w:p>
    <w:p w14:paraId="5B8D15F3" w14:textId="77777777" w:rsidR="00442DC7" w:rsidRPr="00DA13B3" w:rsidRDefault="00442DC7" w:rsidP="00D77525">
      <w:pPr>
        <w:spacing w:after="120" w:line="360" w:lineRule="auto"/>
        <w:jc w:val="both"/>
        <w:rPr>
          <w:rFonts w:cs="Arial"/>
          <w:color w:val="002060"/>
          <w:sz w:val="24"/>
          <w:szCs w:val="24"/>
        </w:rPr>
      </w:pPr>
      <w:r w:rsidRPr="00DA13B3">
        <w:rPr>
          <w:rFonts w:cs="Arial"/>
          <w:color w:val="002060"/>
          <w:sz w:val="24"/>
          <w:szCs w:val="24"/>
        </w:rPr>
        <w:t xml:space="preserve">National regulatory intervention </w:t>
      </w:r>
    </w:p>
    <w:p w14:paraId="4E8FE557" w14:textId="77777777" w:rsidR="00442DC7" w:rsidRDefault="00442DC7" w:rsidP="00D77525">
      <w:pPr>
        <w:spacing w:after="120" w:line="360" w:lineRule="auto"/>
        <w:jc w:val="both"/>
        <w:rPr>
          <w:rFonts w:cs="Arial"/>
          <w:sz w:val="24"/>
          <w:szCs w:val="24"/>
        </w:rPr>
      </w:pPr>
      <w:r w:rsidRPr="00191223">
        <w:rPr>
          <w:rFonts w:cs="Arial"/>
          <w:sz w:val="24"/>
          <w:szCs w:val="24"/>
        </w:rPr>
        <w:t>Due to the consequences of high-level lead exposure, there ha</w:t>
      </w:r>
      <w:r>
        <w:rPr>
          <w:rFonts w:cs="Arial"/>
          <w:sz w:val="24"/>
          <w:szCs w:val="24"/>
        </w:rPr>
        <w:t>ve</w:t>
      </w:r>
      <w:r w:rsidRPr="00191223">
        <w:rPr>
          <w:rFonts w:cs="Arial"/>
          <w:sz w:val="24"/>
          <w:szCs w:val="24"/>
        </w:rPr>
        <w:t xml:space="preserve"> been several significant regulatory interventions over the past two decades to reduce lead levels </w:t>
      </w:r>
      <w:r>
        <w:rPr>
          <w:rFonts w:cs="Arial"/>
          <w:sz w:val="24"/>
          <w:szCs w:val="24"/>
        </w:rPr>
        <w:t>in Australia</w:t>
      </w:r>
      <w:r w:rsidRPr="00191223">
        <w:rPr>
          <w:rFonts w:cs="Arial"/>
          <w:sz w:val="24"/>
          <w:szCs w:val="24"/>
        </w:rPr>
        <w:t xml:space="preserve">. </w:t>
      </w:r>
    </w:p>
    <w:p w14:paraId="015E2130" w14:textId="77777777" w:rsidR="00442DC7" w:rsidRPr="00191223" w:rsidRDefault="00442DC7" w:rsidP="004D23A1">
      <w:pPr>
        <w:jc w:val="both"/>
        <w:rPr>
          <w:rFonts w:cs="Arial"/>
          <w:sz w:val="24"/>
          <w:szCs w:val="24"/>
        </w:rPr>
      </w:pPr>
      <w:r w:rsidRPr="00191223">
        <w:rPr>
          <w:rFonts w:cs="Arial"/>
          <w:sz w:val="24"/>
          <w:szCs w:val="24"/>
        </w:rPr>
        <w:t xml:space="preserve">These </w:t>
      </w:r>
      <w:r>
        <w:rPr>
          <w:rFonts w:cs="Arial"/>
          <w:sz w:val="24"/>
          <w:szCs w:val="24"/>
        </w:rPr>
        <w:t>interventions</w:t>
      </w:r>
      <w:r w:rsidRPr="00191223">
        <w:rPr>
          <w:rFonts w:cs="Arial"/>
          <w:sz w:val="24"/>
          <w:szCs w:val="24"/>
        </w:rPr>
        <w:t xml:space="preserve"> include:</w:t>
      </w:r>
    </w:p>
    <w:p w14:paraId="132BD51B" w14:textId="77777777" w:rsidR="00442DC7" w:rsidRDefault="00442DC7" w:rsidP="008734AE">
      <w:pPr>
        <w:pStyle w:val="ListParagraph"/>
        <w:numPr>
          <w:ilvl w:val="0"/>
          <w:numId w:val="16"/>
        </w:numPr>
        <w:spacing w:line="360" w:lineRule="auto"/>
        <w:ind w:left="714" w:hanging="357"/>
        <w:jc w:val="both"/>
        <w:rPr>
          <w:rFonts w:cs="Arial"/>
          <w:sz w:val="24"/>
          <w:szCs w:val="24"/>
        </w:rPr>
      </w:pPr>
      <w:r w:rsidRPr="00D10157">
        <w:rPr>
          <w:rFonts w:cs="Arial"/>
          <w:sz w:val="24"/>
          <w:szCs w:val="24"/>
        </w:rPr>
        <w:lastRenderedPageBreak/>
        <w:t xml:space="preserve">Lead </w:t>
      </w:r>
      <w:r>
        <w:rPr>
          <w:rFonts w:cs="Arial"/>
          <w:sz w:val="24"/>
          <w:szCs w:val="24"/>
        </w:rPr>
        <w:t>no longer being added</w:t>
      </w:r>
      <w:r w:rsidRPr="00D10157">
        <w:rPr>
          <w:rFonts w:cs="Arial"/>
          <w:sz w:val="24"/>
          <w:szCs w:val="24"/>
        </w:rPr>
        <w:t xml:space="preserve"> to petrol since 2002.</w:t>
      </w:r>
      <w:r>
        <w:rPr>
          <w:rFonts w:cs="Arial"/>
          <w:sz w:val="24"/>
          <w:szCs w:val="24"/>
        </w:rPr>
        <w:t xml:space="preserve"> Lead is permitted in unleaded petrol up to 0.5 mg/L (500 </w:t>
      </w:r>
      <w:r w:rsidRPr="00C22F7B">
        <w:rPr>
          <w:rFonts w:cs="Arial"/>
          <w:bCs/>
          <w:iCs/>
          <w:sz w:val="24"/>
          <w:szCs w:val="24"/>
        </w:rPr>
        <w:t>μ</w:t>
      </w:r>
      <w:r>
        <w:rPr>
          <w:rFonts w:cs="Arial"/>
          <w:bCs/>
          <w:iCs/>
          <w:sz w:val="24"/>
          <w:szCs w:val="24"/>
        </w:rPr>
        <w:t>g</w:t>
      </w:r>
      <w:r>
        <w:rPr>
          <w:rFonts w:cs="Arial"/>
          <w:sz w:val="24"/>
          <w:szCs w:val="24"/>
        </w:rPr>
        <w:t>/L) when tested to ASTM D3237.</w:t>
      </w:r>
      <w:r>
        <w:rPr>
          <w:rStyle w:val="FootnoteReference"/>
          <w:rFonts w:cs="Arial"/>
          <w:sz w:val="24"/>
          <w:szCs w:val="24"/>
        </w:rPr>
        <w:footnoteReference w:id="45"/>
      </w:r>
      <w:r>
        <w:rPr>
          <w:rFonts w:cs="Arial"/>
          <w:sz w:val="24"/>
          <w:szCs w:val="24"/>
        </w:rPr>
        <w:t xml:space="preserve"> </w:t>
      </w:r>
    </w:p>
    <w:p w14:paraId="139B15CC" w14:textId="77777777" w:rsidR="00442DC7" w:rsidRDefault="00442DC7" w:rsidP="008734AE">
      <w:pPr>
        <w:pStyle w:val="ListParagraph"/>
        <w:numPr>
          <w:ilvl w:val="0"/>
          <w:numId w:val="16"/>
        </w:numPr>
        <w:spacing w:line="360" w:lineRule="auto"/>
        <w:ind w:left="714" w:hanging="357"/>
        <w:jc w:val="both"/>
        <w:rPr>
          <w:rFonts w:cs="Arial"/>
          <w:sz w:val="24"/>
          <w:szCs w:val="24"/>
        </w:rPr>
      </w:pPr>
      <w:r w:rsidRPr="00D10157">
        <w:rPr>
          <w:rFonts w:cs="Arial"/>
          <w:sz w:val="24"/>
          <w:szCs w:val="24"/>
        </w:rPr>
        <w:t>The amount of lead in house paints was limited to 1% in 1965, 0.25% in 1992 and 0.1% in 1997.</w:t>
      </w:r>
      <w:r>
        <w:rPr>
          <w:rStyle w:val="FootnoteReference"/>
          <w:rFonts w:cs="Arial"/>
          <w:sz w:val="24"/>
          <w:szCs w:val="24"/>
        </w:rPr>
        <w:footnoteReference w:id="46"/>
      </w:r>
      <w:r w:rsidRPr="00D10157">
        <w:rPr>
          <w:rFonts w:cs="Arial"/>
          <w:sz w:val="24"/>
          <w:szCs w:val="24"/>
        </w:rPr>
        <w:t xml:space="preserve"> </w:t>
      </w:r>
    </w:p>
    <w:p w14:paraId="3F9FFFCD" w14:textId="77777777" w:rsidR="00442DC7" w:rsidRDefault="00442DC7" w:rsidP="008734AE">
      <w:pPr>
        <w:pStyle w:val="ListParagraph"/>
        <w:numPr>
          <w:ilvl w:val="0"/>
          <w:numId w:val="16"/>
        </w:numPr>
        <w:spacing w:line="360" w:lineRule="auto"/>
        <w:ind w:left="714" w:hanging="357"/>
        <w:jc w:val="both"/>
        <w:rPr>
          <w:rFonts w:cs="Arial"/>
          <w:sz w:val="24"/>
          <w:szCs w:val="24"/>
        </w:rPr>
      </w:pPr>
      <w:r>
        <w:rPr>
          <w:rFonts w:cs="Arial"/>
          <w:sz w:val="24"/>
          <w:szCs w:val="24"/>
        </w:rPr>
        <w:t>The amount of lead in water was limited to 10</w:t>
      </w:r>
      <w:r w:rsidRPr="00D304C3">
        <w:rPr>
          <w:rFonts w:cs="Arial"/>
          <w:bCs/>
          <w:iCs/>
          <w:sz w:val="24"/>
          <w:szCs w:val="24"/>
        </w:rPr>
        <w:t xml:space="preserve"> </w:t>
      </w:r>
      <w:r w:rsidRPr="00C22F7B">
        <w:rPr>
          <w:rFonts w:cs="Arial"/>
          <w:bCs/>
          <w:iCs/>
          <w:sz w:val="24"/>
          <w:szCs w:val="24"/>
        </w:rPr>
        <w:t>μ</w:t>
      </w:r>
      <w:r>
        <w:rPr>
          <w:rFonts w:cs="Arial"/>
          <w:bCs/>
          <w:iCs/>
          <w:sz w:val="24"/>
          <w:szCs w:val="24"/>
        </w:rPr>
        <w:t>g</w:t>
      </w:r>
      <w:r>
        <w:rPr>
          <w:rFonts w:cs="Arial"/>
          <w:sz w:val="24"/>
          <w:szCs w:val="24"/>
        </w:rPr>
        <w:t xml:space="preserve">/L of water in 1991 via the ADWG. </w:t>
      </w:r>
    </w:p>
    <w:p w14:paraId="78251EA5" w14:textId="5FEA031A" w:rsidR="00442DC7" w:rsidRPr="00FE32BC" w:rsidRDefault="00442DC7" w:rsidP="008734AE">
      <w:pPr>
        <w:pStyle w:val="ListParagraph"/>
        <w:numPr>
          <w:ilvl w:val="0"/>
          <w:numId w:val="16"/>
        </w:numPr>
        <w:spacing w:after="120" w:line="360" w:lineRule="auto"/>
        <w:ind w:left="714" w:hanging="357"/>
        <w:jc w:val="both"/>
        <w:rPr>
          <w:rFonts w:cs="Arial"/>
          <w:sz w:val="24"/>
          <w:szCs w:val="24"/>
        </w:rPr>
      </w:pPr>
      <w:r w:rsidRPr="00D10157">
        <w:rPr>
          <w:rFonts w:cs="Arial"/>
          <w:sz w:val="24"/>
          <w:szCs w:val="24"/>
        </w:rPr>
        <w:t>Regulations now restrict or prevent the use of lead in consumer goods (e.g. toys, cosmetics, ceramics</w:t>
      </w:r>
      <w:r>
        <w:rPr>
          <w:rFonts w:cs="Arial"/>
          <w:sz w:val="24"/>
          <w:szCs w:val="24"/>
        </w:rPr>
        <w:t xml:space="preserve">, </w:t>
      </w:r>
      <w:r w:rsidRPr="00D10157">
        <w:rPr>
          <w:rFonts w:cs="Arial"/>
          <w:sz w:val="24"/>
          <w:szCs w:val="24"/>
        </w:rPr>
        <w:t>and medicines</w:t>
      </w:r>
      <w:r>
        <w:rPr>
          <w:rFonts w:cs="Arial"/>
          <w:sz w:val="24"/>
          <w:szCs w:val="24"/>
        </w:rPr>
        <w:t>)</w:t>
      </w:r>
      <w:r w:rsidRPr="00D10157">
        <w:rPr>
          <w:rFonts w:cs="Arial"/>
          <w:sz w:val="24"/>
          <w:szCs w:val="24"/>
        </w:rPr>
        <w:t xml:space="preserve"> and the importation of products that contain lead.</w:t>
      </w:r>
      <w:r>
        <w:rPr>
          <w:rStyle w:val="FootnoteReference"/>
          <w:rFonts w:cs="Arial"/>
          <w:sz w:val="24"/>
          <w:szCs w:val="24"/>
        </w:rPr>
        <w:footnoteReference w:id="47"/>
      </w:r>
    </w:p>
    <w:p w14:paraId="431586E5" w14:textId="77777777" w:rsidR="00442DC7" w:rsidRDefault="00442DC7" w:rsidP="00782CDA">
      <w:pPr>
        <w:spacing w:after="120" w:line="360" w:lineRule="auto"/>
        <w:jc w:val="both"/>
        <w:rPr>
          <w:rFonts w:cs="Arial"/>
          <w:sz w:val="24"/>
          <w:szCs w:val="24"/>
        </w:rPr>
      </w:pPr>
      <w:r>
        <w:rPr>
          <w:rFonts w:cs="Arial"/>
          <w:sz w:val="24"/>
          <w:szCs w:val="24"/>
        </w:rPr>
        <w:t>The above regulatory interventions show that reducing the amount of lead has occurred across a range of products and consumables, including drinking water. A common theme of each intervention is not prescribing lead to be absolute zero. This recognises that due to very small trace amounts of lead, its presence cannot be eliminated.</w:t>
      </w:r>
    </w:p>
    <w:p w14:paraId="2BE4C8D9" w14:textId="77777777" w:rsidR="00442DC7" w:rsidRDefault="00442DC7" w:rsidP="00782CDA">
      <w:pPr>
        <w:spacing w:after="120" w:line="360" w:lineRule="auto"/>
        <w:jc w:val="both"/>
        <w:rPr>
          <w:rFonts w:cs="Arial"/>
          <w:sz w:val="24"/>
          <w:szCs w:val="24"/>
        </w:rPr>
      </w:pPr>
      <w:r>
        <w:rPr>
          <w:rFonts w:cs="Arial"/>
          <w:sz w:val="24"/>
          <w:szCs w:val="24"/>
        </w:rPr>
        <w:t>These national</w:t>
      </w:r>
      <w:r w:rsidRPr="001465C2">
        <w:rPr>
          <w:rFonts w:cs="Arial"/>
          <w:sz w:val="24"/>
          <w:szCs w:val="24"/>
        </w:rPr>
        <w:t xml:space="preserve"> interventions have resulted in a measurable decline in lead exposure in Australia, significantly lowering the background levels of lead and blood lead levels of the general population. </w:t>
      </w:r>
      <w:r w:rsidRPr="00267B1B">
        <w:rPr>
          <w:rFonts w:cs="Arial"/>
          <w:sz w:val="24"/>
          <w:szCs w:val="24"/>
        </w:rPr>
        <w:t>Despite this</w:t>
      </w:r>
      <w:r>
        <w:rPr>
          <w:rFonts w:cs="Arial"/>
          <w:sz w:val="24"/>
          <w:szCs w:val="24"/>
        </w:rPr>
        <w:t xml:space="preserve"> reduction</w:t>
      </w:r>
      <w:r w:rsidRPr="00267B1B">
        <w:rPr>
          <w:rFonts w:cs="Arial"/>
          <w:sz w:val="24"/>
          <w:szCs w:val="24"/>
        </w:rPr>
        <w:t>, public health experts</w:t>
      </w:r>
      <w:r>
        <w:rPr>
          <w:rFonts w:cs="Arial"/>
          <w:sz w:val="24"/>
          <w:szCs w:val="24"/>
        </w:rPr>
        <w:t xml:space="preserve">, continue to support efforts to limit potential exposure from all sources. </w:t>
      </w:r>
    </w:p>
    <w:p w14:paraId="02F9F584" w14:textId="77777777" w:rsidR="00442DC7" w:rsidRPr="00267B1B" w:rsidRDefault="00442DC7" w:rsidP="00782CDA">
      <w:pPr>
        <w:spacing w:after="120" w:line="360" w:lineRule="auto"/>
        <w:jc w:val="both"/>
        <w:rPr>
          <w:rFonts w:cs="Arial"/>
          <w:sz w:val="24"/>
          <w:szCs w:val="24"/>
        </w:rPr>
      </w:pPr>
      <w:r>
        <w:rPr>
          <w:rFonts w:cs="Arial"/>
          <w:sz w:val="24"/>
          <w:szCs w:val="24"/>
        </w:rPr>
        <w:t>This is reflected by Australia’s Chief Medical Officer</w:t>
      </w:r>
      <w:r w:rsidRPr="00267B1B">
        <w:rPr>
          <w:rFonts w:cs="Arial"/>
          <w:sz w:val="24"/>
          <w:szCs w:val="24"/>
        </w:rPr>
        <w:t>:</w:t>
      </w:r>
    </w:p>
    <w:p w14:paraId="4A4C83C6" w14:textId="2F85E173" w:rsidR="00442DC7" w:rsidRDefault="00442DC7" w:rsidP="002D1E18">
      <w:pPr>
        <w:spacing w:line="360" w:lineRule="auto"/>
        <w:ind w:left="720"/>
        <w:jc w:val="both"/>
        <w:rPr>
          <w:rFonts w:cs="Arial"/>
          <w:color w:val="002060"/>
          <w:sz w:val="24"/>
          <w:szCs w:val="24"/>
        </w:rPr>
      </w:pPr>
      <w:r w:rsidRPr="00267B1B">
        <w:rPr>
          <w:rFonts w:cs="Arial"/>
          <w:sz w:val="24"/>
          <w:szCs w:val="24"/>
        </w:rPr>
        <w:t xml:space="preserve"> </w:t>
      </w:r>
      <w:r w:rsidRPr="002D1E18">
        <w:rPr>
          <w:rStyle w:val="QuoteChar"/>
        </w:rPr>
        <w:t>“There is no evidence of adverse effects on human health from the consumption of lead in drinking water in Australia. However, lead is not considered to be beneficial or necessary for humans; therefore public health experts recommend Australians take every opportunity to limit potential exposure from all sources.”</w:t>
      </w:r>
      <w:r>
        <w:rPr>
          <w:rStyle w:val="FootnoteReference"/>
          <w:rFonts w:cs="Arial"/>
          <w:sz w:val="24"/>
          <w:szCs w:val="24"/>
        </w:rPr>
        <w:footnoteReference w:id="48"/>
      </w:r>
    </w:p>
    <w:p w14:paraId="74680CF5" w14:textId="77777777" w:rsidR="00442DC7" w:rsidRDefault="00442DC7" w:rsidP="00FE32BC">
      <w:pPr>
        <w:spacing w:after="120" w:line="360" w:lineRule="auto"/>
        <w:jc w:val="both"/>
        <w:rPr>
          <w:rFonts w:cs="Arial"/>
          <w:color w:val="002060"/>
          <w:sz w:val="24"/>
          <w:szCs w:val="24"/>
        </w:rPr>
      </w:pPr>
      <w:r w:rsidRPr="00FE32BC">
        <w:rPr>
          <w:rFonts w:cs="Arial"/>
          <w:color w:val="002060"/>
          <w:sz w:val="24"/>
          <w:szCs w:val="24"/>
        </w:rPr>
        <w:t>State</w:t>
      </w:r>
      <w:r>
        <w:rPr>
          <w:rFonts w:cs="Arial"/>
          <w:color w:val="002060"/>
          <w:sz w:val="24"/>
          <w:szCs w:val="24"/>
        </w:rPr>
        <w:t>-</w:t>
      </w:r>
      <w:r w:rsidRPr="00FE32BC">
        <w:rPr>
          <w:rFonts w:cs="Arial"/>
          <w:color w:val="002060"/>
          <w:sz w:val="24"/>
          <w:szCs w:val="24"/>
        </w:rPr>
        <w:t>based regulatory intervention</w:t>
      </w:r>
    </w:p>
    <w:p w14:paraId="56C61587" w14:textId="77777777" w:rsidR="00442DC7" w:rsidRDefault="00442DC7" w:rsidP="007F062A">
      <w:pPr>
        <w:spacing w:after="120" w:line="360" w:lineRule="auto"/>
        <w:jc w:val="both"/>
        <w:rPr>
          <w:rFonts w:cs="Arial"/>
          <w:sz w:val="24"/>
          <w:szCs w:val="24"/>
        </w:rPr>
      </w:pPr>
      <w:r w:rsidRPr="007F062A">
        <w:rPr>
          <w:rFonts w:cs="Arial"/>
          <w:sz w:val="24"/>
          <w:szCs w:val="24"/>
        </w:rPr>
        <w:t xml:space="preserve">In 2019, the Victorian School Building Authority announced that all new schools and school upgrade works must exclude any plumbing product containing lead. Any piping, </w:t>
      </w:r>
      <w:r w:rsidRPr="007F062A">
        <w:rPr>
          <w:rFonts w:cs="Arial"/>
          <w:sz w:val="24"/>
          <w:szCs w:val="24"/>
        </w:rPr>
        <w:lastRenderedPageBreak/>
        <w:t xml:space="preserve">tapware or fittings that hold or distribute </w:t>
      </w:r>
      <w:r>
        <w:rPr>
          <w:rFonts w:cs="Arial"/>
          <w:sz w:val="24"/>
          <w:szCs w:val="24"/>
        </w:rPr>
        <w:t>drinking</w:t>
      </w:r>
      <w:r w:rsidRPr="007F062A">
        <w:rPr>
          <w:rFonts w:cs="Arial"/>
          <w:sz w:val="24"/>
          <w:szCs w:val="24"/>
        </w:rPr>
        <w:t xml:space="preserve"> water, or form part of a water source where a child could fill a cup or drink bottle for consumption, must be comprised of products that either:</w:t>
      </w:r>
      <w:r>
        <w:rPr>
          <w:rFonts w:cs="Arial"/>
          <w:sz w:val="24"/>
          <w:szCs w:val="24"/>
        </w:rPr>
        <w:t xml:space="preserve"> </w:t>
      </w:r>
      <w:r w:rsidRPr="007F062A">
        <w:rPr>
          <w:rFonts w:cs="Arial"/>
          <w:sz w:val="24"/>
          <w:szCs w:val="24"/>
        </w:rPr>
        <w:t>do not contain lead, or</w:t>
      </w:r>
      <w:r>
        <w:rPr>
          <w:rFonts w:cs="Arial"/>
          <w:sz w:val="24"/>
          <w:szCs w:val="24"/>
        </w:rPr>
        <w:t xml:space="preserve"> </w:t>
      </w:r>
      <w:r w:rsidRPr="007F062A">
        <w:rPr>
          <w:rFonts w:cs="Arial"/>
          <w:sz w:val="24"/>
          <w:szCs w:val="24"/>
        </w:rPr>
        <w:t>do not allow contact between brass</w:t>
      </w:r>
      <w:r>
        <w:rPr>
          <w:rFonts w:cs="Arial"/>
          <w:sz w:val="24"/>
          <w:szCs w:val="24"/>
        </w:rPr>
        <w:t xml:space="preserve"> </w:t>
      </w:r>
      <w:r w:rsidRPr="007F062A">
        <w:rPr>
          <w:rFonts w:cs="Arial"/>
          <w:sz w:val="24"/>
          <w:szCs w:val="24"/>
        </w:rPr>
        <w:t>containing lead and water, where appropriate products are available on the Australian market.</w:t>
      </w:r>
      <w:r>
        <w:rPr>
          <w:rStyle w:val="FootnoteReference"/>
          <w:rFonts w:cs="Arial"/>
          <w:sz w:val="24"/>
          <w:szCs w:val="24"/>
        </w:rPr>
        <w:footnoteReference w:id="49"/>
      </w:r>
      <w:r w:rsidRPr="007F062A">
        <w:rPr>
          <w:rFonts w:cs="Arial"/>
          <w:sz w:val="24"/>
          <w:szCs w:val="24"/>
        </w:rPr>
        <w:t xml:space="preserve"> </w:t>
      </w:r>
      <w:r>
        <w:rPr>
          <w:rFonts w:cs="Arial"/>
          <w:sz w:val="24"/>
          <w:szCs w:val="24"/>
        </w:rPr>
        <w:t xml:space="preserve">This requirement is embedded in new procurement rules for new schools and school upgrades. </w:t>
      </w:r>
    </w:p>
    <w:p w14:paraId="0834C612" w14:textId="77777777" w:rsidR="00442DC7" w:rsidRPr="00F45FEC" w:rsidRDefault="00442DC7" w:rsidP="00267B1B">
      <w:pPr>
        <w:spacing w:line="360" w:lineRule="auto"/>
        <w:jc w:val="both"/>
        <w:rPr>
          <w:rFonts w:cs="Arial"/>
          <w:sz w:val="24"/>
          <w:szCs w:val="24"/>
        </w:rPr>
      </w:pPr>
      <w:r>
        <w:rPr>
          <w:rFonts w:cs="Arial"/>
          <w:sz w:val="24"/>
          <w:szCs w:val="24"/>
        </w:rPr>
        <w:t xml:space="preserve">This recent change in Victoria highlights the desire for use of low lead products in the Australian market and the ability to further reduce lead exposure beyond that currently prescribed by plumbing regulations. </w:t>
      </w:r>
    </w:p>
    <w:p w14:paraId="6B9F54D6" w14:textId="77777777" w:rsidR="00442DC7" w:rsidRPr="000F113D" w:rsidRDefault="00442DC7" w:rsidP="0008702B">
      <w:pPr>
        <w:pStyle w:val="Heading3"/>
        <w:spacing w:after="120"/>
        <w:rPr>
          <w:rFonts w:ascii="Arial" w:hAnsi="Arial" w:cs="Arial"/>
          <w:b w:val="0"/>
          <w:bCs w:val="0"/>
        </w:rPr>
      </w:pPr>
      <w:bookmarkStart w:id="109" w:name="_Toc47287461"/>
      <w:bookmarkStart w:id="110" w:name="_Toc47287744"/>
      <w:bookmarkStart w:id="111" w:name="_Toc47287885"/>
      <w:bookmarkStart w:id="112" w:name="_Toc53963036"/>
      <w:bookmarkStart w:id="113" w:name="_Toc70887790"/>
      <w:bookmarkStart w:id="114" w:name="_Toc71195741"/>
      <w:bookmarkStart w:id="115" w:name="_Toc71789268"/>
      <w:r>
        <w:rPr>
          <w:rFonts w:ascii="Arial" w:hAnsi="Arial" w:cs="Arial"/>
          <w:b w:val="0"/>
          <w:bCs w:val="0"/>
        </w:rPr>
        <w:t>Regulatory framework for plumbing products in contact with drinking water</w:t>
      </w:r>
      <w:bookmarkEnd w:id="109"/>
      <w:bookmarkEnd w:id="110"/>
      <w:bookmarkEnd w:id="111"/>
      <w:bookmarkEnd w:id="112"/>
      <w:bookmarkEnd w:id="113"/>
      <w:bookmarkEnd w:id="114"/>
      <w:bookmarkEnd w:id="115"/>
    </w:p>
    <w:p w14:paraId="5A868DB3" w14:textId="77777777" w:rsidR="00442DC7" w:rsidRPr="00041F8E" w:rsidRDefault="00442DC7" w:rsidP="0008702B">
      <w:pPr>
        <w:spacing w:line="360" w:lineRule="auto"/>
        <w:jc w:val="both"/>
        <w:rPr>
          <w:rFonts w:cs="Arial"/>
          <w:sz w:val="24"/>
          <w:szCs w:val="24"/>
        </w:rPr>
      </w:pPr>
      <w:r w:rsidRPr="00041F8E">
        <w:rPr>
          <w:rFonts w:cs="Arial"/>
          <w:sz w:val="24"/>
          <w:szCs w:val="24"/>
        </w:rPr>
        <w:t xml:space="preserve">The manufacture of plumbing products in contact with drinking water is regulated in Australia through </w:t>
      </w:r>
      <w:r>
        <w:rPr>
          <w:rFonts w:cs="Arial"/>
          <w:sz w:val="24"/>
          <w:szCs w:val="24"/>
        </w:rPr>
        <w:t>Volume Three of the NCC and the WMCS.</w:t>
      </w:r>
    </w:p>
    <w:p w14:paraId="76F704E2" w14:textId="77777777" w:rsidR="00442DC7" w:rsidRPr="00041F8E" w:rsidRDefault="00442DC7" w:rsidP="0008702B">
      <w:pPr>
        <w:pStyle w:val="Heading4"/>
        <w:spacing w:after="120"/>
        <w:rPr>
          <w:rFonts w:ascii="Arial" w:hAnsi="Arial" w:cs="Arial"/>
          <w:b w:val="0"/>
          <w:bCs w:val="0"/>
          <w:sz w:val="24"/>
          <w:szCs w:val="24"/>
        </w:rPr>
      </w:pPr>
      <w:r w:rsidRPr="00041F8E">
        <w:rPr>
          <w:rFonts w:ascii="Arial" w:hAnsi="Arial" w:cs="Arial"/>
          <w:b w:val="0"/>
          <w:bCs w:val="0"/>
          <w:sz w:val="24"/>
          <w:szCs w:val="24"/>
        </w:rPr>
        <w:t xml:space="preserve">National Construction Code </w:t>
      </w:r>
    </w:p>
    <w:p w14:paraId="7D8351C7" w14:textId="77777777" w:rsidR="00442DC7" w:rsidRDefault="00442DC7" w:rsidP="00606555">
      <w:pPr>
        <w:spacing w:line="360" w:lineRule="auto"/>
        <w:jc w:val="both"/>
        <w:rPr>
          <w:rFonts w:cs="Arial"/>
          <w:sz w:val="24"/>
          <w:szCs w:val="24"/>
        </w:rPr>
      </w:pPr>
      <w:r>
        <w:rPr>
          <w:rFonts w:cs="Arial"/>
          <w:sz w:val="24"/>
          <w:szCs w:val="24"/>
        </w:rPr>
        <w:t>The NCC is Australia’s primary set of technical design and construction provisions for buildings. As a performance-based code, it sets the minimum required level for safety, health, amenity, accessibility, sustainability and liveability of certain buildings.</w:t>
      </w:r>
    </w:p>
    <w:p w14:paraId="31E52CEA" w14:textId="77777777" w:rsidR="00442DC7" w:rsidRPr="00A8260C" w:rsidRDefault="00442DC7" w:rsidP="00A8260C">
      <w:pPr>
        <w:spacing w:line="360" w:lineRule="auto"/>
        <w:jc w:val="both"/>
        <w:rPr>
          <w:rFonts w:eastAsia="Calibri" w:cs="Arial"/>
          <w:sz w:val="24"/>
          <w:szCs w:val="24"/>
        </w:rPr>
      </w:pPr>
      <w:r w:rsidRPr="00A8260C">
        <w:rPr>
          <w:rFonts w:eastAsia="Calibri" w:cs="Arial"/>
          <w:sz w:val="24"/>
          <w:szCs w:val="24"/>
        </w:rPr>
        <w:t>NCC Volume Three</w:t>
      </w:r>
      <w:r>
        <w:rPr>
          <w:rFonts w:eastAsia="Calibri" w:cs="Arial"/>
          <w:sz w:val="24"/>
          <w:szCs w:val="24"/>
        </w:rPr>
        <w:t>,</w:t>
      </w:r>
      <w:r w:rsidRPr="00A8260C">
        <w:rPr>
          <w:rFonts w:eastAsia="Calibri" w:cs="Arial"/>
          <w:sz w:val="24"/>
          <w:szCs w:val="24"/>
        </w:rPr>
        <w:t xml:space="preserve"> </w:t>
      </w:r>
      <w:r>
        <w:rPr>
          <w:rFonts w:eastAsia="Calibri" w:cs="Arial"/>
          <w:sz w:val="24"/>
          <w:szCs w:val="24"/>
        </w:rPr>
        <w:t xml:space="preserve">the </w:t>
      </w:r>
      <w:r w:rsidRPr="00A8260C">
        <w:rPr>
          <w:rFonts w:eastAsia="Calibri" w:cs="Arial"/>
          <w:sz w:val="24"/>
          <w:szCs w:val="24"/>
        </w:rPr>
        <w:t>Plumbing Code of Australia (PCA)</w:t>
      </w:r>
      <w:r>
        <w:rPr>
          <w:rFonts w:eastAsia="Calibri" w:cs="Arial"/>
          <w:sz w:val="24"/>
          <w:szCs w:val="24"/>
        </w:rPr>
        <w:t>,</w:t>
      </w:r>
      <w:r w:rsidRPr="00A8260C">
        <w:rPr>
          <w:rFonts w:eastAsia="Calibri" w:cs="Arial"/>
          <w:sz w:val="24"/>
          <w:szCs w:val="24"/>
        </w:rPr>
        <w:t xml:space="preserve"> contains technical requirements for the design and construction for plumbing and drainage systems in new and existing buildings. The PCA applies to these systems in all</w:t>
      </w:r>
      <w:r>
        <w:rPr>
          <w:rFonts w:eastAsia="Calibri" w:cs="Arial"/>
          <w:sz w:val="24"/>
          <w:szCs w:val="24"/>
        </w:rPr>
        <w:t xml:space="preserve"> </w:t>
      </w:r>
      <w:r w:rsidRPr="00A8260C">
        <w:rPr>
          <w:rFonts w:eastAsia="Calibri" w:cs="Arial"/>
          <w:sz w:val="24"/>
          <w:szCs w:val="24"/>
        </w:rPr>
        <w:t>building</w:t>
      </w:r>
      <w:r>
        <w:rPr>
          <w:rFonts w:eastAsia="Calibri" w:cs="Arial"/>
          <w:sz w:val="24"/>
          <w:szCs w:val="24"/>
        </w:rPr>
        <w:t xml:space="preserve"> classifications</w:t>
      </w:r>
      <w:r w:rsidRPr="00A8260C">
        <w:rPr>
          <w:rFonts w:eastAsia="Calibri" w:cs="Arial"/>
          <w:sz w:val="24"/>
          <w:szCs w:val="24"/>
        </w:rPr>
        <w:t xml:space="preserve"> whenever plumbing work is carried out. The PCA additionally applies to sites where water services are constructed independent of buildings.</w:t>
      </w:r>
    </w:p>
    <w:p w14:paraId="3FF8DCF5" w14:textId="77777777" w:rsidR="00442DC7" w:rsidRPr="00A8260C" w:rsidRDefault="00442DC7" w:rsidP="00A8260C">
      <w:pPr>
        <w:spacing w:line="360" w:lineRule="auto"/>
        <w:jc w:val="both"/>
        <w:rPr>
          <w:rFonts w:eastAsia="Calibri" w:cs="Arial"/>
          <w:sz w:val="24"/>
          <w:szCs w:val="24"/>
        </w:rPr>
      </w:pPr>
      <w:r w:rsidRPr="00A8260C">
        <w:rPr>
          <w:rFonts w:eastAsia="Calibri" w:cs="Arial"/>
          <w:sz w:val="24"/>
          <w:szCs w:val="24"/>
        </w:rPr>
        <w:t xml:space="preserve">The PCA is given legal effect by relevant legislation in each </w:t>
      </w:r>
      <w:r>
        <w:rPr>
          <w:rFonts w:eastAsia="Calibri" w:cs="Arial"/>
          <w:sz w:val="24"/>
          <w:szCs w:val="24"/>
        </w:rPr>
        <w:t>s</w:t>
      </w:r>
      <w:r w:rsidRPr="00A8260C">
        <w:rPr>
          <w:rFonts w:eastAsia="Calibri" w:cs="Arial"/>
          <w:sz w:val="24"/>
          <w:szCs w:val="24"/>
        </w:rPr>
        <w:t xml:space="preserve">tate and </w:t>
      </w:r>
      <w:r>
        <w:rPr>
          <w:rFonts w:eastAsia="Calibri" w:cs="Arial"/>
          <w:sz w:val="24"/>
          <w:szCs w:val="24"/>
        </w:rPr>
        <w:t>t</w:t>
      </w:r>
      <w:r w:rsidRPr="00A8260C">
        <w:rPr>
          <w:rFonts w:eastAsia="Calibri" w:cs="Arial"/>
          <w:sz w:val="24"/>
          <w:szCs w:val="24"/>
        </w:rPr>
        <w:t>erritory. This legislation prescribes that plumbing practitioners are to fulfil any technical requirements that are required to be satisfied under the PCA when undertaking plumbing and drainage installations.</w:t>
      </w:r>
    </w:p>
    <w:p w14:paraId="49417593" w14:textId="2E9C6038" w:rsidR="00EC6476" w:rsidRDefault="00442DC7" w:rsidP="00C825AD">
      <w:pPr>
        <w:spacing w:line="360" w:lineRule="auto"/>
        <w:jc w:val="both"/>
        <w:rPr>
          <w:rFonts w:cs="Arial"/>
          <w:sz w:val="24"/>
          <w:szCs w:val="24"/>
        </w:rPr>
      </w:pPr>
      <w:r w:rsidRPr="005D0FB1">
        <w:rPr>
          <w:rFonts w:cs="Arial"/>
          <w:sz w:val="24"/>
          <w:szCs w:val="24"/>
        </w:rPr>
        <w:t xml:space="preserve">Each </w:t>
      </w:r>
      <w:r>
        <w:rPr>
          <w:rFonts w:cs="Arial"/>
          <w:sz w:val="24"/>
          <w:szCs w:val="24"/>
        </w:rPr>
        <w:t>s</w:t>
      </w:r>
      <w:r w:rsidRPr="005D0FB1">
        <w:rPr>
          <w:rFonts w:cs="Arial"/>
          <w:sz w:val="24"/>
          <w:szCs w:val="24"/>
        </w:rPr>
        <w:t xml:space="preserve">tate and </w:t>
      </w:r>
      <w:r>
        <w:rPr>
          <w:rFonts w:cs="Arial"/>
          <w:sz w:val="24"/>
          <w:szCs w:val="24"/>
        </w:rPr>
        <w:t>t</w:t>
      </w:r>
      <w:r w:rsidRPr="005D0FB1">
        <w:rPr>
          <w:rFonts w:cs="Arial"/>
          <w:sz w:val="24"/>
          <w:szCs w:val="24"/>
        </w:rPr>
        <w:t xml:space="preserve">erritory's legislation consists of an Act of Parliament and subordinate legislation which empowers the regulation of certain aspects of building work or plumbing and drainage installations, and contains the administrative provisions </w:t>
      </w:r>
      <w:r w:rsidRPr="005D0FB1">
        <w:rPr>
          <w:rFonts w:cs="Arial"/>
          <w:sz w:val="24"/>
          <w:szCs w:val="24"/>
        </w:rPr>
        <w:lastRenderedPageBreak/>
        <w:t xml:space="preserve">necessary to give effect to the legislation. Refer to </w:t>
      </w:r>
      <w:r w:rsidRPr="00E2647B">
        <w:rPr>
          <w:rFonts w:cs="Arial"/>
          <w:sz w:val="24"/>
          <w:szCs w:val="24"/>
        </w:rPr>
        <w:fldChar w:fldCharType="begin"/>
      </w:r>
      <w:r w:rsidRPr="00E2647B">
        <w:rPr>
          <w:rFonts w:cs="Arial"/>
          <w:sz w:val="24"/>
          <w:szCs w:val="24"/>
        </w:rPr>
        <w:instrText xml:space="preserve"> REF _Ref51327651 \h </w:instrText>
      </w:r>
      <w:r>
        <w:rPr>
          <w:rFonts w:cs="Arial"/>
          <w:sz w:val="24"/>
          <w:szCs w:val="24"/>
        </w:rPr>
        <w:instrText xml:space="preserve"> \* MERGEFORMAT </w:instrText>
      </w:r>
      <w:r w:rsidRPr="00E2647B">
        <w:rPr>
          <w:rFonts w:cs="Arial"/>
          <w:sz w:val="24"/>
          <w:szCs w:val="24"/>
        </w:rPr>
      </w:r>
      <w:r w:rsidRPr="00E2647B">
        <w:rPr>
          <w:rFonts w:cs="Arial"/>
          <w:sz w:val="24"/>
          <w:szCs w:val="24"/>
        </w:rPr>
        <w:fldChar w:fldCharType="separate"/>
      </w:r>
      <w:r w:rsidRPr="001102FB">
        <w:rPr>
          <w:sz w:val="24"/>
          <w:szCs w:val="24"/>
        </w:rPr>
        <w:t xml:space="preserve">Figure </w:t>
      </w:r>
      <w:r w:rsidRPr="001102FB">
        <w:rPr>
          <w:noProof/>
          <w:sz w:val="24"/>
          <w:szCs w:val="24"/>
        </w:rPr>
        <w:t>4</w:t>
      </w:r>
      <w:r w:rsidRPr="00E2647B">
        <w:rPr>
          <w:rFonts w:cs="Arial"/>
          <w:sz w:val="24"/>
          <w:szCs w:val="24"/>
        </w:rPr>
        <w:fldChar w:fldCharType="end"/>
      </w:r>
      <w:r w:rsidRPr="005D0FB1">
        <w:rPr>
          <w:rFonts w:cs="Arial"/>
          <w:sz w:val="24"/>
          <w:szCs w:val="24"/>
        </w:rPr>
        <w:t xml:space="preserve"> for </w:t>
      </w:r>
      <w:r>
        <w:rPr>
          <w:rFonts w:cs="Arial"/>
          <w:sz w:val="24"/>
          <w:szCs w:val="24"/>
        </w:rPr>
        <w:t xml:space="preserve">the </w:t>
      </w:r>
      <w:r w:rsidRPr="005D0FB1">
        <w:rPr>
          <w:rFonts w:cs="Arial"/>
          <w:sz w:val="24"/>
          <w:szCs w:val="24"/>
        </w:rPr>
        <w:t xml:space="preserve">current regulatory framework. </w:t>
      </w:r>
    </w:p>
    <w:p w14:paraId="6F4868AF" w14:textId="20BA36FC" w:rsidR="00442DC7" w:rsidRDefault="00442DC7" w:rsidP="00953C5A">
      <w:bookmarkStart w:id="116" w:name="_Ref51327651"/>
      <w:bookmarkStart w:id="117" w:name="_Toc73028097"/>
      <w:r>
        <w:t xml:space="preserve">Figure </w:t>
      </w:r>
      <w:r w:rsidR="00362D62">
        <w:rPr>
          <w:noProof/>
        </w:rPr>
        <w:fldChar w:fldCharType="begin"/>
      </w:r>
      <w:r w:rsidR="00362D62">
        <w:rPr>
          <w:noProof/>
        </w:rPr>
        <w:instrText xml:space="preserve"> SEQ Figure \* ARABIC </w:instrText>
      </w:r>
      <w:r w:rsidR="00362D62">
        <w:rPr>
          <w:noProof/>
        </w:rPr>
        <w:fldChar w:fldCharType="separate"/>
      </w:r>
      <w:r>
        <w:rPr>
          <w:noProof/>
        </w:rPr>
        <w:t>4</w:t>
      </w:r>
      <w:r w:rsidR="00362D62">
        <w:rPr>
          <w:noProof/>
        </w:rPr>
        <w:fldChar w:fldCharType="end"/>
      </w:r>
      <w:bookmarkEnd w:id="116"/>
      <w:r>
        <w:t>: Plumbing r</w:t>
      </w:r>
      <w:r w:rsidRPr="00901906">
        <w:t xml:space="preserve">egulatory </w:t>
      </w:r>
      <w:r>
        <w:t>f</w:t>
      </w:r>
      <w:r w:rsidRPr="00901906">
        <w:t>ramework</w:t>
      </w:r>
      <w:bookmarkEnd w:id="117"/>
    </w:p>
    <w:p w14:paraId="47E4EB13" w14:textId="77777777" w:rsidR="00442DC7" w:rsidRDefault="00442DC7" w:rsidP="003C1974">
      <w:pPr>
        <w:jc w:val="center"/>
        <w:rPr>
          <w:rFonts w:cs="Arial"/>
          <w:sz w:val="24"/>
          <w:szCs w:val="24"/>
        </w:rPr>
      </w:pPr>
      <w:r w:rsidRPr="009E37C7">
        <w:rPr>
          <w:b/>
          <w:noProof/>
          <w:lang w:eastAsia="en-AU"/>
        </w:rPr>
        <w:drawing>
          <wp:inline distT="0" distB="0" distL="0" distR="0" wp14:anchorId="68DD8128" wp14:editId="14B0CCC0">
            <wp:extent cx="5575731" cy="3175000"/>
            <wp:effectExtent l="0" t="0" r="6350" b="6350"/>
            <wp:docPr id="3" name="Picture 3" descr="Figure 4: Current Regulatory Framework. Figure shows the regulatory framework for plumbing installations i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4: Current Regulatory Framework. Figure shows the regulatory framework for plumbing installations in Australia.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22111" cy="3201410"/>
                    </a:xfrm>
                    <a:prstGeom prst="rect">
                      <a:avLst/>
                    </a:prstGeom>
                    <a:noFill/>
                    <a:ln>
                      <a:noFill/>
                    </a:ln>
                  </pic:spPr>
                </pic:pic>
              </a:graphicData>
            </a:graphic>
          </wp:inline>
        </w:drawing>
      </w:r>
    </w:p>
    <w:p w14:paraId="341B0827" w14:textId="77777777" w:rsidR="00442DC7" w:rsidRPr="003C1974" w:rsidRDefault="00442DC7" w:rsidP="006F7A34">
      <w:pPr>
        <w:pStyle w:val="Heading4"/>
        <w:spacing w:after="120"/>
        <w:rPr>
          <w:rFonts w:ascii="Arial" w:hAnsi="Arial" w:cs="Arial"/>
          <w:b w:val="0"/>
          <w:bCs w:val="0"/>
          <w:sz w:val="24"/>
          <w:szCs w:val="24"/>
        </w:rPr>
      </w:pPr>
      <w:r w:rsidRPr="003C1974">
        <w:rPr>
          <w:rFonts w:ascii="Arial" w:hAnsi="Arial" w:cs="Arial"/>
          <w:b w:val="0"/>
          <w:bCs w:val="0"/>
          <w:sz w:val="24"/>
          <w:szCs w:val="24"/>
        </w:rPr>
        <w:t>Water</w:t>
      </w:r>
      <w:r>
        <w:rPr>
          <w:rFonts w:ascii="Arial" w:hAnsi="Arial" w:cs="Arial"/>
          <w:b w:val="0"/>
          <w:bCs w:val="0"/>
          <w:sz w:val="24"/>
          <w:szCs w:val="24"/>
        </w:rPr>
        <w:t>M</w:t>
      </w:r>
      <w:r w:rsidRPr="003C1974">
        <w:rPr>
          <w:rFonts w:ascii="Arial" w:hAnsi="Arial" w:cs="Arial"/>
          <w:b w:val="0"/>
          <w:bCs w:val="0"/>
          <w:sz w:val="24"/>
          <w:szCs w:val="24"/>
        </w:rPr>
        <w:t xml:space="preserve">ark Certification Scheme </w:t>
      </w:r>
    </w:p>
    <w:p w14:paraId="1984ABE6" w14:textId="77777777" w:rsidR="00442DC7" w:rsidRDefault="00442DC7" w:rsidP="009C31D8">
      <w:pPr>
        <w:spacing w:line="360" w:lineRule="auto"/>
        <w:jc w:val="both"/>
        <w:rPr>
          <w:rFonts w:cs="Arial"/>
          <w:color w:val="000000"/>
          <w:sz w:val="24"/>
          <w:szCs w:val="24"/>
          <w:shd w:val="clear" w:color="auto" w:fill="FFFFFF"/>
        </w:rPr>
      </w:pPr>
      <w:r w:rsidRPr="00606555">
        <w:rPr>
          <w:rFonts w:cs="Arial"/>
          <w:sz w:val="24"/>
          <w:szCs w:val="24"/>
        </w:rPr>
        <w:t xml:space="preserve">The </w:t>
      </w:r>
      <w:r>
        <w:rPr>
          <w:rFonts w:cs="Arial"/>
          <w:sz w:val="24"/>
          <w:szCs w:val="24"/>
        </w:rPr>
        <w:t>WMCS</w:t>
      </w:r>
      <w:r w:rsidRPr="00606555">
        <w:rPr>
          <w:rFonts w:cs="Arial"/>
          <w:sz w:val="24"/>
          <w:szCs w:val="24"/>
        </w:rPr>
        <w:t xml:space="preserve"> is a mandatory certification scheme for plumbing and drainage products to ensure they are fit</w:t>
      </w:r>
      <w:r>
        <w:rPr>
          <w:rFonts w:cs="Arial"/>
          <w:sz w:val="24"/>
          <w:szCs w:val="24"/>
        </w:rPr>
        <w:t>-</w:t>
      </w:r>
      <w:r w:rsidRPr="00606555">
        <w:rPr>
          <w:rFonts w:cs="Arial"/>
          <w:sz w:val="24"/>
          <w:szCs w:val="24"/>
        </w:rPr>
        <w:t>for</w:t>
      </w:r>
      <w:r>
        <w:rPr>
          <w:rFonts w:cs="Arial"/>
          <w:sz w:val="24"/>
          <w:szCs w:val="24"/>
        </w:rPr>
        <w:t>-</w:t>
      </w:r>
      <w:r w:rsidRPr="00606555">
        <w:rPr>
          <w:rFonts w:cs="Arial"/>
          <w:sz w:val="24"/>
          <w:szCs w:val="24"/>
        </w:rPr>
        <w:t>purpose and appropriately authorised for use in plumbing and drainage installations. Not all plumbing and drainage products require WaterMark certification and authorisation</w:t>
      </w:r>
      <w:r>
        <w:rPr>
          <w:rFonts w:cs="Arial"/>
          <w:sz w:val="24"/>
          <w:szCs w:val="24"/>
        </w:rPr>
        <w:t>, with some products listed on the WaterMark Schedule of Excluded Products.</w:t>
      </w:r>
      <w:r>
        <w:rPr>
          <w:rFonts w:cs="Arial"/>
          <w:color w:val="000000"/>
          <w:sz w:val="24"/>
          <w:szCs w:val="24"/>
          <w:shd w:val="clear" w:color="auto" w:fill="FFFFFF"/>
        </w:rPr>
        <w:t xml:space="preserve"> </w:t>
      </w:r>
      <w:r w:rsidRPr="00606555">
        <w:rPr>
          <w:rFonts w:cs="Arial"/>
          <w:color w:val="000000"/>
          <w:sz w:val="24"/>
          <w:szCs w:val="24"/>
          <w:shd w:val="clear" w:color="auto" w:fill="FFFFFF"/>
        </w:rPr>
        <w:t xml:space="preserve">Under the </w:t>
      </w:r>
      <w:r>
        <w:rPr>
          <w:rFonts w:cs="Arial"/>
          <w:color w:val="000000"/>
          <w:sz w:val="24"/>
          <w:szCs w:val="24"/>
          <w:shd w:val="clear" w:color="auto" w:fill="FFFFFF"/>
        </w:rPr>
        <w:t>WMCS</w:t>
      </w:r>
      <w:r w:rsidRPr="00606555">
        <w:rPr>
          <w:rFonts w:cs="Arial"/>
          <w:color w:val="000000"/>
          <w:sz w:val="24"/>
          <w:szCs w:val="24"/>
          <w:shd w:val="clear" w:color="auto" w:fill="FFFFFF"/>
        </w:rPr>
        <w:t xml:space="preserve">, </w:t>
      </w:r>
      <w:r>
        <w:rPr>
          <w:rFonts w:cs="Arial"/>
          <w:color w:val="000000"/>
          <w:sz w:val="24"/>
          <w:szCs w:val="24"/>
          <w:shd w:val="clear" w:color="auto" w:fill="FFFFFF"/>
        </w:rPr>
        <w:t>products must comply with applicable referenced product specifications, which, for products in contact with drinking water, in most cases reference the requirements of AS/NZS 4020.</w:t>
      </w:r>
      <w:r>
        <w:rPr>
          <w:rStyle w:val="FootnoteReference"/>
          <w:rFonts w:cs="Arial"/>
          <w:color w:val="000000"/>
          <w:sz w:val="24"/>
          <w:szCs w:val="24"/>
          <w:shd w:val="clear" w:color="auto" w:fill="FFFFFF"/>
        </w:rPr>
        <w:footnoteReference w:id="50"/>
      </w:r>
    </w:p>
    <w:p w14:paraId="11C34F47" w14:textId="77777777" w:rsidR="00442DC7" w:rsidRPr="00606555" w:rsidRDefault="00442DC7" w:rsidP="009C31D8">
      <w:pPr>
        <w:spacing w:line="360" w:lineRule="auto"/>
        <w:jc w:val="both"/>
        <w:rPr>
          <w:rFonts w:cs="Arial"/>
          <w:color w:val="000000"/>
          <w:sz w:val="24"/>
          <w:szCs w:val="24"/>
          <w:shd w:val="clear" w:color="auto" w:fill="FFFFFF"/>
        </w:rPr>
      </w:pPr>
      <w:r>
        <w:rPr>
          <w:rFonts w:cs="Arial"/>
          <w:color w:val="000000"/>
          <w:sz w:val="24"/>
          <w:szCs w:val="24"/>
          <w:shd w:val="clear" w:color="auto" w:fill="FFFFFF"/>
        </w:rPr>
        <w:t>Regardless of the requirement for certification under the WMCS, or the content of the referenced product specification, compliance with AS/NZS 4020 is a requirement for all products in contact with drinking water through its reference in A5.3 of the PCA</w:t>
      </w:r>
      <w:r w:rsidRPr="00606555">
        <w:rPr>
          <w:rFonts w:cs="Arial"/>
          <w:color w:val="000000"/>
          <w:sz w:val="24"/>
          <w:szCs w:val="24"/>
          <w:shd w:val="clear" w:color="auto" w:fill="FFFFFF"/>
        </w:rPr>
        <w:t xml:space="preserve">. </w:t>
      </w:r>
    </w:p>
    <w:p w14:paraId="6202EA5B" w14:textId="77777777" w:rsidR="00442DC7" w:rsidRPr="00F11A7B" w:rsidRDefault="00442DC7" w:rsidP="006F7A34">
      <w:pPr>
        <w:pStyle w:val="Heading4"/>
        <w:spacing w:after="120"/>
        <w:rPr>
          <w:rFonts w:ascii="Arial" w:hAnsi="Arial" w:cs="Arial"/>
          <w:b w:val="0"/>
          <w:bCs w:val="0"/>
          <w:i/>
          <w:iCs w:val="0"/>
          <w:sz w:val="24"/>
          <w:szCs w:val="24"/>
        </w:rPr>
      </w:pPr>
      <w:r w:rsidRPr="00947CE9">
        <w:rPr>
          <w:rFonts w:ascii="Arial" w:hAnsi="Arial" w:cs="Arial"/>
          <w:b w:val="0"/>
          <w:bCs w:val="0"/>
          <w:sz w:val="24"/>
          <w:szCs w:val="24"/>
        </w:rPr>
        <w:t xml:space="preserve">Australian and New Zealand Standard </w:t>
      </w:r>
      <w:r>
        <w:rPr>
          <w:rFonts w:ascii="Arial" w:hAnsi="Arial" w:cs="Arial"/>
          <w:b w:val="0"/>
          <w:bCs w:val="0"/>
          <w:sz w:val="24"/>
          <w:szCs w:val="24"/>
        </w:rPr>
        <w:t xml:space="preserve">(AS/NZS) </w:t>
      </w:r>
      <w:r w:rsidRPr="00947CE9">
        <w:rPr>
          <w:rFonts w:ascii="Arial" w:hAnsi="Arial" w:cs="Arial"/>
          <w:b w:val="0"/>
          <w:bCs w:val="0"/>
          <w:sz w:val="24"/>
          <w:szCs w:val="24"/>
        </w:rPr>
        <w:t xml:space="preserve">4020 </w:t>
      </w:r>
      <w:r w:rsidRPr="00F11A7B">
        <w:rPr>
          <w:rFonts w:ascii="Arial" w:hAnsi="Arial" w:cs="Arial"/>
          <w:b w:val="0"/>
          <w:bCs w:val="0"/>
          <w:i/>
          <w:iCs w:val="0"/>
          <w:sz w:val="24"/>
          <w:szCs w:val="24"/>
        </w:rPr>
        <w:t>Testing of Products for Use in Contact with Drinking Water</w:t>
      </w:r>
    </w:p>
    <w:p w14:paraId="24E58D96" w14:textId="77777777" w:rsidR="00442DC7" w:rsidRPr="00947CE9" w:rsidRDefault="00442DC7" w:rsidP="00A8260C">
      <w:pPr>
        <w:spacing w:line="360" w:lineRule="auto"/>
        <w:jc w:val="both"/>
        <w:rPr>
          <w:sz w:val="24"/>
          <w:szCs w:val="24"/>
        </w:rPr>
      </w:pPr>
      <w:r>
        <w:rPr>
          <w:sz w:val="24"/>
          <w:szCs w:val="24"/>
        </w:rPr>
        <w:t>AS/NZS 4020</w:t>
      </w:r>
      <w:r w:rsidRPr="00947CE9">
        <w:rPr>
          <w:sz w:val="24"/>
          <w:szCs w:val="24"/>
        </w:rPr>
        <w:t xml:space="preserve"> specifies requirements for products in contact with drinking water. The </w:t>
      </w:r>
      <w:r>
        <w:rPr>
          <w:sz w:val="24"/>
          <w:szCs w:val="24"/>
        </w:rPr>
        <w:t>s</w:t>
      </w:r>
      <w:r w:rsidRPr="00947CE9">
        <w:rPr>
          <w:sz w:val="24"/>
          <w:szCs w:val="24"/>
        </w:rPr>
        <w:t xml:space="preserve">tandard </w:t>
      </w:r>
      <w:r>
        <w:rPr>
          <w:sz w:val="24"/>
          <w:szCs w:val="24"/>
        </w:rPr>
        <w:t xml:space="preserve">aims to assess the impact of a product on the quality of drinking water and </w:t>
      </w:r>
      <w:r w:rsidRPr="00947CE9">
        <w:rPr>
          <w:sz w:val="24"/>
          <w:szCs w:val="24"/>
        </w:rPr>
        <w:lastRenderedPageBreak/>
        <w:t xml:space="preserve">requires that products </w:t>
      </w:r>
      <w:r>
        <w:rPr>
          <w:sz w:val="24"/>
          <w:szCs w:val="24"/>
        </w:rPr>
        <w:t xml:space="preserve">be </w:t>
      </w:r>
      <w:r w:rsidRPr="00947CE9">
        <w:rPr>
          <w:sz w:val="24"/>
          <w:szCs w:val="24"/>
        </w:rPr>
        <w:t>tested by exposure to test water</w:t>
      </w:r>
      <w:r>
        <w:rPr>
          <w:sz w:val="24"/>
          <w:szCs w:val="24"/>
        </w:rPr>
        <w:t xml:space="preserve">. This standard requires testing for a range of metals, including lead. </w:t>
      </w:r>
    </w:p>
    <w:p w14:paraId="157575E2" w14:textId="77777777" w:rsidR="00442DC7" w:rsidRDefault="00442DC7" w:rsidP="00E43685">
      <w:pPr>
        <w:spacing w:line="360" w:lineRule="auto"/>
        <w:jc w:val="both"/>
        <w:rPr>
          <w:sz w:val="24"/>
          <w:szCs w:val="24"/>
        </w:rPr>
      </w:pPr>
      <w:r w:rsidRPr="00947CE9">
        <w:rPr>
          <w:sz w:val="24"/>
          <w:szCs w:val="24"/>
        </w:rPr>
        <w:t xml:space="preserve">Duplicate samples of the product </w:t>
      </w:r>
      <w:r>
        <w:rPr>
          <w:sz w:val="24"/>
          <w:szCs w:val="24"/>
        </w:rPr>
        <w:t>being tested</w:t>
      </w:r>
      <w:r w:rsidRPr="00947CE9">
        <w:rPr>
          <w:sz w:val="24"/>
          <w:szCs w:val="24"/>
        </w:rPr>
        <w:t xml:space="preserve"> are exposed to test water for 24 hours and the metal concentration measured for the two test extracts. If any of the metals exceed the specified concentration limits </w:t>
      </w:r>
      <w:r w:rsidRPr="001908DA">
        <w:rPr>
          <w:sz w:val="24"/>
          <w:szCs w:val="24"/>
        </w:rPr>
        <w:t xml:space="preserve">for metals and organics in leachate </w:t>
      </w:r>
      <w:r>
        <w:rPr>
          <w:sz w:val="24"/>
          <w:szCs w:val="24"/>
        </w:rPr>
        <w:t xml:space="preserve">specified in </w:t>
      </w:r>
      <w:r w:rsidRPr="00947CE9">
        <w:rPr>
          <w:sz w:val="24"/>
          <w:szCs w:val="24"/>
        </w:rPr>
        <w:t xml:space="preserve">the </w:t>
      </w:r>
      <w:r>
        <w:rPr>
          <w:sz w:val="24"/>
          <w:szCs w:val="24"/>
        </w:rPr>
        <w:t>ADWG</w:t>
      </w:r>
      <w:r w:rsidRPr="00947CE9">
        <w:rPr>
          <w:sz w:val="24"/>
          <w:szCs w:val="24"/>
        </w:rPr>
        <w:t>, further extracts are prepared by exposing both samples to an extra six sequential periods, including four 24</w:t>
      </w:r>
      <w:r>
        <w:rPr>
          <w:sz w:val="24"/>
          <w:szCs w:val="24"/>
        </w:rPr>
        <w:t>-</w:t>
      </w:r>
      <w:r w:rsidRPr="00947CE9">
        <w:rPr>
          <w:sz w:val="24"/>
          <w:szCs w:val="24"/>
        </w:rPr>
        <w:t>hour periods, one 72</w:t>
      </w:r>
      <w:r>
        <w:rPr>
          <w:sz w:val="24"/>
          <w:szCs w:val="24"/>
        </w:rPr>
        <w:t>-</w:t>
      </w:r>
      <w:r w:rsidRPr="00947CE9">
        <w:rPr>
          <w:sz w:val="24"/>
          <w:szCs w:val="24"/>
        </w:rPr>
        <w:t>h</w:t>
      </w:r>
      <w:r>
        <w:rPr>
          <w:sz w:val="24"/>
          <w:szCs w:val="24"/>
        </w:rPr>
        <w:t>our</w:t>
      </w:r>
      <w:r w:rsidRPr="00947CE9">
        <w:rPr>
          <w:sz w:val="24"/>
          <w:szCs w:val="24"/>
        </w:rPr>
        <w:t xml:space="preserve"> period, and concluding with another 24</w:t>
      </w:r>
      <w:r>
        <w:rPr>
          <w:sz w:val="24"/>
          <w:szCs w:val="24"/>
        </w:rPr>
        <w:t>-</w:t>
      </w:r>
      <w:r w:rsidRPr="00947CE9">
        <w:rPr>
          <w:sz w:val="24"/>
          <w:szCs w:val="24"/>
        </w:rPr>
        <w:t>hour period</w:t>
      </w:r>
      <w:r>
        <w:rPr>
          <w:sz w:val="24"/>
          <w:szCs w:val="24"/>
        </w:rPr>
        <w:t xml:space="preserve"> (9 days in total)</w:t>
      </w:r>
      <w:r w:rsidRPr="00947CE9">
        <w:rPr>
          <w:sz w:val="24"/>
          <w:szCs w:val="24"/>
        </w:rPr>
        <w:t xml:space="preserve">. Fresh test water is used for each period. The seventh extract </w:t>
      </w:r>
      <w:r>
        <w:rPr>
          <w:sz w:val="24"/>
          <w:szCs w:val="24"/>
        </w:rPr>
        <w:t>is</w:t>
      </w:r>
      <w:r w:rsidRPr="00947CE9">
        <w:rPr>
          <w:sz w:val="24"/>
          <w:szCs w:val="24"/>
        </w:rPr>
        <w:t xml:space="preserve"> analysed. The number of specified metals in the first and/or final extracts, after applying a scaling factor if applicable, shall not exceed the specified values taken from the </w:t>
      </w:r>
      <w:r>
        <w:rPr>
          <w:sz w:val="24"/>
          <w:szCs w:val="24"/>
        </w:rPr>
        <w:t>ADWG</w:t>
      </w:r>
      <w:r w:rsidRPr="00947CE9">
        <w:rPr>
          <w:sz w:val="24"/>
          <w:szCs w:val="24"/>
        </w:rPr>
        <w:t>. If the limit for any metal is exceeded in the final extract from any of the duplicate samples, the product shall be deemed unsuitable for contact with drinking water</w:t>
      </w:r>
      <w:r>
        <w:rPr>
          <w:sz w:val="24"/>
          <w:szCs w:val="24"/>
        </w:rPr>
        <w:t>,</w:t>
      </w:r>
      <w:r w:rsidRPr="00947CE9">
        <w:rPr>
          <w:sz w:val="24"/>
          <w:szCs w:val="24"/>
        </w:rPr>
        <w:t xml:space="preserve"> unless a further three samples are examined and the mean of the specified metals in their final extracts do not exceed the limits specified. </w:t>
      </w:r>
    </w:p>
    <w:p w14:paraId="56381007" w14:textId="062BF246" w:rsidR="00442DC7" w:rsidRDefault="00EC6476" w:rsidP="004C6304">
      <w:pPr>
        <w:spacing w:line="360" w:lineRule="auto"/>
        <w:jc w:val="both"/>
        <w:rPr>
          <w:sz w:val="24"/>
          <w:szCs w:val="24"/>
        </w:rPr>
      </w:pPr>
      <w:r>
        <w:rPr>
          <w:sz w:val="24"/>
          <w:szCs w:val="24"/>
        </w:rPr>
        <w:t>In submissions received at</w:t>
      </w:r>
      <w:r w:rsidR="00442DC7">
        <w:rPr>
          <w:sz w:val="24"/>
          <w:szCs w:val="24"/>
        </w:rPr>
        <w:t xml:space="preserve"> consultation, there were several calls to amend </w:t>
      </w:r>
      <w:r>
        <w:rPr>
          <w:sz w:val="24"/>
          <w:szCs w:val="24"/>
        </w:rPr>
        <w:t>AS/NZS 4020 to varying degrees with an aim</w:t>
      </w:r>
      <w:r w:rsidR="00442DC7">
        <w:rPr>
          <w:sz w:val="24"/>
          <w:szCs w:val="24"/>
        </w:rPr>
        <w:t xml:space="preserve"> to improve the testing of lead and other heavy metals in drinking water. These comments are discussed under the heading Alternative Regulatory Option. </w:t>
      </w:r>
    </w:p>
    <w:p w14:paraId="08A456CC" w14:textId="77777777" w:rsidR="00442DC7" w:rsidRPr="00207CD1" w:rsidRDefault="00442DC7" w:rsidP="006F7A34">
      <w:pPr>
        <w:spacing w:after="120" w:line="360" w:lineRule="auto"/>
        <w:jc w:val="both"/>
        <w:rPr>
          <w:rFonts w:eastAsiaTheme="majorEastAsia" w:cs="Arial"/>
          <w:iCs/>
          <w:color w:val="002060"/>
          <w:sz w:val="24"/>
          <w:szCs w:val="24"/>
        </w:rPr>
      </w:pPr>
      <w:r>
        <w:rPr>
          <w:rFonts w:eastAsiaTheme="majorEastAsia" w:cs="Arial"/>
          <w:iCs/>
          <w:color w:val="002060"/>
          <w:sz w:val="24"/>
          <w:szCs w:val="24"/>
        </w:rPr>
        <w:t xml:space="preserve">Material and Product </w:t>
      </w:r>
      <w:r w:rsidRPr="00207CD1">
        <w:rPr>
          <w:rFonts w:eastAsiaTheme="majorEastAsia" w:cs="Arial"/>
          <w:iCs/>
          <w:color w:val="002060"/>
          <w:sz w:val="24"/>
          <w:szCs w:val="24"/>
        </w:rPr>
        <w:t>Specification</w:t>
      </w:r>
      <w:r>
        <w:rPr>
          <w:rFonts w:eastAsiaTheme="majorEastAsia" w:cs="Arial"/>
          <w:iCs/>
          <w:color w:val="002060"/>
          <w:sz w:val="24"/>
          <w:szCs w:val="24"/>
        </w:rPr>
        <w:t>s</w:t>
      </w:r>
    </w:p>
    <w:p w14:paraId="14C3DCF1" w14:textId="142803D9" w:rsidR="00442DC7" w:rsidRPr="00BB66EA" w:rsidRDefault="00442DC7" w:rsidP="009C31D8">
      <w:pPr>
        <w:spacing w:after="120" w:line="360" w:lineRule="auto"/>
        <w:jc w:val="both"/>
        <w:rPr>
          <w:rFonts w:cs="Arial"/>
          <w:bCs/>
          <w:iCs/>
          <w:sz w:val="24"/>
          <w:szCs w:val="24"/>
        </w:rPr>
      </w:pPr>
      <w:bookmarkStart w:id="118" w:name="_Toc53963037"/>
      <w:r>
        <w:rPr>
          <w:rFonts w:cs="Arial"/>
          <w:bCs/>
          <w:iCs/>
          <w:sz w:val="24"/>
          <w:szCs w:val="24"/>
        </w:rPr>
        <w:t xml:space="preserve">In addition to the AS/NZS 4020 water quality test, the WMCS also references a number of product specifications which products must comply with. These set limits on the amount of lead that can be within the raw materials and are included in Attachment C. </w:t>
      </w:r>
    </w:p>
    <w:p w14:paraId="2EB86AFB" w14:textId="77777777" w:rsidR="00442DC7" w:rsidRDefault="00442DC7">
      <w:pPr>
        <w:rPr>
          <w:rFonts w:eastAsiaTheme="majorEastAsia" w:cs="Arial"/>
          <w:color w:val="002060"/>
          <w:sz w:val="28"/>
        </w:rPr>
      </w:pPr>
      <w:r>
        <w:rPr>
          <w:rFonts w:cs="Arial"/>
          <w:b/>
          <w:bCs/>
        </w:rPr>
        <w:br w:type="page"/>
      </w:r>
    </w:p>
    <w:p w14:paraId="73ECF533" w14:textId="77777777" w:rsidR="00442DC7" w:rsidRPr="003B0155" w:rsidRDefault="00442DC7" w:rsidP="00770852">
      <w:pPr>
        <w:pStyle w:val="Heading3"/>
        <w:spacing w:after="240"/>
        <w:rPr>
          <w:rFonts w:ascii="Arial" w:hAnsi="Arial" w:cs="Arial"/>
          <w:b w:val="0"/>
          <w:bCs w:val="0"/>
        </w:rPr>
      </w:pPr>
      <w:bookmarkStart w:id="119" w:name="_Toc70887791"/>
      <w:bookmarkStart w:id="120" w:name="_Toc71195742"/>
      <w:bookmarkStart w:id="121" w:name="_Toc71789269"/>
      <w:r w:rsidRPr="003B0155">
        <w:rPr>
          <w:rFonts w:ascii="Arial" w:hAnsi="Arial" w:cs="Arial"/>
          <w:b w:val="0"/>
          <w:bCs w:val="0"/>
        </w:rPr>
        <w:lastRenderedPageBreak/>
        <w:t>Regulatory intervention internationally</w:t>
      </w:r>
      <w:bookmarkEnd w:id="118"/>
      <w:bookmarkEnd w:id="119"/>
      <w:bookmarkEnd w:id="120"/>
      <w:bookmarkEnd w:id="121"/>
      <w:r w:rsidRPr="003B0155">
        <w:rPr>
          <w:rFonts w:ascii="Arial" w:hAnsi="Arial" w:cs="Arial"/>
          <w:b w:val="0"/>
          <w:bCs w:val="0"/>
        </w:rPr>
        <w:t xml:space="preserve"> </w:t>
      </w:r>
    </w:p>
    <w:p w14:paraId="64879372" w14:textId="77777777" w:rsidR="00442DC7" w:rsidRPr="00A8260C" w:rsidRDefault="00442DC7" w:rsidP="00782CDA">
      <w:pPr>
        <w:spacing w:after="240" w:line="360" w:lineRule="auto"/>
        <w:contextualSpacing/>
        <w:jc w:val="both"/>
        <w:rPr>
          <w:rFonts w:eastAsia="Calibri" w:cs="Arial"/>
          <w:sz w:val="24"/>
          <w:szCs w:val="24"/>
          <w:lang w:val="en-US"/>
        </w:rPr>
      </w:pPr>
      <w:bookmarkStart w:id="122" w:name="_Toc47287462"/>
      <w:bookmarkStart w:id="123" w:name="_Toc47287745"/>
      <w:bookmarkStart w:id="124" w:name="_Toc47287886"/>
      <w:r w:rsidRPr="00A8260C">
        <w:rPr>
          <w:rFonts w:eastAsia="Calibri" w:cs="Arial"/>
          <w:sz w:val="24"/>
          <w:szCs w:val="24"/>
          <w:lang w:val="en-US"/>
        </w:rPr>
        <w:t xml:space="preserve">The following information has been prepared as a summary of the current state of international regulation </w:t>
      </w:r>
      <w:r>
        <w:rPr>
          <w:rFonts w:eastAsia="Calibri" w:cs="Arial"/>
          <w:sz w:val="24"/>
          <w:szCs w:val="24"/>
          <w:lang w:val="en-US"/>
        </w:rPr>
        <w:t>for prescribing</w:t>
      </w:r>
      <w:r w:rsidRPr="00A8260C">
        <w:rPr>
          <w:rFonts w:eastAsia="Calibri" w:cs="Arial"/>
          <w:sz w:val="24"/>
          <w:szCs w:val="24"/>
          <w:lang w:val="en-US"/>
        </w:rPr>
        <w:t xml:space="preserve"> lead in plumbing products in contact with drinking water.  </w:t>
      </w:r>
    </w:p>
    <w:p w14:paraId="4030683C" w14:textId="77777777" w:rsidR="00442DC7" w:rsidRPr="003B0155" w:rsidRDefault="00442DC7" w:rsidP="003B0155">
      <w:pPr>
        <w:pStyle w:val="Heading4"/>
        <w:spacing w:after="120"/>
        <w:rPr>
          <w:rFonts w:ascii="Arial" w:hAnsi="Arial" w:cs="Arial"/>
          <w:b w:val="0"/>
          <w:bCs w:val="0"/>
          <w:sz w:val="28"/>
          <w:szCs w:val="28"/>
        </w:rPr>
      </w:pPr>
      <w:bookmarkStart w:id="125" w:name="_Toc47287472"/>
      <w:bookmarkStart w:id="126" w:name="_Toc47287755"/>
      <w:bookmarkStart w:id="127" w:name="_Toc47287896"/>
      <w:r w:rsidRPr="003B0155">
        <w:rPr>
          <w:rFonts w:ascii="Arial" w:hAnsi="Arial" w:cs="Arial"/>
          <w:b w:val="0"/>
          <w:bCs w:val="0"/>
          <w:sz w:val="28"/>
          <w:szCs w:val="28"/>
        </w:rPr>
        <w:t>Austria</w:t>
      </w:r>
      <w:bookmarkEnd w:id="125"/>
      <w:bookmarkEnd w:id="126"/>
      <w:bookmarkEnd w:id="127"/>
    </w:p>
    <w:p w14:paraId="1C1BAE40" w14:textId="77777777" w:rsidR="00442DC7" w:rsidRPr="00AF6297" w:rsidRDefault="00442DC7" w:rsidP="00782CDA">
      <w:pPr>
        <w:spacing w:line="360" w:lineRule="auto"/>
        <w:jc w:val="both"/>
        <w:rPr>
          <w:rFonts w:cs="Arial"/>
          <w:sz w:val="24"/>
          <w:szCs w:val="24"/>
          <w:lang w:val="en-US"/>
        </w:rPr>
      </w:pPr>
      <w:r w:rsidRPr="00AF6297">
        <w:rPr>
          <w:rFonts w:cs="Arial"/>
          <w:sz w:val="24"/>
          <w:szCs w:val="24"/>
          <w:lang w:val="en-US"/>
        </w:rPr>
        <w:t xml:space="preserve">The permissible amount of lead in drinking water is legislated through the Austrian Drinking Water Ordinance </w:t>
      </w:r>
      <w:r>
        <w:rPr>
          <w:rFonts w:cs="Arial"/>
          <w:sz w:val="24"/>
          <w:szCs w:val="24"/>
          <w:lang w:val="en-US"/>
        </w:rPr>
        <w:t>which has</w:t>
      </w:r>
      <w:r w:rsidRPr="00AF6297">
        <w:rPr>
          <w:rFonts w:cs="Arial"/>
          <w:sz w:val="24"/>
          <w:szCs w:val="24"/>
          <w:lang w:val="en-US"/>
        </w:rPr>
        <w:t xml:space="preserve"> set a limit of 10 µg/</w:t>
      </w:r>
      <w:r>
        <w:rPr>
          <w:rFonts w:cs="Arial"/>
          <w:sz w:val="24"/>
          <w:szCs w:val="24"/>
          <w:lang w:val="en-US"/>
        </w:rPr>
        <w:t>L</w:t>
      </w:r>
      <w:r w:rsidRPr="00AF6297">
        <w:rPr>
          <w:rFonts w:cs="Arial"/>
          <w:sz w:val="24"/>
          <w:szCs w:val="24"/>
          <w:lang w:val="en-US"/>
        </w:rPr>
        <w:t xml:space="preserve"> since 2013.</w:t>
      </w:r>
      <w:r w:rsidRPr="000977C6">
        <w:rPr>
          <w:vertAlign w:val="superscript"/>
        </w:rPr>
        <w:footnoteReference w:id="51"/>
      </w:r>
      <w:r w:rsidRPr="00AF6297">
        <w:rPr>
          <w:rFonts w:cs="Arial"/>
          <w:sz w:val="24"/>
          <w:szCs w:val="24"/>
          <w:lang w:val="en-US"/>
        </w:rPr>
        <w:t xml:space="preserve"> Previously, the lead limit in drinking water was 50 µg/</w:t>
      </w:r>
      <w:r>
        <w:rPr>
          <w:rFonts w:cs="Arial"/>
          <w:sz w:val="24"/>
          <w:szCs w:val="24"/>
          <w:lang w:val="en-US"/>
        </w:rPr>
        <w:t>L</w:t>
      </w:r>
      <w:r w:rsidRPr="00AF6297">
        <w:rPr>
          <w:rFonts w:cs="Arial"/>
          <w:sz w:val="24"/>
          <w:szCs w:val="24"/>
          <w:lang w:val="en-US"/>
        </w:rPr>
        <w:t xml:space="preserve"> prior to 2003 and 25 µg/</w:t>
      </w:r>
      <w:r>
        <w:rPr>
          <w:rFonts w:cs="Arial"/>
          <w:sz w:val="24"/>
          <w:szCs w:val="24"/>
          <w:lang w:val="en-US"/>
        </w:rPr>
        <w:t>L</w:t>
      </w:r>
      <w:r w:rsidRPr="00AF6297">
        <w:rPr>
          <w:rFonts w:cs="Arial"/>
          <w:sz w:val="24"/>
          <w:szCs w:val="24"/>
          <w:lang w:val="en-US"/>
        </w:rPr>
        <w:t xml:space="preserve"> from 2004 to 2013.</w:t>
      </w:r>
    </w:p>
    <w:p w14:paraId="6CF888AA" w14:textId="7649D732" w:rsidR="00442DC7" w:rsidRPr="00AF6297" w:rsidRDefault="00442DC7" w:rsidP="00782CDA">
      <w:pPr>
        <w:spacing w:line="360" w:lineRule="auto"/>
        <w:jc w:val="both"/>
        <w:rPr>
          <w:rFonts w:cs="Arial"/>
          <w:sz w:val="24"/>
          <w:szCs w:val="24"/>
          <w:lang w:val="en-US"/>
        </w:rPr>
      </w:pPr>
      <w:r w:rsidRPr="00AF6297">
        <w:rPr>
          <w:rFonts w:cs="Arial"/>
          <w:sz w:val="24"/>
          <w:szCs w:val="24"/>
          <w:lang w:val="en-US"/>
        </w:rPr>
        <w:t xml:space="preserve">Plumbing products in contact with drinking water are required to undergo assessment and comply with the national standard ÖNORM B 5014 </w:t>
      </w:r>
      <w:r>
        <w:rPr>
          <w:rFonts w:cs="Arial"/>
          <w:sz w:val="24"/>
          <w:szCs w:val="24"/>
          <w:lang w:val="en-US"/>
        </w:rPr>
        <w:t>P</w:t>
      </w:r>
      <w:r w:rsidRPr="00AF6297">
        <w:rPr>
          <w:rFonts w:cs="Arial"/>
          <w:sz w:val="24"/>
          <w:szCs w:val="24"/>
          <w:lang w:val="en-US"/>
        </w:rPr>
        <w:t>arts 1, 2 and 3:</w:t>
      </w:r>
      <w:r>
        <w:rPr>
          <w:rFonts w:cs="Arial"/>
          <w:sz w:val="24"/>
          <w:szCs w:val="24"/>
          <w:lang w:val="en-US"/>
        </w:rPr>
        <w:t xml:space="preserve"> ’</w:t>
      </w:r>
      <w:r w:rsidRPr="00AF6297">
        <w:rPr>
          <w:rFonts w:cs="Arial"/>
          <w:sz w:val="24"/>
          <w:szCs w:val="24"/>
          <w:lang w:val="en-US"/>
        </w:rPr>
        <w:t>Sensory and chemical requirements and testing of materials in contact with drinking water</w:t>
      </w:r>
      <w:r>
        <w:rPr>
          <w:rFonts w:cs="Arial"/>
          <w:sz w:val="24"/>
          <w:szCs w:val="24"/>
          <w:lang w:val="en-US"/>
        </w:rPr>
        <w:t>’</w:t>
      </w:r>
      <w:r w:rsidRPr="00AF6297">
        <w:rPr>
          <w:rFonts w:cs="Arial"/>
          <w:sz w:val="24"/>
          <w:szCs w:val="24"/>
          <w:lang w:val="en-US"/>
        </w:rPr>
        <w:t>.</w:t>
      </w:r>
      <w:r w:rsidRPr="000977C6">
        <w:rPr>
          <w:vertAlign w:val="superscript"/>
          <w:lang w:val="en-US"/>
        </w:rPr>
        <w:footnoteReference w:id="52"/>
      </w:r>
      <w:r w:rsidRPr="00AF6297">
        <w:rPr>
          <w:rFonts w:cs="Arial"/>
          <w:sz w:val="24"/>
          <w:szCs w:val="24"/>
          <w:lang w:val="en-US"/>
        </w:rPr>
        <w:t xml:space="preserve"> </w:t>
      </w:r>
    </w:p>
    <w:p w14:paraId="159FE389" w14:textId="77777777" w:rsidR="00442DC7" w:rsidRDefault="00442DC7" w:rsidP="00782CDA">
      <w:pPr>
        <w:spacing w:line="360" w:lineRule="auto"/>
        <w:jc w:val="both"/>
        <w:rPr>
          <w:rFonts w:cs="Arial"/>
          <w:sz w:val="24"/>
          <w:szCs w:val="24"/>
          <w:lang w:val="en-US"/>
        </w:rPr>
      </w:pPr>
      <w:r w:rsidRPr="00AF6297">
        <w:rPr>
          <w:rFonts w:cs="Arial"/>
          <w:sz w:val="24"/>
          <w:szCs w:val="24"/>
          <w:lang w:val="en-US"/>
        </w:rPr>
        <w:t>Although there is no explicit limit in the amount of lead in plumbing material, if the amount of lead in the material exceeds 0.02% (by mass), only up to 50% of the allowed limit, i.e. 5 µg/</w:t>
      </w:r>
      <w:r>
        <w:rPr>
          <w:rFonts w:cs="Arial"/>
          <w:sz w:val="24"/>
          <w:szCs w:val="24"/>
          <w:lang w:val="en-US"/>
        </w:rPr>
        <w:t>L</w:t>
      </w:r>
      <w:r w:rsidRPr="00AF6297">
        <w:rPr>
          <w:rFonts w:cs="Arial"/>
          <w:sz w:val="24"/>
          <w:szCs w:val="24"/>
          <w:lang w:val="en-US"/>
        </w:rPr>
        <w:t xml:space="preserve"> of lead</w:t>
      </w:r>
      <w:r>
        <w:rPr>
          <w:rFonts w:cs="Arial"/>
          <w:sz w:val="24"/>
          <w:szCs w:val="24"/>
          <w:lang w:val="en-US"/>
        </w:rPr>
        <w:t>,</w:t>
      </w:r>
      <w:r w:rsidRPr="00AF6297">
        <w:rPr>
          <w:rFonts w:cs="Arial"/>
          <w:sz w:val="24"/>
          <w:szCs w:val="24"/>
          <w:lang w:val="en-US"/>
        </w:rPr>
        <w:t xml:space="preserve"> is </w:t>
      </w:r>
      <w:r>
        <w:rPr>
          <w:rFonts w:cs="Arial"/>
          <w:sz w:val="24"/>
          <w:szCs w:val="24"/>
          <w:lang w:val="en-US"/>
        </w:rPr>
        <w:t>permitted</w:t>
      </w:r>
      <w:r w:rsidRPr="00AF6297">
        <w:rPr>
          <w:rFonts w:cs="Arial"/>
          <w:sz w:val="24"/>
          <w:szCs w:val="24"/>
          <w:lang w:val="en-US"/>
        </w:rPr>
        <w:t xml:space="preserve">.  </w:t>
      </w:r>
    </w:p>
    <w:p w14:paraId="31E8C953" w14:textId="77777777" w:rsidR="00442DC7" w:rsidRPr="003B0155" w:rsidRDefault="00442DC7" w:rsidP="003B0155">
      <w:pPr>
        <w:pStyle w:val="Heading4"/>
        <w:spacing w:after="120"/>
        <w:rPr>
          <w:rFonts w:ascii="Arial" w:hAnsi="Arial" w:cs="Arial"/>
          <w:b w:val="0"/>
          <w:bCs w:val="0"/>
          <w:sz w:val="28"/>
          <w:szCs w:val="28"/>
        </w:rPr>
      </w:pPr>
      <w:bookmarkStart w:id="128" w:name="_Toc47287473"/>
      <w:bookmarkStart w:id="129" w:name="_Toc47287756"/>
      <w:bookmarkStart w:id="130" w:name="_Toc47287897"/>
      <w:r w:rsidRPr="003B0155">
        <w:rPr>
          <w:rFonts w:ascii="Arial" w:hAnsi="Arial" w:cs="Arial"/>
          <w:b w:val="0"/>
          <w:bCs w:val="0"/>
          <w:sz w:val="28"/>
          <w:szCs w:val="28"/>
        </w:rPr>
        <w:t>Canada</w:t>
      </w:r>
      <w:bookmarkEnd w:id="128"/>
      <w:bookmarkEnd w:id="129"/>
      <w:bookmarkEnd w:id="130"/>
    </w:p>
    <w:p w14:paraId="4A8044BA" w14:textId="77777777" w:rsidR="00442DC7" w:rsidRDefault="00442DC7" w:rsidP="00782CDA">
      <w:pPr>
        <w:spacing w:line="360" w:lineRule="auto"/>
        <w:jc w:val="both"/>
        <w:rPr>
          <w:rFonts w:cs="Arial"/>
          <w:sz w:val="24"/>
          <w:szCs w:val="24"/>
          <w:vertAlign w:val="superscript"/>
          <w:lang w:val="en-US"/>
        </w:rPr>
      </w:pPr>
      <w:bookmarkStart w:id="131" w:name="_Hlk54996360"/>
      <w:r w:rsidRPr="00B56433">
        <w:rPr>
          <w:rFonts w:cs="Arial"/>
          <w:sz w:val="24"/>
          <w:szCs w:val="24"/>
        </w:rPr>
        <w:t>Health Canada lowered its drinking water limit to 5 µg/L from 10 µg/L in 2019.</w:t>
      </w:r>
      <w:r>
        <w:rPr>
          <w:rFonts w:cs="Arial"/>
          <w:sz w:val="24"/>
          <w:szCs w:val="24"/>
        </w:rPr>
        <w:t xml:space="preserve"> </w:t>
      </w:r>
      <w:r>
        <w:rPr>
          <w:rFonts w:cs="Arial"/>
          <w:sz w:val="24"/>
          <w:szCs w:val="24"/>
          <w:lang w:val="en-US"/>
        </w:rPr>
        <w:t>Newly published changes to NSF/ANSI/CAN 61</w:t>
      </w:r>
      <w:r w:rsidRPr="00AF6297">
        <w:rPr>
          <w:rFonts w:cs="Arial"/>
          <w:sz w:val="24"/>
          <w:szCs w:val="24"/>
          <w:lang w:val="en-US"/>
        </w:rPr>
        <w:t xml:space="preserve"> set a maximum acceptable concentration of </w:t>
      </w:r>
      <w:r>
        <w:rPr>
          <w:rFonts w:cs="Arial"/>
          <w:sz w:val="24"/>
          <w:szCs w:val="24"/>
          <w:lang w:val="en-US"/>
        </w:rPr>
        <w:t>1</w:t>
      </w:r>
      <w:r w:rsidRPr="00AF6297">
        <w:rPr>
          <w:rFonts w:cs="Arial"/>
          <w:sz w:val="24"/>
          <w:szCs w:val="24"/>
          <w:lang w:val="en-US"/>
        </w:rPr>
        <w:t xml:space="preserve"> µg/</w:t>
      </w:r>
      <w:r>
        <w:rPr>
          <w:rFonts w:cs="Arial"/>
          <w:sz w:val="24"/>
          <w:szCs w:val="24"/>
          <w:lang w:val="en-US"/>
        </w:rPr>
        <w:t xml:space="preserve">L of </w:t>
      </w:r>
      <w:r w:rsidRPr="00AF6297">
        <w:rPr>
          <w:rFonts w:cs="Arial"/>
          <w:sz w:val="24"/>
          <w:szCs w:val="24"/>
          <w:lang w:val="en-US"/>
        </w:rPr>
        <w:t>lead in drinking water</w:t>
      </w:r>
      <w:r>
        <w:rPr>
          <w:rFonts w:cs="Arial"/>
          <w:sz w:val="24"/>
          <w:szCs w:val="24"/>
          <w:lang w:val="en-US"/>
        </w:rPr>
        <w:t xml:space="preserve">. </w:t>
      </w:r>
      <w:bookmarkStart w:id="132" w:name="_Hlk54996654"/>
      <w:bookmarkEnd w:id="131"/>
      <w:r w:rsidRPr="00FE6F22">
        <w:rPr>
          <w:rFonts w:cs="Arial"/>
          <w:sz w:val="24"/>
          <w:szCs w:val="24"/>
          <w:lang w:val="en-US"/>
        </w:rPr>
        <w:t>Under the new requirements, certification of products to the more stringent criteria is optional for the next three years to allow manufacturers time to comply.</w:t>
      </w:r>
      <w:r>
        <w:rPr>
          <w:rStyle w:val="FootnoteReference"/>
          <w:rFonts w:cs="Arial"/>
          <w:sz w:val="24"/>
          <w:szCs w:val="24"/>
          <w:lang w:val="en-US"/>
        </w:rPr>
        <w:footnoteReference w:id="53"/>
      </w:r>
      <w:bookmarkEnd w:id="132"/>
      <w:r>
        <w:rPr>
          <w:rFonts w:cs="Arial"/>
          <w:sz w:val="24"/>
          <w:szCs w:val="24"/>
          <w:lang w:val="en-US"/>
        </w:rPr>
        <w:t xml:space="preserve"> </w:t>
      </w:r>
      <w:r w:rsidRPr="00AF6297">
        <w:rPr>
          <w:rFonts w:cs="Arial"/>
          <w:sz w:val="24"/>
          <w:szCs w:val="24"/>
          <w:lang w:val="en-US"/>
        </w:rPr>
        <w:t xml:space="preserve">In addition, Canada also regulates </w:t>
      </w:r>
      <w:r>
        <w:rPr>
          <w:rFonts w:cs="Arial"/>
          <w:sz w:val="24"/>
          <w:szCs w:val="24"/>
          <w:lang w:val="en-US"/>
        </w:rPr>
        <w:t>‘</w:t>
      </w:r>
      <w:r w:rsidRPr="00AF6297">
        <w:rPr>
          <w:rFonts w:cs="Arial"/>
          <w:sz w:val="24"/>
          <w:szCs w:val="24"/>
          <w:lang w:val="en-US"/>
        </w:rPr>
        <w:t>lead-free</w:t>
      </w:r>
      <w:r>
        <w:rPr>
          <w:rFonts w:cs="Arial"/>
          <w:sz w:val="24"/>
          <w:szCs w:val="24"/>
          <w:lang w:val="en-US"/>
        </w:rPr>
        <w:t>’</w:t>
      </w:r>
      <w:r w:rsidRPr="00AF6297">
        <w:rPr>
          <w:rFonts w:cs="Arial"/>
          <w:sz w:val="24"/>
          <w:szCs w:val="24"/>
          <w:lang w:val="en-US"/>
        </w:rPr>
        <w:t xml:space="preserve"> requirements for plumbing components. The primary standard </w:t>
      </w:r>
      <w:r>
        <w:rPr>
          <w:rFonts w:cs="Arial"/>
          <w:sz w:val="24"/>
          <w:szCs w:val="24"/>
          <w:lang w:val="en-US"/>
        </w:rPr>
        <w:t>pertaining to</w:t>
      </w:r>
      <w:r w:rsidRPr="00AF6297">
        <w:rPr>
          <w:rFonts w:cs="Arial"/>
          <w:sz w:val="24"/>
          <w:szCs w:val="24"/>
          <w:lang w:val="en-US"/>
        </w:rPr>
        <w:t xml:space="preserve"> brass fittings is CSA B125.3 (plumbing fittings), which adopt</w:t>
      </w:r>
      <w:r>
        <w:rPr>
          <w:rFonts w:cs="Arial"/>
          <w:sz w:val="24"/>
          <w:szCs w:val="24"/>
          <w:lang w:val="en-US"/>
        </w:rPr>
        <w:t>s</w:t>
      </w:r>
      <w:r w:rsidRPr="00AF6297">
        <w:rPr>
          <w:rFonts w:cs="Arial"/>
          <w:sz w:val="24"/>
          <w:szCs w:val="24"/>
          <w:lang w:val="en-US"/>
        </w:rPr>
        <w:t xml:space="preserve"> the 0.25% lead maximum for wetted surfaces. This requirement is within the National Plumbing Code of Canada and enforceable since December 2013.</w:t>
      </w:r>
      <w:r w:rsidRPr="00AF6297">
        <w:rPr>
          <w:rFonts w:cs="Arial"/>
          <w:sz w:val="24"/>
          <w:szCs w:val="24"/>
          <w:vertAlign w:val="superscript"/>
          <w:lang w:val="en-US"/>
        </w:rPr>
        <w:t xml:space="preserve"> </w:t>
      </w:r>
    </w:p>
    <w:p w14:paraId="35D969AA" w14:textId="77777777" w:rsidR="00442DC7" w:rsidRPr="003B0155" w:rsidRDefault="00442DC7" w:rsidP="003B0155">
      <w:pPr>
        <w:pStyle w:val="Heading4"/>
        <w:spacing w:after="120"/>
        <w:rPr>
          <w:rFonts w:ascii="Arial" w:hAnsi="Arial" w:cs="Arial"/>
          <w:b w:val="0"/>
          <w:bCs w:val="0"/>
          <w:sz w:val="28"/>
          <w:szCs w:val="28"/>
        </w:rPr>
      </w:pPr>
      <w:bookmarkStart w:id="134" w:name="_Toc47287469"/>
      <w:bookmarkStart w:id="135" w:name="_Toc47287752"/>
      <w:bookmarkStart w:id="136" w:name="_Toc47287893"/>
      <w:r w:rsidRPr="003B0155">
        <w:rPr>
          <w:rFonts w:ascii="Arial" w:hAnsi="Arial" w:cs="Arial"/>
          <w:b w:val="0"/>
          <w:bCs w:val="0"/>
          <w:sz w:val="28"/>
          <w:szCs w:val="28"/>
        </w:rPr>
        <w:lastRenderedPageBreak/>
        <w:t>Germany</w:t>
      </w:r>
      <w:bookmarkEnd w:id="134"/>
      <w:bookmarkEnd w:id="135"/>
      <w:bookmarkEnd w:id="136"/>
    </w:p>
    <w:p w14:paraId="70B76D48" w14:textId="77777777" w:rsidR="00442DC7" w:rsidRPr="00AF6297" w:rsidRDefault="00442DC7" w:rsidP="00782CDA">
      <w:pPr>
        <w:spacing w:after="120" w:line="360" w:lineRule="auto"/>
        <w:jc w:val="both"/>
        <w:rPr>
          <w:rFonts w:cs="Arial"/>
          <w:sz w:val="24"/>
          <w:szCs w:val="24"/>
          <w:lang w:val="en-US"/>
        </w:rPr>
      </w:pPr>
      <w:r w:rsidRPr="00AF6297">
        <w:rPr>
          <w:rFonts w:cs="Arial"/>
          <w:sz w:val="24"/>
          <w:szCs w:val="24"/>
          <w:lang w:val="en-US"/>
        </w:rPr>
        <w:t>The requirements of drinking water are regulated through</w:t>
      </w:r>
      <w:r>
        <w:rPr>
          <w:rFonts w:cs="Arial"/>
          <w:sz w:val="24"/>
          <w:szCs w:val="24"/>
          <w:lang w:val="en-US"/>
        </w:rPr>
        <w:t xml:space="preserve"> t</w:t>
      </w:r>
      <w:r w:rsidRPr="00AF6297">
        <w:rPr>
          <w:rFonts w:cs="Arial"/>
          <w:sz w:val="24"/>
          <w:szCs w:val="24"/>
          <w:lang w:val="en-US"/>
        </w:rPr>
        <w:t>he Drinking Water Ordinance, which</w:t>
      </w:r>
      <w:r>
        <w:rPr>
          <w:rFonts w:cs="Arial"/>
          <w:sz w:val="24"/>
          <w:szCs w:val="24"/>
          <w:lang w:val="en-US"/>
        </w:rPr>
        <w:t xml:space="preserve"> has</w:t>
      </w:r>
      <w:r w:rsidRPr="00AF6297">
        <w:rPr>
          <w:rFonts w:cs="Arial"/>
          <w:sz w:val="24"/>
          <w:szCs w:val="24"/>
          <w:lang w:val="en-US"/>
        </w:rPr>
        <w:t xml:space="preserve"> set a 10 µg/</w:t>
      </w:r>
      <w:r>
        <w:rPr>
          <w:rFonts w:cs="Arial"/>
          <w:sz w:val="24"/>
          <w:szCs w:val="24"/>
          <w:lang w:val="en-US"/>
        </w:rPr>
        <w:t>L</w:t>
      </w:r>
      <w:r w:rsidRPr="00AF6297">
        <w:rPr>
          <w:rFonts w:cs="Arial"/>
          <w:sz w:val="24"/>
          <w:szCs w:val="24"/>
          <w:lang w:val="en-US"/>
        </w:rPr>
        <w:t xml:space="preserve"> maximum amount of lead in drinking water since 2013.</w:t>
      </w:r>
      <w:r w:rsidRPr="00AF6297">
        <w:rPr>
          <w:rFonts w:cs="Arial"/>
          <w:sz w:val="24"/>
          <w:szCs w:val="24"/>
          <w:vertAlign w:val="superscript"/>
          <w:lang w:val="en-US"/>
        </w:rPr>
        <w:footnoteReference w:id="54"/>
      </w:r>
      <w:r w:rsidRPr="00AF6297">
        <w:rPr>
          <w:rFonts w:cs="Arial"/>
          <w:sz w:val="24"/>
          <w:szCs w:val="24"/>
          <w:lang w:val="en-US"/>
        </w:rPr>
        <w:t xml:space="preserve"> Previously, the lead limit in drinking water was 40 µg/</w:t>
      </w:r>
      <w:r>
        <w:rPr>
          <w:rFonts w:cs="Arial"/>
          <w:sz w:val="24"/>
          <w:szCs w:val="24"/>
          <w:lang w:val="en-US"/>
        </w:rPr>
        <w:t>L</w:t>
      </w:r>
      <w:r w:rsidRPr="00AF6297">
        <w:rPr>
          <w:rFonts w:cs="Arial"/>
          <w:sz w:val="24"/>
          <w:szCs w:val="24"/>
          <w:lang w:val="en-US"/>
        </w:rPr>
        <w:t xml:space="preserve"> </w:t>
      </w:r>
      <w:r>
        <w:rPr>
          <w:rFonts w:cs="Arial"/>
          <w:sz w:val="24"/>
          <w:szCs w:val="24"/>
          <w:lang w:val="en-US"/>
        </w:rPr>
        <w:t xml:space="preserve">in the late </w:t>
      </w:r>
      <w:r w:rsidRPr="00AF6297">
        <w:rPr>
          <w:rFonts w:cs="Arial"/>
          <w:sz w:val="24"/>
          <w:szCs w:val="24"/>
          <w:lang w:val="en-US"/>
        </w:rPr>
        <w:t>1990s and 25 µg/</w:t>
      </w:r>
      <w:r>
        <w:rPr>
          <w:rFonts w:cs="Arial"/>
          <w:sz w:val="24"/>
          <w:szCs w:val="24"/>
          <w:lang w:val="en-US"/>
        </w:rPr>
        <w:t>L</w:t>
      </w:r>
      <w:r w:rsidRPr="00AF6297">
        <w:rPr>
          <w:rFonts w:cs="Arial"/>
          <w:sz w:val="24"/>
          <w:szCs w:val="24"/>
          <w:lang w:val="en-US"/>
        </w:rPr>
        <w:t xml:space="preserve"> thereafter.</w:t>
      </w:r>
    </w:p>
    <w:p w14:paraId="47E84AC8" w14:textId="77777777" w:rsidR="00442DC7" w:rsidRPr="00AF6297" w:rsidRDefault="00442DC7" w:rsidP="00782CDA">
      <w:pPr>
        <w:spacing w:line="360" w:lineRule="auto"/>
        <w:jc w:val="both"/>
        <w:rPr>
          <w:rFonts w:cs="Arial"/>
          <w:sz w:val="24"/>
          <w:szCs w:val="24"/>
          <w:lang w:val="en-US"/>
        </w:rPr>
      </w:pPr>
      <w:r w:rsidRPr="00AF6297">
        <w:rPr>
          <w:rFonts w:cs="Arial"/>
          <w:sz w:val="24"/>
          <w:szCs w:val="24"/>
          <w:lang w:val="en-US"/>
        </w:rPr>
        <w:t xml:space="preserve">The maximum usable quantities of lead in products in contact with drinking water are limited in the ‘Assessment Basis for Metallic Materials in Contact with Drinking Water’ issued by the Federal Environmental Agency. This document is adopted through the Drinking Water Ordinance and was produced by the 4MS Initiative of which Germany </w:t>
      </w:r>
      <w:r>
        <w:rPr>
          <w:rFonts w:cs="Arial"/>
          <w:sz w:val="24"/>
          <w:szCs w:val="24"/>
          <w:lang w:val="en-US"/>
        </w:rPr>
        <w:t>is a member</w:t>
      </w:r>
      <w:r w:rsidRPr="00AF6297">
        <w:rPr>
          <w:rFonts w:cs="Arial"/>
          <w:sz w:val="24"/>
          <w:szCs w:val="24"/>
          <w:lang w:val="en-US"/>
        </w:rPr>
        <w:t>.</w:t>
      </w:r>
      <w:r w:rsidRPr="00AF6297">
        <w:rPr>
          <w:rFonts w:cs="Arial"/>
          <w:sz w:val="24"/>
          <w:szCs w:val="24"/>
          <w:vertAlign w:val="superscript"/>
          <w:lang w:val="en-US"/>
        </w:rPr>
        <w:footnoteReference w:id="55"/>
      </w:r>
    </w:p>
    <w:p w14:paraId="3589BC97" w14:textId="77777777" w:rsidR="00442DC7" w:rsidRPr="003B0155" w:rsidRDefault="00442DC7" w:rsidP="003B0155">
      <w:pPr>
        <w:pStyle w:val="Heading4"/>
        <w:spacing w:after="120"/>
        <w:rPr>
          <w:rFonts w:ascii="Arial" w:hAnsi="Arial" w:cs="Arial"/>
          <w:b w:val="0"/>
          <w:bCs w:val="0"/>
          <w:sz w:val="28"/>
          <w:szCs w:val="28"/>
        </w:rPr>
      </w:pPr>
      <w:bookmarkStart w:id="137" w:name="_Toc47287466"/>
      <w:bookmarkStart w:id="138" w:name="_Toc47287749"/>
      <w:bookmarkStart w:id="139" w:name="_Toc47287890"/>
      <w:r w:rsidRPr="003B0155">
        <w:rPr>
          <w:rFonts w:ascii="Arial" w:hAnsi="Arial" w:cs="Arial"/>
          <w:b w:val="0"/>
          <w:bCs w:val="0"/>
          <w:sz w:val="28"/>
          <w:szCs w:val="28"/>
        </w:rPr>
        <w:t>Japan</w:t>
      </w:r>
      <w:bookmarkEnd w:id="137"/>
      <w:bookmarkEnd w:id="138"/>
      <w:bookmarkEnd w:id="139"/>
    </w:p>
    <w:p w14:paraId="0014AFD8" w14:textId="77777777" w:rsidR="00442DC7" w:rsidRPr="00782CDA" w:rsidRDefault="00442DC7" w:rsidP="00782CDA">
      <w:pPr>
        <w:spacing w:after="0" w:line="360" w:lineRule="auto"/>
        <w:jc w:val="both"/>
        <w:rPr>
          <w:rFonts w:cs="Arial"/>
          <w:sz w:val="24"/>
          <w:szCs w:val="24"/>
          <w:lang w:val="en-US"/>
        </w:rPr>
      </w:pPr>
      <w:r w:rsidRPr="00782CDA">
        <w:rPr>
          <w:rFonts w:cs="Arial"/>
          <w:sz w:val="24"/>
          <w:szCs w:val="24"/>
          <w:lang w:val="en-US"/>
        </w:rPr>
        <w:t>The Ministry of Health, Labor and Welfare has jurisdiction over the drinking water quality standards for lead and ha</w:t>
      </w:r>
      <w:r>
        <w:rPr>
          <w:rFonts w:cs="Arial"/>
          <w:sz w:val="24"/>
          <w:szCs w:val="24"/>
          <w:lang w:val="en-US"/>
        </w:rPr>
        <w:t>s</w:t>
      </w:r>
      <w:r w:rsidRPr="00782CDA">
        <w:rPr>
          <w:rFonts w:cs="Arial"/>
          <w:sz w:val="24"/>
          <w:szCs w:val="24"/>
          <w:lang w:val="en-US"/>
        </w:rPr>
        <w:t xml:space="preserve"> set a maximum of 10 µg/L since 2003.</w:t>
      </w:r>
      <w:r w:rsidRPr="00782CDA">
        <w:rPr>
          <w:vertAlign w:val="superscript"/>
        </w:rPr>
        <w:footnoteReference w:id="56"/>
      </w:r>
      <w:r w:rsidRPr="00782CDA">
        <w:rPr>
          <w:rFonts w:cs="Arial"/>
          <w:sz w:val="24"/>
          <w:szCs w:val="24"/>
          <w:lang w:val="en-US"/>
        </w:rPr>
        <w:t xml:space="preserve"> Previously, the lead limit in drinking water was 100 µg/L prior to 1992 and 50 µg/L from 1992 to 2003.</w:t>
      </w:r>
      <w:r w:rsidRPr="00782CDA">
        <w:rPr>
          <w:vertAlign w:val="superscript"/>
        </w:rPr>
        <w:footnoteReference w:id="57"/>
      </w:r>
      <w:r w:rsidRPr="00782CDA">
        <w:rPr>
          <w:rFonts w:cs="Arial"/>
          <w:sz w:val="24"/>
          <w:szCs w:val="24"/>
          <w:lang w:val="en-US"/>
        </w:rPr>
        <w:t xml:space="preserve"> Plumbing products in contact with drinking water are required to be tested and there are two main categories with different permissible limits of lead leaching.</w:t>
      </w:r>
      <w:r w:rsidRPr="00782CDA">
        <w:rPr>
          <w:vertAlign w:val="superscript"/>
        </w:rPr>
        <w:footnoteReference w:id="58"/>
      </w:r>
      <w:r w:rsidRPr="00782CDA">
        <w:rPr>
          <w:rFonts w:cs="Arial"/>
          <w:sz w:val="24"/>
          <w:szCs w:val="24"/>
          <w:lang w:val="en-US"/>
        </w:rPr>
        <w:t xml:space="preserve"> The first category pertains to endpoint devices such as faucets and has a maximum discharge of not more than 7 µg/L of lead. The second category pertains to products installed midway through the supply system such as valves and joints, and is not to discharge more than 10 µg/L of lead.</w:t>
      </w:r>
    </w:p>
    <w:p w14:paraId="34AAB3C8" w14:textId="77777777" w:rsidR="00442DC7" w:rsidRPr="003B0155" w:rsidRDefault="00442DC7" w:rsidP="003B0155">
      <w:pPr>
        <w:pStyle w:val="Heading4"/>
        <w:spacing w:after="120"/>
        <w:rPr>
          <w:rFonts w:ascii="Arial" w:hAnsi="Arial" w:cs="Arial"/>
          <w:b w:val="0"/>
          <w:bCs w:val="0"/>
          <w:sz w:val="28"/>
          <w:szCs w:val="28"/>
        </w:rPr>
      </w:pPr>
      <w:r w:rsidRPr="003B0155">
        <w:rPr>
          <w:rFonts w:ascii="Arial" w:hAnsi="Arial" w:cs="Arial"/>
          <w:b w:val="0"/>
          <w:bCs w:val="0"/>
          <w:sz w:val="28"/>
          <w:szCs w:val="28"/>
        </w:rPr>
        <w:t>Netherlands</w:t>
      </w:r>
      <w:bookmarkEnd w:id="122"/>
      <w:bookmarkEnd w:id="123"/>
      <w:bookmarkEnd w:id="124"/>
      <w:r w:rsidRPr="003B0155">
        <w:rPr>
          <w:rFonts w:ascii="Arial" w:hAnsi="Arial" w:cs="Arial"/>
          <w:b w:val="0"/>
          <w:bCs w:val="0"/>
          <w:sz w:val="28"/>
          <w:szCs w:val="28"/>
        </w:rPr>
        <w:t xml:space="preserve"> </w:t>
      </w:r>
    </w:p>
    <w:p w14:paraId="13BFCFFC" w14:textId="77777777" w:rsidR="00442DC7" w:rsidRDefault="00442DC7" w:rsidP="00AF6297">
      <w:pPr>
        <w:spacing w:line="360" w:lineRule="auto"/>
        <w:jc w:val="both"/>
        <w:rPr>
          <w:rFonts w:cs="Arial"/>
          <w:sz w:val="24"/>
          <w:szCs w:val="24"/>
          <w:lang w:val="en-US"/>
        </w:rPr>
      </w:pPr>
      <w:r w:rsidRPr="00AF6297">
        <w:rPr>
          <w:rFonts w:cs="Arial"/>
          <w:sz w:val="24"/>
          <w:szCs w:val="24"/>
          <w:lang w:val="en-US"/>
        </w:rPr>
        <w:t>The Netherlands legislates the amount of lead permissible in drinking water in the Drinking Water Decree</w:t>
      </w:r>
      <w:r>
        <w:rPr>
          <w:rFonts w:cs="Arial"/>
          <w:sz w:val="24"/>
          <w:szCs w:val="24"/>
          <w:lang w:val="en-US"/>
        </w:rPr>
        <w:t>,</w:t>
      </w:r>
      <w:r w:rsidRPr="00AF6297">
        <w:rPr>
          <w:rFonts w:cs="Arial"/>
          <w:sz w:val="24"/>
          <w:szCs w:val="24"/>
          <w:lang w:val="en-US"/>
        </w:rPr>
        <w:t xml:space="preserve"> which sets the limit to 10 µg/</w:t>
      </w:r>
      <w:r>
        <w:rPr>
          <w:rFonts w:cs="Arial"/>
          <w:sz w:val="24"/>
          <w:szCs w:val="24"/>
          <w:lang w:val="en-US"/>
        </w:rPr>
        <w:t>L</w:t>
      </w:r>
      <w:r w:rsidRPr="00AF6297">
        <w:rPr>
          <w:rFonts w:cs="Arial"/>
          <w:sz w:val="24"/>
          <w:szCs w:val="24"/>
          <w:lang w:val="en-US"/>
        </w:rPr>
        <w:t xml:space="preserve">. Netherlands previously reviewed the regulation of lead in plumbing in 2010. </w:t>
      </w:r>
    </w:p>
    <w:p w14:paraId="409AACDF" w14:textId="77777777" w:rsidR="00442DC7" w:rsidRDefault="00442DC7" w:rsidP="00AF6297">
      <w:pPr>
        <w:spacing w:line="360" w:lineRule="auto"/>
        <w:jc w:val="both"/>
        <w:rPr>
          <w:rFonts w:cs="Arial"/>
          <w:sz w:val="24"/>
          <w:szCs w:val="24"/>
          <w:lang w:val="en-US"/>
        </w:rPr>
      </w:pPr>
      <w:r w:rsidRPr="00AF6297">
        <w:rPr>
          <w:rFonts w:cs="Arial"/>
          <w:sz w:val="24"/>
          <w:szCs w:val="24"/>
          <w:lang w:val="en-US"/>
        </w:rPr>
        <w:t xml:space="preserve">Within the Drinking Water Decree, further requirements are given towards the composition of an alloy &amp; impurities that may contain a metal. In Annex A, Section </w:t>
      </w:r>
      <w:r w:rsidRPr="00AF6297">
        <w:rPr>
          <w:rFonts w:cs="Arial"/>
          <w:sz w:val="24"/>
          <w:szCs w:val="24"/>
          <w:lang w:val="en-US"/>
        </w:rPr>
        <w:lastRenderedPageBreak/>
        <w:t xml:space="preserve">2.8.2 of the Government Gazette 2011, 11911, </w:t>
      </w:r>
      <w:r>
        <w:rPr>
          <w:rFonts w:cs="Arial"/>
          <w:sz w:val="24"/>
          <w:szCs w:val="24"/>
          <w:lang w:val="en-US"/>
        </w:rPr>
        <w:t xml:space="preserve">it </w:t>
      </w:r>
      <w:r w:rsidRPr="00AF6297">
        <w:rPr>
          <w:rFonts w:cs="Arial"/>
          <w:sz w:val="24"/>
          <w:szCs w:val="24"/>
          <w:lang w:val="en-US"/>
        </w:rPr>
        <w:t>states for plumbing products such as fittings which are of copper alloy composition with a certain percentage of lead, the contact surface is limited to a maximum of 10% of the total contact surface of drinking</w:t>
      </w:r>
      <w:r>
        <w:rPr>
          <w:rFonts w:cs="Arial"/>
          <w:sz w:val="24"/>
          <w:szCs w:val="24"/>
          <w:lang w:val="en-US"/>
        </w:rPr>
        <w:t xml:space="preserve"> water</w:t>
      </w:r>
      <w:r w:rsidRPr="00AF6297">
        <w:rPr>
          <w:rFonts w:cs="Arial"/>
          <w:sz w:val="24"/>
          <w:szCs w:val="24"/>
          <w:lang w:val="en-US"/>
        </w:rPr>
        <w:t xml:space="preserve"> installation</w:t>
      </w:r>
      <w:r>
        <w:rPr>
          <w:rFonts w:cs="Arial"/>
          <w:sz w:val="24"/>
          <w:szCs w:val="24"/>
          <w:lang w:val="en-US"/>
        </w:rPr>
        <w:t>s</w:t>
      </w:r>
      <w:r w:rsidRPr="00AF6297">
        <w:rPr>
          <w:rFonts w:cs="Arial"/>
          <w:sz w:val="24"/>
          <w:szCs w:val="24"/>
          <w:lang w:val="en-US"/>
        </w:rPr>
        <w:t>.</w:t>
      </w:r>
      <w:r w:rsidRPr="00AF6297">
        <w:rPr>
          <w:rFonts w:cs="Arial"/>
          <w:sz w:val="24"/>
          <w:szCs w:val="24"/>
          <w:vertAlign w:val="superscript"/>
          <w:lang w:val="en-US"/>
        </w:rPr>
        <w:footnoteReference w:id="59"/>
      </w:r>
    </w:p>
    <w:p w14:paraId="08E6B4F1" w14:textId="77777777" w:rsidR="00442DC7" w:rsidRPr="003B0155" w:rsidRDefault="00442DC7" w:rsidP="003B0155">
      <w:pPr>
        <w:pStyle w:val="Heading4"/>
        <w:spacing w:after="120"/>
        <w:rPr>
          <w:rFonts w:ascii="Arial" w:hAnsi="Arial" w:cs="Arial"/>
          <w:b w:val="0"/>
          <w:bCs w:val="0"/>
          <w:sz w:val="28"/>
          <w:szCs w:val="28"/>
        </w:rPr>
      </w:pPr>
      <w:bookmarkStart w:id="140" w:name="_Toc47287471"/>
      <w:bookmarkStart w:id="141" w:name="_Toc47287754"/>
      <w:bookmarkStart w:id="142" w:name="_Toc47287895"/>
      <w:r w:rsidRPr="003B0155">
        <w:rPr>
          <w:rFonts w:ascii="Arial" w:hAnsi="Arial" w:cs="Arial"/>
          <w:b w:val="0"/>
          <w:bCs w:val="0"/>
          <w:sz w:val="28"/>
          <w:szCs w:val="28"/>
        </w:rPr>
        <w:t>New Zealand</w:t>
      </w:r>
      <w:bookmarkEnd w:id="140"/>
      <w:bookmarkEnd w:id="141"/>
      <w:bookmarkEnd w:id="142"/>
    </w:p>
    <w:p w14:paraId="15B8316F" w14:textId="77777777" w:rsidR="00442DC7" w:rsidRPr="00AF6297" w:rsidRDefault="00442DC7" w:rsidP="00782CDA">
      <w:pPr>
        <w:spacing w:line="360" w:lineRule="auto"/>
        <w:jc w:val="both"/>
        <w:rPr>
          <w:rFonts w:cs="Arial"/>
          <w:sz w:val="24"/>
          <w:szCs w:val="24"/>
          <w:lang w:val="en-US"/>
        </w:rPr>
      </w:pPr>
      <w:r w:rsidRPr="00AF6297">
        <w:rPr>
          <w:rFonts w:cs="Arial"/>
          <w:sz w:val="24"/>
          <w:szCs w:val="24"/>
          <w:lang w:val="en-US"/>
        </w:rPr>
        <w:t xml:space="preserve">Potable water is regulated by the Ministry of Health. It </w:t>
      </w:r>
      <w:r>
        <w:rPr>
          <w:rFonts w:cs="Arial"/>
          <w:sz w:val="24"/>
          <w:szCs w:val="24"/>
          <w:lang w:val="en-US"/>
        </w:rPr>
        <w:t>has prescribed</w:t>
      </w:r>
      <w:r w:rsidRPr="00AF6297">
        <w:rPr>
          <w:rFonts w:cs="Arial"/>
          <w:sz w:val="24"/>
          <w:szCs w:val="24"/>
          <w:lang w:val="en-US"/>
        </w:rPr>
        <w:t xml:space="preserve"> a maximum </w:t>
      </w:r>
      <w:r>
        <w:rPr>
          <w:rFonts w:cs="Arial"/>
          <w:sz w:val="24"/>
          <w:szCs w:val="24"/>
          <w:lang w:val="en-US"/>
        </w:rPr>
        <w:t>of</w:t>
      </w:r>
      <w:r w:rsidRPr="00AF6297">
        <w:rPr>
          <w:rFonts w:cs="Arial"/>
          <w:sz w:val="24"/>
          <w:szCs w:val="24"/>
          <w:lang w:val="en-US"/>
        </w:rPr>
        <w:t xml:space="preserve"> 10</w:t>
      </w:r>
      <w:r>
        <w:rPr>
          <w:rFonts w:cs="Arial"/>
          <w:sz w:val="24"/>
          <w:szCs w:val="24"/>
          <w:lang w:val="en-US"/>
        </w:rPr>
        <w:t> </w:t>
      </w:r>
      <w:r w:rsidRPr="00AF6297">
        <w:rPr>
          <w:rFonts w:cs="Arial"/>
          <w:sz w:val="24"/>
          <w:szCs w:val="24"/>
          <w:lang w:val="en-US"/>
        </w:rPr>
        <w:t>µg/</w:t>
      </w:r>
      <w:r>
        <w:rPr>
          <w:rFonts w:cs="Arial"/>
          <w:sz w:val="24"/>
          <w:szCs w:val="24"/>
          <w:lang w:val="en-US"/>
        </w:rPr>
        <w:t>L</w:t>
      </w:r>
      <w:r w:rsidRPr="00AF6297">
        <w:rPr>
          <w:rFonts w:cs="Arial"/>
          <w:sz w:val="24"/>
          <w:szCs w:val="24"/>
          <w:lang w:val="en-US"/>
        </w:rPr>
        <w:t xml:space="preserve"> of lead in drinking water since 2005.</w:t>
      </w:r>
      <w:r w:rsidRPr="00AF6297">
        <w:rPr>
          <w:rFonts w:cs="Arial"/>
          <w:sz w:val="24"/>
          <w:szCs w:val="24"/>
          <w:vertAlign w:val="superscript"/>
          <w:lang w:val="en-US"/>
        </w:rPr>
        <w:footnoteReference w:id="60"/>
      </w:r>
    </w:p>
    <w:p w14:paraId="564D256C" w14:textId="77777777" w:rsidR="00442DC7" w:rsidRDefault="00442DC7" w:rsidP="00AF6297">
      <w:pPr>
        <w:spacing w:line="360" w:lineRule="auto"/>
        <w:jc w:val="both"/>
        <w:rPr>
          <w:rFonts w:cs="Arial"/>
          <w:sz w:val="24"/>
          <w:szCs w:val="24"/>
          <w:lang w:val="en-US"/>
        </w:rPr>
      </w:pPr>
      <w:r w:rsidRPr="00AF6297">
        <w:rPr>
          <w:rFonts w:cs="Arial"/>
          <w:sz w:val="24"/>
          <w:szCs w:val="24"/>
          <w:lang w:val="en-US"/>
        </w:rPr>
        <w:t xml:space="preserve">The New Zealand Building Code regulates water intended for human consumption. The point of use lead concentrations is controlled through the </w:t>
      </w:r>
      <w:r>
        <w:rPr>
          <w:rFonts w:cs="Arial"/>
          <w:sz w:val="24"/>
          <w:szCs w:val="24"/>
          <w:lang w:val="en-US"/>
        </w:rPr>
        <w:t>B</w:t>
      </w:r>
      <w:r w:rsidRPr="00AF6297">
        <w:rPr>
          <w:rFonts w:cs="Arial"/>
          <w:sz w:val="24"/>
          <w:szCs w:val="24"/>
          <w:lang w:val="en-US"/>
        </w:rPr>
        <w:t xml:space="preserve">uilding </w:t>
      </w:r>
      <w:r>
        <w:rPr>
          <w:rFonts w:cs="Arial"/>
          <w:sz w:val="24"/>
          <w:szCs w:val="24"/>
          <w:lang w:val="en-US"/>
        </w:rPr>
        <w:t>C</w:t>
      </w:r>
      <w:r w:rsidRPr="00AF6297">
        <w:rPr>
          <w:rFonts w:cs="Arial"/>
          <w:sz w:val="24"/>
          <w:szCs w:val="24"/>
          <w:lang w:val="en-US"/>
        </w:rPr>
        <w:t xml:space="preserve">ode </w:t>
      </w:r>
      <w:r>
        <w:rPr>
          <w:rFonts w:cs="Arial"/>
          <w:sz w:val="24"/>
          <w:szCs w:val="24"/>
          <w:lang w:val="en-US"/>
        </w:rPr>
        <w:t>c</w:t>
      </w:r>
      <w:r w:rsidRPr="00AF6297">
        <w:rPr>
          <w:rFonts w:cs="Arial"/>
          <w:sz w:val="24"/>
          <w:szCs w:val="24"/>
          <w:lang w:val="en-US"/>
        </w:rPr>
        <w:t xml:space="preserve">lause G12 </w:t>
      </w:r>
      <w:r>
        <w:rPr>
          <w:rFonts w:cs="Arial"/>
          <w:sz w:val="24"/>
          <w:szCs w:val="24"/>
          <w:lang w:val="en-US"/>
        </w:rPr>
        <w:t>which</w:t>
      </w:r>
      <w:r w:rsidRPr="00AF6297">
        <w:rPr>
          <w:rFonts w:cs="Arial"/>
          <w:sz w:val="24"/>
          <w:szCs w:val="24"/>
          <w:lang w:val="en-US"/>
        </w:rPr>
        <w:t xml:space="preserve"> refer to AS</w:t>
      </w:r>
      <w:r>
        <w:rPr>
          <w:rFonts w:cs="Arial"/>
          <w:sz w:val="24"/>
          <w:szCs w:val="24"/>
          <w:lang w:val="en-US"/>
        </w:rPr>
        <w:t>/</w:t>
      </w:r>
      <w:r w:rsidRPr="00AF6297">
        <w:rPr>
          <w:rFonts w:cs="Arial"/>
          <w:sz w:val="24"/>
          <w:szCs w:val="24"/>
          <w:lang w:val="en-US"/>
        </w:rPr>
        <w:t>NZS 4020:2005</w:t>
      </w:r>
      <w:r>
        <w:rPr>
          <w:rFonts w:cs="Arial"/>
          <w:sz w:val="24"/>
          <w:szCs w:val="24"/>
          <w:lang w:val="en-US"/>
        </w:rPr>
        <w:t>,</w:t>
      </w:r>
      <w:r w:rsidRPr="00AF6297">
        <w:rPr>
          <w:rFonts w:cs="Arial"/>
          <w:sz w:val="24"/>
          <w:szCs w:val="24"/>
          <w:lang w:val="en-US"/>
        </w:rPr>
        <w:t xml:space="preserve"> AS/NZS 3500.1 and </w:t>
      </w:r>
      <w:r>
        <w:rPr>
          <w:rFonts w:cs="Arial"/>
          <w:sz w:val="24"/>
          <w:szCs w:val="24"/>
          <w:lang w:val="en-US"/>
        </w:rPr>
        <w:t xml:space="preserve">AS/NZS </w:t>
      </w:r>
      <w:r w:rsidRPr="00AF6297">
        <w:rPr>
          <w:rFonts w:cs="Arial"/>
          <w:sz w:val="24"/>
          <w:szCs w:val="24"/>
          <w:lang w:val="en-US"/>
        </w:rPr>
        <w:t xml:space="preserve">3500.4 as </w:t>
      </w:r>
      <w:r>
        <w:rPr>
          <w:rFonts w:cs="Arial"/>
          <w:sz w:val="24"/>
          <w:szCs w:val="24"/>
          <w:lang w:val="en-US"/>
        </w:rPr>
        <w:t xml:space="preserve">a </w:t>
      </w:r>
      <w:r w:rsidRPr="00AF6297">
        <w:rPr>
          <w:rFonts w:cs="Arial"/>
          <w:sz w:val="24"/>
          <w:szCs w:val="24"/>
          <w:lang w:val="en-US"/>
        </w:rPr>
        <w:t>means of compliance.</w:t>
      </w:r>
      <w:r w:rsidRPr="00AF6297">
        <w:rPr>
          <w:rFonts w:cs="Arial"/>
          <w:sz w:val="24"/>
          <w:szCs w:val="24"/>
          <w:vertAlign w:val="superscript"/>
          <w:lang w:val="en-US"/>
        </w:rPr>
        <w:footnoteReference w:id="61"/>
      </w:r>
      <w:r w:rsidRPr="00AF6297">
        <w:rPr>
          <w:rFonts w:cs="Arial"/>
          <w:sz w:val="24"/>
          <w:szCs w:val="24"/>
          <w:lang w:val="en-US"/>
        </w:rPr>
        <w:t xml:space="preserve"> For lead, the maximum allowable leached into the drinking water is 10 µg/</w:t>
      </w:r>
      <w:r>
        <w:rPr>
          <w:rFonts w:cs="Arial"/>
          <w:sz w:val="24"/>
          <w:szCs w:val="24"/>
          <w:lang w:val="en-US"/>
        </w:rPr>
        <w:t>L,</w:t>
      </w:r>
      <w:r w:rsidRPr="00AF6297">
        <w:rPr>
          <w:rFonts w:cs="Arial"/>
          <w:sz w:val="24"/>
          <w:szCs w:val="24"/>
          <w:lang w:val="en-US"/>
        </w:rPr>
        <w:t xml:space="preserve"> as per AS/NZS 4020:2005. </w:t>
      </w:r>
    </w:p>
    <w:p w14:paraId="68A17F9E" w14:textId="77777777" w:rsidR="00442DC7" w:rsidRPr="003B0155" w:rsidRDefault="00442DC7" w:rsidP="003B0155">
      <w:pPr>
        <w:pStyle w:val="Heading4"/>
        <w:spacing w:after="120"/>
        <w:rPr>
          <w:rFonts w:ascii="Arial" w:hAnsi="Arial" w:cs="Arial"/>
          <w:b w:val="0"/>
          <w:bCs w:val="0"/>
          <w:sz w:val="28"/>
          <w:szCs w:val="28"/>
        </w:rPr>
      </w:pPr>
      <w:bookmarkStart w:id="143" w:name="_Toc47287468"/>
      <w:bookmarkStart w:id="144" w:name="_Toc47287751"/>
      <w:bookmarkStart w:id="145" w:name="_Toc47287892"/>
      <w:r w:rsidRPr="003B0155">
        <w:rPr>
          <w:rFonts w:ascii="Arial" w:hAnsi="Arial" w:cs="Arial"/>
          <w:b w:val="0"/>
          <w:bCs w:val="0"/>
          <w:sz w:val="28"/>
          <w:szCs w:val="28"/>
        </w:rPr>
        <w:t>Norway</w:t>
      </w:r>
      <w:bookmarkEnd w:id="143"/>
      <w:bookmarkEnd w:id="144"/>
      <w:bookmarkEnd w:id="145"/>
    </w:p>
    <w:p w14:paraId="16A9B302" w14:textId="77777777" w:rsidR="00442DC7" w:rsidRPr="00AF6297" w:rsidRDefault="00442DC7" w:rsidP="00782CDA">
      <w:pPr>
        <w:spacing w:line="360" w:lineRule="auto"/>
        <w:jc w:val="both"/>
        <w:rPr>
          <w:rFonts w:cs="Arial"/>
          <w:sz w:val="24"/>
          <w:szCs w:val="24"/>
          <w:lang w:val="en-US"/>
        </w:rPr>
      </w:pPr>
      <w:r w:rsidRPr="00AF6297">
        <w:rPr>
          <w:rFonts w:cs="Arial"/>
          <w:sz w:val="24"/>
          <w:szCs w:val="24"/>
          <w:lang w:val="en-US"/>
        </w:rPr>
        <w:t xml:space="preserve">In Norway, </w:t>
      </w:r>
      <w:r>
        <w:rPr>
          <w:rFonts w:cs="Arial"/>
          <w:sz w:val="24"/>
          <w:szCs w:val="24"/>
          <w:lang w:val="en-US"/>
        </w:rPr>
        <w:t xml:space="preserve">the </w:t>
      </w:r>
      <w:r w:rsidRPr="00AF6297">
        <w:rPr>
          <w:rFonts w:cs="Arial"/>
          <w:sz w:val="24"/>
          <w:szCs w:val="24"/>
          <w:lang w:val="en-US"/>
        </w:rPr>
        <w:t>lead content of water at the tap is regulated by the Food Safety Authority. The limit of lead in drinking water for Norway is 10 µg/</w:t>
      </w:r>
      <w:r>
        <w:rPr>
          <w:rFonts w:cs="Arial"/>
          <w:sz w:val="24"/>
          <w:szCs w:val="24"/>
          <w:lang w:val="en-US"/>
        </w:rPr>
        <w:t>L,</w:t>
      </w:r>
      <w:r w:rsidRPr="00AF6297">
        <w:rPr>
          <w:rFonts w:cs="Arial"/>
          <w:sz w:val="24"/>
          <w:szCs w:val="24"/>
          <w:lang w:val="en-US"/>
        </w:rPr>
        <w:t xml:space="preserve"> and is based on the implementation of EU Drinking Water Directive in Norwegian regulation. For plumbing products, the Nordic product rules </w:t>
      </w:r>
      <w:r>
        <w:rPr>
          <w:rFonts w:cs="Arial"/>
          <w:sz w:val="24"/>
          <w:szCs w:val="24"/>
          <w:lang w:val="en-US"/>
        </w:rPr>
        <w:t>N</w:t>
      </w:r>
      <w:r w:rsidRPr="00AF6297">
        <w:rPr>
          <w:rFonts w:cs="Arial"/>
          <w:sz w:val="24"/>
          <w:szCs w:val="24"/>
          <w:lang w:val="en-US"/>
        </w:rPr>
        <w:t>o</w:t>
      </w:r>
      <w:r>
        <w:rPr>
          <w:rFonts w:cs="Arial"/>
          <w:sz w:val="24"/>
          <w:szCs w:val="24"/>
          <w:lang w:val="en-US"/>
        </w:rPr>
        <w:t>.</w:t>
      </w:r>
      <w:r w:rsidRPr="00AF6297">
        <w:rPr>
          <w:rFonts w:cs="Arial"/>
          <w:sz w:val="24"/>
          <w:szCs w:val="24"/>
          <w:lang w:val="en-US"/>
        </w:rPr>
        <w:t xml:space="preserve"> 4 (NKB 4), set in 1986, currently </w:t>
      </w:r>
      <w:r>
        <w:rPr>
          <w:rFonts w:cs="Arial"/>
          <w:sz w:val="24"/>
          <w:szCs w:val="24"/>
          <w:lang w:val="en-US"/>
        </w:rPr>
        <w:t>prescribes</w:t>
      </w:r>
      <w:r w:rsidRPr="00AF6297">
        <w:rPr>
          <w:rFonts w:cs="Arial"/>
          <w:sz w:val="24"/>
          <w:szCs w:val="24"/>
          <w:lang w:val="en-US"/>
        </w:rPr>
        <w:t xml:space="preserve"> a maximum lead value of 20 µg</w:t>
      </w:r>
      <w:r>
        <w:rPr>
          <w:rFonts w:cs="Arial"/>
          <w:sz w:val="24"/>
          <w:szCs w:val="24"/>
          <w:lang w:val="en-US"/>
        </w:rPr>
        <w:t>/L</w:t>
      </w:r>
      <w:r w:rsidRPr="00AF6297">
        <w:rPr>
          <w:rFonts w:cs="Arial"/>
          <w:sz w:val="24"/>
          <w:szCs w:val="24"/>
          <w:lang w:val="en-US"/>
        </w:rPr>
        <w:t>.</w:t>
      </w:r>
      <w:r w:rsidRPr="00AF6297">
        <w:rPr>
          <w:vertAlign w:val="superscript"/>
        </w:rPr>
        <w:footnoteReference w:id="62"/>
      </w:r>
      <w:r w:rsidRPr="00AF6297">
        <w:rPr>
          <w:rFonts w:cs="Arial"/>
          <w:sz w:val="24"/>
          <w:szCs w:val="24"/>
          <w:lang w:val="en-US"/>
        </w:rPr>
        <w:t xml:space="preserve"> </w:t>
      </w:r>
    </w:p>
    <w:p w14:paraId="074508B4" w14:textId="77777777" w:rsidR="00442DC7" w:rsidRPr="003B0155" w:rsidRDefault="00442DC7" w:rsidP="003B0155">
      <w:pPr>
        <w:pStyle w:val="Heading4"/>
        <w:spacing w:after="120"/>
        <w:rPr>
          <w:rFonts w:ascii="Arial" w:hAnsi="Arial" w:cs="Arial"/>
          <w:b w:val="0"/>
          <w:bCs w:val="0"/>
          <w:sz w:val="28"/>
          <w:szCs w:val="28"/>
        </w:rPr>
      </w:pPr>
      <w:bookmarkStart w:id="146" w:name="_Toc47287467"/>
      <w:bookmarkStart w:id="147" w:name="_Toc47287750"/>
      <w:bookmarkStart w:id="148" w:name="_Toc47287891"/>
      <w:r w:rsidRPr="003B0155">
        <w:rPr>
          <w:rFonts w:ascii="Arial" w:hAnsi="Arial" w:cs="Arial"/>
          <w:b w:val="0"/>
          <w:bCs w:val="0"/>
          <w:sz w:val="28"/>
          <w:szCs w:val="28"/>
        </w:rPr>
        <w:t>Singapore</w:t>
      </w:r>
      <w:bookmarkEnd w:id="146"/>
      <w:bookmarkEnd w:id="147"/>
      <w:bookmarkEnd w:id="148"/>
    </w:p>
    <w:p w14:paraId="7E6BA4F9" w14:textId="77777777" w:rsidR="00442DC7" w:rsidRPr="00AF6297" w:rsidRDefault="00442DC7" w:rsidP="00782CDA">
      <w:pPr>
        <w:spacing w:line="360" w:lineRule="auto"/>
        <w:jc w:val="both"/>
        <w:rPr>
          <w:rFonts w:cs="Arial"/>
          <w:sz w:val="24"/>
          <w:szCs w:val="24"/>
          <w:lang w:val="en-US"/>
        </w:rPr>
      </w:pPr>
      <w:r w:rsidRPr="00AF6297">
        <w:rPr>
          <w:rFonts w:cs="Arial"/>
          <w:sz w:val="24"/>
          <w:szCs w:val="24"/>
          <w:lang w:val="en-US"/>
        </w:rPr>
        <w:t>Singapore’s drinking water quality is regulated by the Environment Public Health (EPH) (Quality of Piped Drinking Water) Regulations 2008.</w:t>
      </w:r>
      <w:r w:rsidRPr="00AF6297">
        <w:rPr>
          <w:vertAlign w:val="superscript"/>
        </w:rPr>
        <w:footnoteReference w:id="63"/>
      </w:r>
      <w:r w:rsidRPr="00AF6297">
        <w:rPr>
          <w:rFonts w:cs="Arial"/>
          <w:sz w:val="24"/>
          <w:szCs w:val="24"/>
          <w:lang w:val="en-US"/>
        </w:rPr>
        <w:t xml:space="preserve"> The drinking water standards are set out under the EPH Regulations. All metallic material in contact with water shall comply with the test </w:t>
      </w:r>
      <w:r>
        <w:rPr>
          <w:rFonts w:cs="Arial"/>
          <w:sz w:val="24"/>
          <w:szCs w:val="24"/>
          <w:lang w:val="en-US"/>
        </w:rPr>
        <w:t xml:space="preserve">outlined in Appendix H - </w:t>
      </w:r>
      <w:r w:rsidRPr="00AF6297">
        <w:rPr>
          <w:rFonts w:cs="Arial"/>
          <w:sz w:val="24"/>
          <w:szCs w:val="24"/>
          <w:lang w:val="en-US"/>
        </w:rPr>
        <w:t>Extraction of Metals</w:t>
      </w:r>
      <w:r>
        <w:rPr>
          <w:rFonts w:cs="Arial"/>
          <w:sz w:val="24"/>
          <w:szCs w:val="24"/>
          <w:lang w:val="en-US"/>
        </w:rPr>
        <w:t>,</w:t>
      </w:r>
      <w:r w:rsidRPr="00AF6297">
        <w:rPr>
          <w:rFonts w:cs="Arial"/>
          <w:sz w:val="24"/>
          <w:szCs w:val="24"/>
          <w:lang w:val="en-US"/>
        </w:rPr>
        <w:t xml:space="preserve"> and the maximum allowable concentration of metals as listed in AS/NZS 4020:2005.</w:t>
      </w:r>
      <w:r w:rsidRPr="00AF6297">
        <w:rPr>
          <w:vertAlign w:val="superscript"/>
        </w:rPr>
        <w:footnoteReference w:id="64"/>
      </w:r>
      <w:r w:rsidRPr="00AF6297">
        <w:rPr>
          <w:rFonts w:cs="Arial"/>
          <w:sz w:val="24"/>
          <w:szCs w:val="24"/>
          <w:vertAlign w:val="superscript"/>
          <w:lang w:val="en-US"/>
        </w:rPr>
        <w:t xml:space="preserve"> </w:t>
      </w:r>
      <w:r w:rsidRPr="00AF6297">
        <w:rPr>
          <w:rFonts w:cs="Arial"/>
          <w:sz w:val="24"/>
          <w:szCs w:val="24"/>
          <w:lang w:val="en-US"/>
        </w:rPr>
        <w:t>For lead, the maximum allowable concentration in drinking water is 10 µg/</w:t>
      </w:r>
      <w:r>
        <w:rPr>
          <w:rFonts w:cs="Arial"/>
          <w:sz w:val="24"/>
          <w:szCs w:val="24"/>
          <w:lang w:val="en-US"/>
        </w:rPr>
        <w:t>L,</w:t>
      </w:r>
      <w:r w:rsidRPr="00AF6297">
        <w:rPr>
          <w:rFonts w:cs="Arial"/>
          <w:sz w:val="24"/>
          <w:szCs w:val="24"/>
          <w:lang w:val="en-US"/>
        </w:rPr>
        <w:t xml:space="preserve"> as stated in Table 2 of AS/NZS 4020:2005. </w:t>
      </w:r>
    </w:p>
    <w:p w14:paraId="02A4DE85" w14:textId="77777777" w:rsidR="00442DC7" w:rsidRPr="003B0155" w:rsidRDefault="00442DC7" w:rsidP="003B0155">
      <w:pPr>
        <w:pStyle w:val="Heading4"/>
        <w:spacing w:after="120"/>
        <w:rPr>
          <w:rFonts w:ascii="Arial" w:hAnsi="Arial" w:cs="Arial"/>
          <w:b w:val="0"/>
          <w:bCs w:val="0"/>
          <w:sz w:val="28"/>
          <w:szCs w:val="28"/>
        </w:rPr>
      </w:pPr>
      <w:bookmarkStart w:id="149" w:name="_Toc47287470"/>
      <w:bookmarkStart w:id="150" w:name="_Toc47287753"/>
      <w:bookmarkStart w:id="151" w:name="_Toc47287894"/>
      <w:r w:rsidRPr="003B0155">
        <w:rPr>
          <w:rFonts w:ascii="Arial" w:hAnsi="Arial" w:cs="Arial"/>
          <w:b w:val="0"/>
          <w:bCs w:val="0"/>
          <w:sz w:val="28"/>
          <w:szCs w:val="28"/>
        </w:rPr>
        <w:lastRenderedPageBreak/>
        <w:t>Spain</w:t>
      </w:r>
      <w:bookmarkEnd w:id="149"/>
      <w:bookmarkEnd w:id="150"/>
      <w:bookmarkEnd w:id="151"/>
    </w:p>
    <w:p w14:paraId="09F943C0" w14:textId="77777777" w:rsidR="00442DC7" w:rsidRDefault="00442DC7" w:rsidP="00782CDA">
      <w:pPr>
        <w:spacing w:after="0" w:line="360" w:lineRule="auto"/>
        <w:jc w:val="both"/>
        <w:rPr>
          <w:rFonts w:cs="Arial"/>
          <w:sz w:val="24"/>
          <w:szCs w:val="24"/>
          <w:lang w:val="en-US"/>
        </w:rPr>
      </w:pPr>
      <w:r w:rsidRPr="00AF6297">
        <w:rPr>
          <w:rFonts w:cs="Arial"/>
          <w:sz w:val="24"/>
          <w:szCs w:val="24"/>
          <w:lang w:val="en-US"/>
        </w:rPr>
        <w:t xml:space="preserve">The amount of lead permissible in drinking water is established by law in Royal Decree 140/2003. The lead concentration set </w:t>
      </w:r>
      <w:r>
        <w:rPr>
          <w:rFonts w:cs="Arial"/>
          <w:sz w:val="24"/>
          <w:szCs w:val="24"/>
          <w:lang w:val="en-US"/>
        </w:rPr>
        <w:t>by</w:t>
      </w:r>
      <w:r w:rsidRPr="00AF6297">
        <w:rPr>
          <w:rFonts w:cs="Arial"/>
          <w:sz w:val="24"/>
          <w:szCs w:val="24"/>
          <w:lang w:val="en-US"/>
        </w:rPr>
        <w:t xml:space="preserve"> the legislation since 2014 is not to exceed 10</w:t>
      </w:r>
      <w:r>
        <w:rPr>
          <w:rFonts w:cs="Arial"/>
          <w:sz w:val="24"/>
          <w:szCs w:val="24"/>
          <w:lang w:val="en-US"/>
        </w:rPr>
        <w:t> </w:t>
      </w:r>
      <w:r w:rsidRPr="00AF6297">
        <w:rPr>
          <w:rFonts w:cs="Arial"/>
          <w:sz w:val="24"/>
          <w:szCs w:val="24"/>
          <w:lang w:val="en-US"/>
        </w:rPr>
        <w:t>µg/</w:t>
      </w:r>
      <w:r>
        <w:rPr>
          <w:rFonts w:cs="Arial"/>
          <w:sz w:val="24"/>
          <w:szCs w:val="24"/>
          <w:lang w:val="en-US"/>
        </w:rPr>
        <w:t>L</w:t>
      </w:r>
      <w:r w:rsidRPr="00AF6297">
        <w:rPr>
          <w:rFonts w:cs="Arial"/>
          <w:sz w:val="24"/>
          <w:szCs w:val="24"/>
          <w:lang w:val="en-US"/>
        </w:rPr>
        <w:t xml:space="preserve"> in drinking water. Previously, the lead limit was 50 µg/</w:t>
      </w:r>
      <w:r>
        <w:rPr>
          <w:rFonts w:cs="Arial"/>
          <w:sz w:val="24"/>
          <w:szCs w:val="24"/>
          <w:lang w:val="en-US"/>
        </w:rPr>
        <w:t>L</w:t>
      </w:r>
      <w:r w:rsidRPr="00AF6297">
        <w:rPr>
          <w:rFonts w:cs="Arial"/>
          <w:sz w:val="24"/>
          <w:szCs w:val="24"/>
          <w:lang w:val="en-US"/>
        </w:rPr>
        <w:t xml:space="preserve"> prior to 2003 and 25 µg/</w:t>
      </w:r>
      <w:r>
        <w:rPr>
          <w:rFonts w:cs="Arial"/>
          <w:sz w:val="24"/>
          <w:szCs w:val="24"/>
          <w:lang w:val="en-US"/>
        </w:rPr>
        <w:t>L</w:t>
      </w:r>
      <w:r w:rsidRPr="00AF6297">
        <w:rPr>
          <w:rFonts w:cs="Arial"/>
          <w:sz w:val="24"/>
          <w:szCs w:val="24"/>
          <w:lang w:val="en-US"/>
        </w:rPr>
        <w:t xml:space="preserve"> from 2004 to 2013.</w:t>
      </w:r>
    </w:p>
    <w:p w14:paraId="3AA8CF68" w14:textId="77777777" w:rsidR="00442DC7" w:rsidRPr="003B0155" w:rsidRDefault="00442DC7" w:rsidP="003B0155">
      <w:pPr>
        <w:pStyle w:val="Heading4"/>
        <w:spacing w:after="120"/>
        <w:rPr>
          <w:rFonts w:ascii="Arial" w:hAnsi="Arial" w:cs="Arial"/>
          <w:b w:val="0"/>
          <w:bCs w:val="0"/>
          <w:sz w:val="28"/>
          <w:szCs w:val="28"/>
        </w:rPr>
      </w:pPr>
      <w:bookmarkStart w:id="152" w:name="_Toc47287465"/>
      <w:bookmarkStart w:id="153" w:name="_Toc47287748"/>
      <w:bookmarkStart w:id="154" w:name="_Toc47287889"/>
      <w:r w:rsidRPr="003B0155">
        <w:rPr>
          <w:rFonts w:ascii="Arial" w:hAnsi="Arial" w:cs="Arial"/>
          <w:b w:val="0"/>
          <w:bCs w:val="0"/>
          <w:sz w:val="28"/>
          <w:szCs w:val="28"/>
        </w:rPr>
        <w:t>Sweden</w:t>
      </w:r>
      <w:bookmarkEnd w:id="152"/>
      <w:bookmarkEnd w:id="153"/>
      <w:bookmarkEnd w:id="154"/>
    </w:p>
    <w:p w14:paraId="79298B28" w14:textId="77777777" w:rsidR="00442DC7" w:rsidRPr="00AF6297" w:rsidRDefault="00442DC7" w:rsidP="0020060B">
      <w:pPr>
        <w:spacing w:after="0" w:line="360" w:lineRule="auto"/>
        <w:jc w:val="both"/>
        <w:rPr>
          <w:rFonts w:cs="Arial"/>
          <w:sz w:val="24"/>
          <w:szCs w:val="24"/>
          <w:lang w:val="en-US"/>
        </w:rPr>
      </w:pPr>
      <w:r w:rsidRPr="00AF6297">
        <w:rPr>
          <w:rFonts w:cs="Arial"/>
          <w:sz w:val="24"/>
          <w:szCs w:val="24"/>
          <w:lang w:val="en-US"/>
        </w:rPr>
        <w:t>The Swedish Boverket</w:t>
      </w:r>
      <w:r>
        <w:rPr>
          <w:rFonts w:cs="Arial"/>
          <w:sz w:val="24"/>
          <w:szCs w:val="24"/>
          <w:lang w:val="en-US"/>
        </w:rPr>
        <w:t>’</w:t>
      </w:r>
      <w:r w:rsidRPr="00AF6297">
        <w:rPr>
          <w:rFonts w:cs="Arial"/>
          <w:sz w:val="24"/>
          <w:szCs w:val="24"/>
          <w:lang w:val="en-US"/>
        </w:rPr>
        <w:t xml:space="preserve">s Building Regulations (BBR) </w:t>
      </w:r>
      <w:r>
        <w:rPr>
          <w:rFonts w:cs="Arial"/>
          <w:sz w:val="24"/>
          <w:szCs w:val="24"/>
          <w:lang w:val="en-US"/>
        </w:rPr>
        <w:t xml:space="preserve">contains </w:t>
      </w:r>
      <w:r w:rsidRPr="00AF6297">
        <w:rPr>
          <w:rFonts w:cs="Arial"/>
          <w:sz w:val="24"/>
          <w:szCs w:val="24"/>
          <w:lang w:val="en-US"/>
        </w:rPr>
        <w:t>the permissible amount of dissolved lead in drinking water. Chapter 6.62 relates to tap water installations and state</w:t>
      </w:r>
      <w:r>
        <w:rPr>
          <w:rFonts w:cs="Arial"/>
          <w:sz w:val="24"/>
          <w:szCs w:val="24"/>
          <w:lang w:val="en-US"/>
        </w:rPr>
        <w:t>s</w:t>
      </w:r>
      <w:r w:rsidRPr="00AF6297">
        <w:rPr>
          <w:rFonts w:cs="Arial"/>
          <w:sz w:val="24"/>
          <w:szCs w:val="24"/>
          <w:lang w:val="en-US"/>
        </w:rPr>
        <w:t xml:space="preserve"> the amount of dissolved lead in water from taps where drinking normally </w:t>
      </w:r>
      <w:r>
        <w:rPr>
          <w:rFonts w:cs="Arial"/>
          <w:sz w:val="24"/>
          <w:szCs w:val="24"/>
          <w:lang w:val="en-US"/>
        </w:rPr>
        <w:t>occurs</w:t>
      </w:r>
      <w:r w:rsidRPr="00AF6297">
        <w:rPr>
          <w:rFonts w:cs="Arial"/>
          <w:sz w:val="24"/>
          <w:szCs w:val="24"/>
          <w:lang w:val="en-US"/>
        </w:rPr>
        <w:t>, should not exceed 5 µg</w:t>
      </w:r>
      <w:r>
        <w:rPr>
          <w:rFonts w:cs="Arial"/>
          <w:sz w:val="24"/>
          <w:szCs w:val="24"/>
          <w:lang w:val="en-US"/>
        </w:rPr>
        <w:t>/L</w:t>
      </w:r>
      <w:r w:rsidRPr="00AF6297">
        <w:rPr>
          <w:rFonts w:cs="Arial"/>
          <w:sz w:val="24"/>
          <w:szCs w:val="24"/>
          <w:lang w:val="en-US"/>
        </w:rPr>
        <w:t xml:space="preserve"> when tested in accordance with NKB 4.</w:t>
      </w:r>
      <w:r w:rsidRPr="00AF6297">
        <w:rPr>
          <w:rFonts w:cs="Arial"/>
          <w:sz w:val="24"/>
          <w:szCs w:val="24"/>
          <w:vertAlign w:val="superscript"/>
          <w:lang w:val="en-US"/>
        </w:rPr>
        <w:footnoteReference w:id="65"/>
      </w:r>
      <w:r w:rsidRPr="00AF6297">
        <w:rPr>
          <w:rFonts w:cs="Arial"/>
          <w:sz w:val="24"/>
          <w:szCs w:val="24"/>
          <w:lang w:val="en-US"/>
        </w:rPr>
        <w:t xml:space="preserve"> For materials in contact with </w:t>
      </w:r>
      <w:r>
        <w:rPr>
          <w:rFonts w:cs="Arial"/>
          <w:sz w:val="24"/>
          <w:szCs w:val="24"/>
          <w:lang w:val="en-US"/>
        </w:rPr>
        <w:t xml:space="preserve">drinking </w:t>
      </w:r>
      <w:r w:rsidRPr="00AF6297">
        <w:rPr>
          <w:rFonts w:cs="Arial"/>
          <w:sz w:val="24"/>
          <w:szCs w:val="24"/>
          <w:lang w:val="en-US"/>
        </w:rPr>
        <w:t>water, the amount of lead should not exceed 5 µg/</w:t>
      </w:r>
      <w:r>
        <w:rPr>
          <w:rFonts w:cs="Arial"/>
          <w:sz w:val="24"/>
          <w:szCs w:val="24"/>
          <w:lang w:val="en-US"/>
        </w:rPr>
        <w:t>L</w:t>
      </w:r>
      <w:r w:rsidRPr="00AF6297">
        <w:rPr>
          <w:rFonts w:cs="Arial"/>
          <w:sz w:val="24"/>
          <w:szCs w:val="24"/>
          <w:lang w:val="en-US"/>
        </w:rPr>
        <w:t xml:space="preserve"> when tested in accordance with SS-EN 15664. The BBR have not provided a recommended limit value for lead in materials that are in contact with drinking water.</w:t>
      </w:r>
      <w:r w:rsidRPr="00AF6297">
        <w:rPr>
          <w:rFonts w:cs="Arial"/>
          <w:sz w:val="24"/>
          <w:szCs w:val="24"/>
          <w:vertAlign w:val="superscript"/>
          <w:lang w:val="en-US"/>
        </w:rPr>
        <w:footnoteReference w:id="66"/>
      </w:r>
      <w:r w:rsidRPr="00AF6297">
        <w:rPr>
          <w:rFonts w:cs="Arial"/>
          <w:sz w:val="24"/>
          <w:szCs w:val="24"/>
          <w:lang w:val="en-US"/>
        </w:rPr>
        <w:t xml:space="preserve"> Sweden last reviewed the regulations </w:t>
      </w:r>
      <w:r>
        <w:rPr>
          <w:rFonts w:cs="Arial"/>
          <w:sz w:val="24"/>
          <w:szCs w:val="24"/>
          <w:lang w:val="en-US"/>
        </w:rPr>
        <w:t>for</w:t>
      </w:r>
      <w:r w:rsidRPr="00AF6297">
        <w:rPr>
          <w:rFonts w:cs="Arial"/>
          <w:sz w:val="24"/>
          <w:szCs w:val="24"/>
          <w:lang w:val="en-US"/>
        </w:rPr>
        <w:t xml:space="preserve"> lead in plumbing in 2014.</w:t>
      </w:r>
    </w:p>
    <w:p w14:paraId="49CC6BE6" w14:textId="77777777" w:rsidR="00442DC7" w:rsidRPr="003B0155" w:rsidRDefault="00442DC7" w:rsidP="003B0155">
      <w:pPr>
        <w:pStyle w:val="Heading4"/>
        <w:spacing w:after="120"/>
        <w:rPr>
          <w:rFonts w:ascii="Arial" w:hAnsi="Arial" w:cs="Arial"/>
          <w:b w:val="0"/>
          <w:bCs w:val="0"/>
          <w:sz w:val="28"/>
          <w:szCs w:val="28"/>
        </w:rPr>
      </w:pPr>
      <w:bookmarkStart w:id="155" w:name="_Toc47287464"/>
      <w:bookmarkStart w:id="156" w:name="_Toc47287747"/>
      <w:bookmarkStart w:id="157" w:name="_Toc47287888"/>
      <w:bookmarkStart w:id="158" w:name="_Toc47287463"/>
      <w:bookmarkStart w:id="159" w:name="_Toc47287746"/>
      <w:bookmarkStart w:id="160" w:name="_Toc47287887"/>
      <w:r w:rsidRPr="003B0155">
        <w:rPr>
          <w:rFonts w:ascii="Arial" w:hAnsi="Arial" w:cs="Arial"/>
          <w:b w:val="0"/>
          <w:bCs w:val="0"/>
          <w:sz w:val="28"/>
          <w:szCs w:val="28"/>
        </w:rPr>
        <w:t>United Kingdom</w:t>
      </w:r>
      <w:bookmarkEnd w:id="155"/>
      <w:bookmarkEnd w:id="156"/>
      <w:bookmarkEnd w:id="157"/>
    </w:p>
    <w:p w14:paraId="425445D3" w14:textId="77777777" w:rsidR="00442DC7" w:rsidRPr="00AF6297" w:rsidRDefault="00442DC7" w:rsidP="00782CDA">
      <w:pPr>
        <w:spacing w:line="360" w:lineRule="auto"/>
        <w:jc w:val="both"/>
        <w:rPr>
          <w:rFonts w:cs="Arial"/>
          <w:sz w:val="24"/>
          <w:szCs w:val="24"/>
        </w:rPr>
      </w:pPr>
      <w:r w:rsidRPr="00AF6297">
        <w:rPr>
          <w:rFonts w:cs="Arial"/>
          <w:sz w:val="24"/>
          <w:szCs w:val="24"/>
          <w:lang w:val="en-US"/>
        </w:rPr>
        <w:t>In the UK, the legal drinking water standards are set in the European Drinking Water Directive (Directive 98/83/EC).</w:t>
      </w:r>
      <w:r w:rsidRPr="00AF6297">
        <w:rPr>
          <w:rFonts w:cs="Arial"/>
          <w:sz w:val="24"/>
          <w:szCs w:val="24"/>
          <w:vertAlign w:val="superscript"/>
          <w:lang w:val="en-US"/>
        </w:rPr>
        <w:footnoteReference w:id="67"/>
      </w:r>
      <w:r w:rsidRPr="00AF6297">
        <w:rPr>
          <w:rFonts w:cs="Arial"/>
          <w:sz w:val="24"/>
          <w:szCs w:val="24"/>
          <w:lang w:val="en-US"/>
        </w:rPr>
        <w:t xml:space="preserve"> The Directive limits the amount of lead in drinking water to 10 µg/</w:t>
      </w:r>
      <w:r>
        <w:rPr>
          <w:rFonts w:cs="Arial"/>
          <w:sz w:val="24"/>
          <w:szCs w:val="24"/>
          <w:lang w:val="en-US"/>
        </w:rPr>
        <w:t>L</w:t>
      </w:r>
      <w:r w:rsidRPr="00AF6297">
        <w:rPr>
          <w:rFonts w:cs="Arial"/>
          <w:sz w:val="24"/>
          <w:szCs w:val="24"/>
          <w:lang w:val="en-US"/>
        </w:rPr>
        <w:t>. The limit of 10</w:t>
      </w:r>
      <w:r w:rsidRPr="00AF6297">
        <w:rPr>
          <w:rFonts w:cs="Arial"/>
          <w:sz w:val="24"/>
          <w:szCs w:val="24"/>
        </w:rPr>
        <w:t xml:space="preserve"> µg/</w:t>
      </w:r>
      <w:r>
        <w:rPr>
          <w:rFonts w:cs="Arial"/>
          <w:sz w:val="24"/>
          <w:szCs w:val="24"/>
        </w:rPr>
        <w:t>L</w:t>
      </w:r>
      <w:r w:rsidRPr="00AF6297">
        <w:rPr>
          <w:rFonts w:cs="Arial"/>
          <w:sz w:val="24"/>
          <w:szCs w:val="24"/>
        </w:rPr>
        <w:t xml:space="preserve"> (previously 50 µg/</w:t>
      </w:r>
      <w:r>
        <w:rPr>
          <w:rFonts w:cs="Arial"/>
          <w:sz w:val="24"/>
          <w:szCs w:val="24"/>
        </w:rPr>
        <w:t>L</w:t>
      </w:r>
      <w:r w:rsidRPr="00AF6297">
        <w:rPr>
          <w:rFonts w:cs="Arial"/>
          <w:sz w:val="24"/>
          <w:szCs w:val="24"/>
        </w:rPr>
        <w:t xml:space="preserve"> set in EU Directive 80/778EEC)</w:t>
      </w:r>
      <w:r w:rsidRPr="001834FD">
        <w:rPr>
          <w:rFonts w:cs="Arial"/>
          <w:sz w:val="24"/>
          <w:szCs w:val="24"/>
          <w:vertAlign w:val="superscript"/>
        </w:rPr>
        <w:t xml:space="preserve"> </w:t>
      </w:r>
      <w:r w:rsidRPr="00AF6297">
        <w:rPr>
          <w:rFonts w:cs="Arial"/>
          <w:sz w:val="24"/>
          <w:szCs w:val="24"/>
          <w:vertAlign w:val="superscript"/>
        </w:rPr>
        <w:footnoteReference w:id="68"/>
      </w:r>
      <w:r w:rsidRPr="00AF6297">
        <w:rPr>
          <w:rFonts w:cs="Arial"/>
          <w:sz w:val="24"/>
          <w:szCs w:val="24"/>
        </w:rPr>
        <w:t xml:space="preserve"> was established in 1998 </w:t>
      </w:r>
      <w:r>
        <w:rPr>
          <w:rFonts w:cs="Arial"/>
          <w:sz w:val="24"/>
          <w:szCs w:val="24"/>
        </w:rPr>
        <w:t>when</w:t>
      </w:r>
      <w:r w:rsidRPr="00AF6297">
        <w:rPr>
          <w:rFonts w:cs="Arial"/>
          <w:sz w:val="24"/>
          <w:szCs w:val="24"/>
        </w:rPr>
        <w:t xml:space="preserve"> members of the EU were to reduce lead in drinking water to 25 µg/</w:t>
      </w:r>
      <w:r>
        <w:rPr>
          <w:rFonts w:cs="Arial"/>
          <w:sz w:val="24"/>
          <w:szCs w:val="24"/>
        </w:rPr>
        <w:t>L</w:t>
      </w:r>
      <w:r w:rsidRPr="00AF6297">
        <w:rPr>
          <w:rFonts w:cs="Arial"/>
          <w:sz w:val="24"/>
          <w:szCs w:val="24"/>
        </w:rPr>
        <w:t xml:space="preserve"> by 2005 and 10 µg/</w:t>
      </w:r>
      <w:r>
        <w:rPr>
          <w:rFonts w:cs="Arial"/>
          <w:sz w:val="24"/>
          <w:szCs w:val="24"/>
        </w:rPr>
        <w:t>L</w:t>
      </w:r>
      <w:r w:rsidRPr="00AF6297">
        <w:rPr>
          <w:rFonts w:cs="Arial"/>
          <w:sz w:val="24"/>
          <w:szCs w:val="24"/>
        </w:rPr>
        <w:t xml:space="preserve"> by 2013.</w:t>
      </w:r>
      <w:r w:rsidRPr="00AF6297">
        <w:rPr>
          <w:rFonts w:cs="Arial"/>
          <w:sz w:val="24"/>
          <w:szCs w:val="24"/>
          <w:vertAlign w:val="superscript"/>
        </w:rPr>
        <w:footnoteReference w:id="69"/>
      </w:r>
      <w:r w:rsidRPr="00AF6297">
        <w:rPr>
          <w:rFonts w:cs="Arial"/>
          <w:sz w:val="24"/>
          <w:szCs w:val="24"/>
        </w:rPr>
        <w:t xml:space="preserve"> </w:t>
      </w:r>
    </w:p>
    <w:p w14:paraId="36077F61" w14:textId="77777777" w:rsidR="00442DC7" w:rsidRPr="003B0155" w:rsidRDefault="00442DC7" w:rsidP="003B0155">
      <w:pPr>
        <w:spacing w:line="360" w:lineRule="auto"/>
        <w:jc w:val="both"/>
        <w:rPr>
          <w:rFonts w:eastAsiaTheme="majorEastAsia"/>
          <w:color w:val="002060"/>
          <w:sz w:val="24"/>
          <w:szCs w:val="24"/>
        </w:rPr>
      </w:pPr>
      <w:r w:rsidRPr="003B0155">
        <w:rPr>
          <w:sz w:val="24"/>
          <w:szCs w:val="24"/>
          <w:lang w:val="en-US"/>
        </w:rPr>
        <w:t>In England, water fittings are to conform to the Water Supply (Water Fittings) regulations 1999.</w:t>
      </w:r>
      <w:r w:rsidRPr="003B0155">
        <w:rPr>
          <w:sz w:val="24"/>
          <w:szCs w:val="24"/>
          <w:vertAlign w:val="superscript"/>
          <w:lang w:val="en-US"/>
        </w:rPr>
        <w:footnoteReference w:id="70"/>
      </w:r>
      <w:r w:rsidRPr="003B0155">
        <w:rPr>
          <w:sz w:val="24"/>
          <w:szCs w:val="24"/>
          <w:lang w:val="en-US"/>
        </w:rPr>
        <w:t xml:space="preserve"> In Scotland, the legal requirements for plumbing materials in contact with drinking water are covered in </w:t>
      </w:r>
      <w:r>
        <w:rPr>
          <w:sz w:val="24"/>
          <w:szCs w:val="24"/>
          <w:lang w:val="en-US"/>
        </w:rPr>
        <w:t xml:space="preserve">the </w:t>
      </w:r>
      <w:r w:rsidRPr="003B0155">
        <w:rPr>
          <w:sz w:val="24"/>
          <w:szCs w:val="24"/>
          <w:lang w:val="en-US"/>
        </w:rPr>
        <w:t>Scottish Water Byelaws.</w:t>
      </w:r>
      <w:r w:rsidRPr="003B0155">
        <w:rPr>
          <w:sz w:val="24"/>
          <w:szCs w:val="24"/>
          <w:vertAlign w:val="superscript"/>
          <w:lang w:val="en-US"/>
        </w:rPr>
        <w:footnoteReference w:id="71"/>
      </w:r>
      <w:r w:rsidRPr="003B0155">
        <w:rPr>
          <w:sz w:val="24"/>
          <w:szCs w:val="24"/>
          <w:lang w:val="en-US"/>
        </w:rPr>
        <w:t xml:space="preserve">  Both England and Scotland require water fittings to bar</w:t>
      </w:r>
      <w:r>
        <w:rPr>
          <w:sz w:val="24"/>
          <w:szCs w:val="24"/>
          <w:lang w:val="en-US"/>
        </w:rPr>
        <w:t>e</w:t>
      </w:r>
      <w:r w:rsidRPr="003B0155">
        <w:rPr>
          <w:sz w:val="24"/>
          <w:szCs w:val="24"/>
          <w:lang w:val="en-US"/>
        </w:rPr>
        <w:t xml:space="preserve"> an appropriate CE marking in accordance with the Directive</w:t>
      </w:r>
      <w:r>
        <w:rPr>
          <w:sz w:val="24"/>
          <w:szCs w:val="24"/>
          <w:lang w:val="en-US"/>
        </w:rPr>
        <w:t>,</w:t>
      </w:r>
      <w:r w:rsidRPr="003B0155">
        <w:rPr>
          <w:sz w:val="24"/>
          <w:szCs w:val="24"/>
          <w:lang w:val="en-US"/>
        </w:rPr>
        <w:t xml:space="preserve"> or conform to an appropriate </w:t>
      </w:r>
      <w:r w:rsidRPr="004C6304">
        <w:rPr>
          <w:sz w:val="24"/>
          <w:szCs w:val="24"/>
        </w:rPr>
        <w:t>harmonised</w:t>
      </w:r>
      <w:r w:rsidRPr="003B0155">
        <w:rPr>
          <w:sz w:val="24"/>
          <w:szCs w:val="24"/>
          <w:lang w:val="en-US"/>
        </w:rPr>
        <w:t xml:space="preserve"> British Standard. The relevant British Standard concerning the leaching of metals in plumbing products is </w:t>
      </w:r>
      <w:r w:rsidRPr="003B0155">
        <w:rPr>
          <w:sz w:val="24"/>
          <w:szCs w:val="24"/>
          <w:lang w:val="en-US"/>
        </w:rPr>
        <w:lastRenderedPageBreak/>
        <w:t>BS EN 15664.</w:t>
      </w:r>
      <w:r w:rsidRPr="003B0155">
        <w:rPr>
          <w:sz w:val="24"/>
          <w:szCs w:val="24"/>
          <w:vertAlign w:val="superscript"/>
          <w:lang w:val="en-US"/>
        </w:rPr>
        <w:footnoteReference w:id="72"/>
      </w:r>
      <w:r w:rsidRPr="003B0155">
        <w:rPr>
          <w:sz w:val="24"/>
          <w:szCs w:val="24"/>
          <w:lang w:val="en-US"/>
        </w:rPr>
        <w:t xml:space="preserve"> In addition to the Regulations, the 4MS Initiative, of which the UK is a member, has agreed on collaboration in the harmonization of tests for the hygienic suitability of products in contact with drinking water.</w:t>
      </w:r>
      <w:r w:rsidRPr="003B0155">
        <w:rPr>
          <w:sz w:val="24"/>
          <w:szCs w:val="24"/>
          <w:vertAlign w:val="superscript"/>
          <w:lang w:val="en-US"/>
        </w:rPr>
        <w:footnoteReference w:id="73"/>
      </w:r>
      <w:r w:rsidRPr="003B0155">
        <w:rPr>
          <w:sz w:val="24"/>
          <w:szCs w:val="24"/>
          <w:lang w:val="en-US"/>
        </w:rPr>
        <w:t xml:space="preserve"> The 4MS Initiative ha</w:t>
      </w:r>
      <w:r>
        <w:rPr>
          <w:sz w:val="24"/>
          <w:szCs w:val="24"/>
          <w:lang w:val="en-US"/>
        </w:rPr>
        <w:t>s</w:t>
      </w:r>
      <w:r w:rsidRPr="003B0155">
        <w:rPr>
          <w:sz w:val="24"/>
          <w:szCs w:val="24"/>
          <w:lang w:val="en-US"/>
        </w:rPr>
        <w:t xml:space="preserve"> produced the Part B – 4MS Common Composition List. The document lists the composition of low leaching metals and limits the amount of lead in each accepted metallic material.</w:t>
      </w:r>
      <w:r w:rsidRPr="003B0155">
        <w:rPr>
          <w:sz w:val="24"/>
          <w:szCs w:val="24"/>
          <w:vertAlign w:val="superscript"/>
          <w:lang w:val="en-US"/>
        </w:rPr>
        <w:footnoteReference w:id="74"/>
      </w:r>
    </w:p>
    <w:p w14:paraId="58AE69E7" w14:textId="77777777" w:rsidR="00442DC7" w:rsidRPr="003B0155" w:rsidRDefault="00442DC7" w:rsidP="003B0155">
      <w:pPr>
        <w:pStyle w:val="Heading4"/>
        <w:spacing w:after="120"/>
        <w:rPr>
          <w:rFonts w:ascii="Arial" w:hAnsi="Arial" w:cs="Arial"/>
          <w:b w:val="0"/>
          <w:bCs w:val="0"/>
          <w:sz w:val="28"/>
          <w:szCs w:val="28"/>
        </w:rPr>
      </w:pPr>
      <w:r w:rsidRPr="003B0155">
        <w:rPr>
          <w:rFonts w:ascii="Arial" w:hAnsi="Arial" w:cs="Arial"/>
          <w:b w:val="0"/>
          <w:bCs w:val="0"/>
          <w:sz w:val="28"/>
          <w:szCs w:val="28"/>
        </w:rPr>
        <w:t>United States</w:t>
      </w:r>
      <w:bookmarkEnd w:id="158"/>
      <w:bookmarkEnd w:id="159"/>
      <w:bookmarkEnd w:id="160"/>
    </w:p>
    <w:p w14:paraId="3621AF91" w14:textId="77777777" w:rsidR="00442DC7" w:rsidRDefault="00442DC7" w:rsidP="00AF6297">
      <w:pPr>
        <w:spacing w:line="360" w:lineRule="auto"/>
        <w:jc w:val="both"/>
        <w:rPr>
          <w:rFonts w:cs="Arial"/>
          <w:sz w:val="24"/>
          <w:szCs w:val="24"/>
          <w:lang w:val="en-US"/>
        </w:rPr>
      </w:pPr>
      <w:r w:rsidRPr="00AF6297">
        <w:rPr>
          <w:rFonts w:cs="Arial"/>
          <w:sz w:val="24"/>
          <w:szCs w:val="24"/>
          <w:lang w:val="en-US"/>
        </w:rPr>
        <w:t xml:space="preserve">The US Environmental Protection Agency (EPA) set the standard of drinking water through the Safe Drinking Water Act (SDWA). </w:t>
      </w:r>
      <w:r w:rsidRPr="00B56433">
        <w:rPr>
          <w:rFonts w:cs="Arial"/>
          <w:sz w:val="24"/>
          <w:szCs w:val="24"/>
        </w:rPr>
        <w:t xml:space="preserve">The EPA health-based guideline value </w:t>
      </w:r>
      <w:r>
        <w:rPr>
          <w:rFonts w:cs="Arial"/>
          <w:sz w:val="24"/>
          <w:szCs w:val="24"/>
        </w:rPr>
        <w:t xml:space="preserve">for lead </w:t>
      </w:r>
      <w:r w:rsidRPr="00B56433">
        <w:rPr>
          <w:rFonts w:cs="Arial"/>
          <w:sz w:val="24"/>
          <w:szCs w:val="24"/>
        </w:rPr>
        <w:t xml:space="preserve">is 15 µg/L. </w:t>
      </w:r>
      <w:r w:rsidRPr="00AF6297">
        <w:rPr>
          <w:rFonts w:cs="Arial"/>
          <w:sz w:val="24"/>
          <w:szCs w:val="24"/>
          <w:lang w:val="en-US"/>
        </w:rPr>
        <w:t xml:space="preserve">The SDWA does not allow a person to </w:t>
      </w:r>
      <w:r>
        <w:rPr>
          <w:rFonts w:cs="Arial"/>
          <w:sz w:val="24"/>
          <w:szCs w:val="24"/>
          <w:lang w:val="en-US"/>
        </w:rPr>
        <w:t>‘</w:t>
      </w:r>
      <w:r w:rsidRPr="00AF6297">
        <w:rPr>
          <w:rFonts w:cs="Arial"/>
          <w:sz w:val="24"/>
          <w:szCs w:val="24"/>
          <w:lang w:val="en-US"/>
        </w:rPr>
        <w:t>use any pipe, plumbing fitting or fixture</w:t>
      </w:r>
      <w:r>
        <w:rPr>
          <w:rFonts w:cs="Arial"/>
          <w:sz w:val="24"/>
          <w:szCs w:val="24"/>
          <w:lang w:val="en-US"/>
        </w:rPr>
        <w:t xml:space="preserve"> or any</w:t>
      </w:r>
      <w:r w:rsidRPr="00AF6297">
        <w:rPr>
          <w:rFonts w:cs="Arial"/>
          <w:sz w:val="24"/>
          <w:szCs w:val="24"/>
          <w:lang w:val="en-US"/>
        </w:rPr>
        <w:t xml:space="preserve"> solder after June 1986, in the installation or repair of </w:t>
      </w:r>
      <w:r w:rsidRPr="004C6304">
        <w:rPr>
          <w:rFonts w:cs="Arial"/>
          <w:sz w:val="24"/>
          <w:szCs w:val="24"/>
        </w:rPr>
        <w:t>i</w:t>
      </w:r>
      <w:r w:rsidRPr="00AF6297">
        <w:rPr>
          <w:rFonts w:cs="Arial"/>
          <w:sz w:val="24"/>
          <w:szCs w:val="24"/>
          <w:lang w:val="en-US"/>
        </w:rPr>
        <w:t>) any public water system; or ii) any plumbing in a residential or non-residential facility providing water for human consumption, that is not lead-free’.</w:t>
      </w:r>
      <w:r w:rsidRPr="00AF6297">
        <w:rPr>
          <w:rFonts w:cs="Arial"/>
          <w:sz w:val="24"/>
          <w:szCs w:val="24"/>
          <w:vertAlign w:val="superscript"/>
          <w:lang w:val="en-US"/>
        </w:rPr>
        <w:footnoteReference w:id="75"/>
      </w:r>
      <w:r w:rsidRPr="00AF6297">
        <w:rPr>
          <w:rFonts w:cs="Arial"/>
          <w:sz w:val="24"/>
          <w:szCs w:val="24"/>
          <w:lang w:val="en-US"/>
        </w:rPr>
        <w:t xml:space="preserve"> </w:t>
      </w:r>
      <w:r w:rsidRPr="00A860C9">
        <w:rPr>
          <w:rFonts w:cs="Arial"/>
          <w:sz w:val="24"/>
          <w:szCs w:val="24"/>
          <w:lang w:val="en-US"/>
        </w:rPr>
        <w:t>The current definition of lead-free is a maximum weighted average of 0.25% lead calculated across the wetted surface</w:t>
      </w:r>
      <w:r>
        <w:rPr>
          <w:rFonts w:cs="Arial"/>
          <w:sz w:val="24"/>
          <w:szCs w:val="24"/>
          <w:lang w:val="en-US"/>
        </w:rPr>
        <w:t xml:space="preserve"> area</w:t>
      </w:r>
      <w:r w:rsidRPr="00A860C9">
        <w:rPr>
          <w:rFonts w:cs="Arial"/>
          <w:sz w:val="24"/>
          <w:szCs w:val="24"/>
          <w:lang w:val="en-US"/>
        </w:rPr>
        <w:t xml:space="preserve"> of a pipe, pipe fitting, plumbing fitting and fixture, and 0.2% lead for solder and flux.</w:t>
      </w:r>
      <w:r w:rsidRPr="00A860C9">
        <w:t xml:space="preserve"> </w:t>
      </w:r>
      <w:r w:rsidRPr="00A860C9">
        <w:rPr>
          <w:rFonts w:cs="Arial"/>
          <w:sz w:val="24"/>
          <w:szCs w:val="24"/>
          <w:lang w:val="en-US"/>
        </w:rPr>
        <w:t>The standard was set at 0.25% weighted average in recognition that it is not possible to source 100% lead</w:t>
      </w:r>
      <w:r>
        <w:rPr>
          <w:rFonts w:cs="Arial"/>
          <w:sz w:val="24"/>
          <w:szCs w:val="24"/>
          <w:lang w:val="en-US"/>
        </w:rPr>
        <w:t>-</w:t>
      </w:r>
      <w:r w:rsidRPr="00A860C9">
        <w:rPr>
          <w:rFonts w:cs="Arial"/>
          <w:sz w:val="24"/>
          <w:szCs w:val="24"/>
          <w:lang w:val="en-US"/>
        </w:rPr>
        <w:t xml:space="preserve">free raw material. Small trace amounts of lead are permitted, consistent with the requirements for paint, fuel and other regulated goods. This amount is considered the lowest lead content achievable without having significant consequences on the copper alloy supply chain.  </w:t>
      </w:r>
    </w:p>
    <w:p w14:paraId="45590FB0" w14:textId="77777777" w:rsidR="00442DC7" w:rsidRPr="00AF6297" w:rsidRDefault="00442DC7" w:rsidP="00BB66EA">
      <w:pPr>
        <w:spacing w:line="360" w:lineRule="auto"/>
        <w:jc w:val="both"/>
        <w:rPr>
          <w:rFonts w:cs="Arial"/>
          <w:sz w:val="24"/>
          <w:szCs w:val="24"/>
          <w:lang w:val="en-US"/>
        </w:rPr>
      </w:pPr>
      <w:r w:rsidRPr="00AF6297">
        <w:rPr>
          <w:rFonts w:cs="Arial"/>
          <w:sz w:val="24"/>
          <w:szCs w:val="24"/>
          <w:lang w:val="en-US"/>
        </w:rPr>
        <w:t xml:space="preserve">In addition, </w:t>
      </w:r>
      <w:r>
        <w:rPr>
          <w:rFonts w:cs="Arial"/>
          <w:sz w:val="24"/>
          <w:szCs w:val="24"/>
          <w:lang w:val="en-US"/>
        </w:rPr>
        <w:t>n</w:t>
      </w:r>
      <w:r w:rsidRPr="00FE6F22">
        <w:rPr>
          <w:rFonts w:cs="Arial"/>
          <w:sz w:val="24"/>
          <w:szCs w:val="24"/>
          <w:lang w:val="en-US"/>
        </w:rPr>
        <w:t xml:space="preserve">ewly published changes to NSF/ANSI/CAN 61 set a maximum acceptable concentration of 1 µg/L </w:t>
      </w:r>
      <w:r>
        <w:rPr>
          <w:rFonts w:cs="Arial"/>
          <w:sz w:val="24"/>
          <w:szCs w:val="24"/>
          <w:lang w:val="en-US"/>
        </w:rPr>
        <w:t xml:space="preserve">of </w:t>
      </w:r>
      <w:r w:rsidRPr="00FE6F22">
        <w:rPr>
          <w:rFonts w:cs="Arial"/>
          <w:sz w:val="24"/>
          <w:szCs w:val="24"/>
          <w:lang w:val="en-US"/>
        </w:rPr>
        <w:t xml:space="preserve">lead in drinking water. </w:t>
      </w:r>
      <w:r w:rsidRPr="00CB0C74">
        <w:rPr>
          <w:rFonts w:cs="Arial"/>
          <w:sz w:val="24"/>
          <w:szCs w:val="24"/>
          <w:lang w:val="en-US"/>
        </w:rPr>
        <w:t>Under the new requirements, certification of products to the more stringent criteria is optional for the next three years to allow manufacturers time to comply.</w:t>
      </w:r>
      <w:r>
        <w:rPr>
          <w:rStyle w:val="FootnoteReference"/>
          <w:rFonts w:cs="Arial"/>
          <w:sz w:val="24"/>
          <w:szCs w:val="24"/>
          <w:lang w:val="en-US"/>
        </w:rPr>
        <w:footnoteReference w:id="76"/>
      </w:r>
    </w:p>
    <w:p w14:paraId="04BBADC1" w14:textId="77777777" w:rsidR="00442DC7" w:rsidRPr="00D10CF8" w:rsidRDefault="00442DC7" w:rsidP="00D10CF8">
      <w:pPr>
        <w:rPr>
          <w:rFonts w:cs="Arial"/>
          <w:sz w:val="24"/>
          <w:szCs w:val="24"/>
          <w:lang w:val="en-US"/>
        </w:rPr>
      </w:pPr>
      <w:r w:rsidRPr="004269F3">
        <w:rPr>
          <w:rFonts w:eastAsiaTheme="majorEastAsia" w:cs="Arial"/>
          <w:iCs/>
          <w:color w:val="002060"/>
          <w:sz w:val="28"/>
          <w:szCs w:val="28"/>
        </w:rPr>
        <w:t xml:space="preserve">Summary of international comparisons </w:t>
      </w:r>
    </w:p>
    <w:p w14:paraId="2F057E49" w14:textId="77777777" w:rsidR="00442DC7" w:rsidRPr="00770852" w:rsidRDefault="00442DC7" w:rsidP="00901E24">
      <w:pPr>
        <w:spacing w:after="240" w:line="360" w:lineRule="auto"/>
        <w:jc w:val="both"/>
        <w:rPr>
          <w:rFonts w:eastAsiaTheme="majorEastAsia" w:cs="Arial"/>
          <w:iCs/>
          <w:color w:val="002060"/>
          <w:sz w:val="28"/>
          <w:szCs w:val="28"/>
        </w:rPr>
      </w:pPr>
      <w:r w:rsidRPr="00532855">
        <w:rPr>
          <w:rFonts w:cs="Arial"/>
          <w:sz w:val="24"/>
          <w:szCs w:val="24"/>
          <w:lang w:val="en-US"/>
        </w:rPr>
        <w:t xml:space="preserve">The maximum lead content of drinking water in Australia is consistent with the majority of other jurisdictions compared (Germany, Netherlands, New Zealand, Singapore, </w:t>
      </w:r>
      <w:r w:rsidRPr="00532855">
        <w:rPr>
          <w:rFonts w:cs="Arial"/>
          <w:sz w:val="24"/>
          <w:szCs w:val="24"/>
          <w:lang w:val="en-US"/>
        </w:rPr>
        <w:lastRenderedPageBreak/>
        <w:t>Spain and the United Kingdom). F</w:t>
      </w:r>
      <w:r>
        <w:rPr>
          <w:rFonts w:cs="Arial"/>
          <w:sz w:val="24"/>
          <w:szCs w:val="24"/>
          <w:lang w:val="en-US"/>
        </w:rPr>
        <w:t>ive</w:t>
      </w:r>
      <w:r w:rsidRPr="00532855">
        <w:rPr>
          <w:rFonts w:cs="Arial"/>
          <w:sz w:val="24"/>
          <w:szCs w:val="24"/>
          <w:lang w:val="en-US"/>
        </w:rPr>
        <w:t xml:space="preserve"> jurisdictions (Austria, Canada, Japan</w:t>
      </w:r>
      <w:r>
        <w:rPr>
          <w:rFonts w:cs="Arial"/>
          <w:sz w:val="24"/>
          <w:szCs w:val="24"/>
          <w:lang w:val="en-US"/>
        </w:rPr>
        <w:t xml:space="preserve">, </w:t>
      </w:r>
      <w:r w:rsidRPr="00532855">
        <w:rPr>
          <w:rFonts w:cs="Arial"/>
          <w:sz w:val="24"/>
          <w:szCs w:val="24"/>
          <w:lang w:val="en-US"/>
        </w:rPr>
        <w:t>Sweden</w:t>
      </w:r>
      <w:r>
        <w:rPr>
          <w:rFonts w:cs="Arial"/>
          <w:sz w:val="24"/>
          <w:szCs w:val="24"/>
          <w:lang w:val="en-US"/>
        </w:rPr>
        <w:t xml:space="preserve"> and the United States</w:t>
      </w:r>
      <w:r w:rsidRPr="00532855">
        <w:rPr>
          <w:rFonts w:cs="Arial"/>
          <w:sz w:val="24"/>
          <w:szCs w:val="24"/>
          <w:lang w:val="en-US"/>
        </w:rPr>
        <w:t xml:space="preserve">) have lower lead level thresholds prescribed by water quality standards and </w:t>
      </w:r>
      <w:r>
        <w:rPr>
          <w:rFonts w:cs="Arial"/>
          <w:sz w:val="24"/>
          <w:szCs w:val="24"/>
          <w:lang w:val="en-US"/>
        </w:rPr>
        <w:t>only one</w:t>
      </w:r>
      <w:r w:rsidRPr="00532855">
        <w:rPr>
          <w:rFonts w:cs="Arial"/>
          <w:sz w:val="24"/>
          <w:szCs w:val="24"/>
          <w:lang w:val="en-US"/>
        </w:rPr>
        <w:t xml:space="preserve"> jurisdiction (Norway) ha</w:t>
      </w:r>
      <w:r>
        <w:rPr>
          <w:rFonts w:cs="Arial"/>
          <w:sz w:val="24"/>
          <w:szCs w:val="24"/>
          <w:lang w:val="en-US"/>
        </w:rPr>
        <w:t>s a</w:t>
      </w:r>
      <w:r w:rsidRPr="00532855">
        <w:rPr>
          <w:rFonts w:cs="Arial"/>
          <w:sz w:val="24"/>
          <w:szCs w:val="24"/>
          <w:lang w:val="en-US"/>
        </w:rPr>
        <w:t xml:space="preserve"> higher allowance</w:t>
      </w:r>
      <w:r>
        <w:rPr>
          <w:rFonts w:cs="Arial"/>
          <w:sz w:val="24"/>
          <w:szCs w:val="24"/>
          <w:lang w:val="en-US"/>
        </w:rPr>
        <w:t>, though the health-based guideline value in the US remains at 15</w:t>
      </w:r>
      <w:r w:rsidRPr="009E4C67">
        <w:rPr>
          <w:rFonts w:cs="Arial"/>
          <w:sz w:val="24"/>
          <w:szCs w:val="24"/>
          <w:lang w:val="en-US"/>
        </w:rPr>
        <w:t xml:space="preserve"> </w:t>
      </w:r>
      <w:r w:rsidRPr="00FE6F22">
        <w:rPr>
          <w:rFonts w:cs="Arial"/>
          <w:sz w:val="24"/>
          <w:szCs w:val="24"/>
          <w:lang w:val="en-US"/>
        </w:rPr>
        <w:t>µg/L</w:t>
      </w:r>
      <w:r w:rsidRPr="00532855">
        <w:rPr>
          <w:rFonts w:cs="Arial"/>
          <w:sz w:val="24"/>
          <w:szCs w:val="24"/>
          <w:lang w:val="en-US"/>
        </w:rPr>
        <w:t xml:space="preserve">. The mix of regulation type is also consistent with Australia and is implemented either through product standards or water quality testing standards, or in some cases, a combination of both. </w:t>
      </w:r>
    </w:p>
    <w:p w14:paraId="00CA80B4" w14:textId="77777777" w:rsidR="00442DC7" w:rsidRPr="00E00560" w:rsidRDefault="00442DC7" w:rsidP="00E00560">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30" w:after="130" w:line="360" w:lineRule="auto"/>
        <w:jc w:val="both"/>
        <w:rPr>
          <w:rFonts w:cs="Arial"/>
          <w:bCs/>
          <w:iCs/>
          <w:color w:val="000000" w:themeColor="text1"/>
          <w:sz w:val="24"/>
          <w:szCs w:val="24"/>
        </w:rPr>
      </w:pPr>
      <w:r w:rsidRPr="00E00560">
        <w:rPr>
          <w:rFonts w:eastAsia="Times New Roman" w:cs="Arial"/>
          <w:color w:val="000000" w:themeColor="text1"/>
          <w:sz w:val="24"/>
          <w:szCs w:val="24"/>
        </w:rPr>
        <w:t>The Consultation RIS asked stakeholders whether they agreed with the description of the nature of the problem and whether there were any other characteristics not described.</w:t>
      </w:r>
    </w:p>
    <w:p w14:paraId="73B8261F" w14:textId="77777777" w:rsidR="00442DC7" w:rsidRPr="00E00560" w:rsidRDefault="00442DC7" w:rsidP="00CC66C1">
      <w:pPr>
        <w:pStyle w:val="Heading2"/>
        <w:spacing w:before="240" w:after="240"/>
        <w:rPr>
          <w:rFonts w:ascii="Arial" w:hAnsi="Arial" w:cs="Arial"/>
          <w:b w:val="0"/>
          <w:bCs w:val="0"/>
          <w:sz w:val="28"/>
          <w:szCs w:val="28"/>
        </w:rPr>
      </w:pPr>
      <w:bookmarkStart w:id="161" w:name="_Toc70887792"/>
      <w:bookmarkStart w:id="162" w:name="_Toc71195743"/>
      <w:bookmarkStart w:id="163" w:name="_Toc71789270"/>
      <w:bookmarkStart w:id="164" w:name="_Hlk70685166"/>
      <w:bookmarkStart w:id="165" w:name="_Toc53963038"/>
      <w:r w:rsidRPr="00E00560">
        <w:rPr>
          <w:rFonts w:ascii="Arial" w:hAnsi="Arial" w:cs="Arial"/>
          <w:b w:val="0"/>
          <w:bCs w:val="0"/>
          <w:sz w:val="28"/>
          <w:szCs w:val="28"/>
        </w:rPr>
        <w:t>Comments on the nature of the problem</w:t>
      </w:r>
      <w:bookmarkEnd w:id="161"/>
      <w:bookmarkEnd w:id="162"/>
      <w:bookmarkEnd w:id="163"/>
    </w:p>
    <w:bookmarkEnd w:id="164"/>
    <w:p w14:paraId="7A9B5DF5" w14:textId="77777777" w:rsidR="00442DC7" w:rsidRPr="004C6304" w:rsidRDefault="00442DC7" w:rsidP="004C6304">
      <w:pPr>
        <w:spacing w:after="120" w:line="360" w:lineRule="auto"/>
        <w:jc w:val="both"/>
        <w:rPr>
          <w:sz w:val="24"/>
          <w:szCs w:val="24"/>
        </w:rPr>
      </w:pPr>
      <w:r w:rsidRPr="004C6304">
        <w:rPr>
          <w:sz w:val="24"/>
          <w:szCs w:val="24"/>
        </w:rPr>
        <w:t xml:space="preserve">The majority of respondents (89%) agreed with the nature of the problem as described. </w:t>
      </w:r>
    </w:p>
    <w:p w14:paraId="35707E8F" w14:textId="77777777" w:rsidR="00442DC7" w:rsidRDefault="00442DC7" w:rsidP="004C6A2C">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Of those that did not agree, an Australian plumbing products manufacturer (Enware) expressed several points of strong disagreement.</w:t>
      </w:r>
    </w:p>
    <w:p w14:paraId="37B405D9" w14:textId="77777777" w:rsidR="00442DC7" w:rsidRDefault="00442DC7" w:rsidP="004C6A2C">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The following key points were raised in their submission:</w:t>
      </w:r>
    </w:p>
    <w:p w14:paraId="10511DC4" w14:textId="77777777" w:rsidR="00442DC7" w:rsidRPr="004C6A2C" w:rsidRDefault="00442DC7" w:rsidP="008734AE">
      <w:pPr>
        <w:pStyle w:val="ListParagraph"/>
        <w:numPr>
          <w:ilvl w:val="0"/>
          <w:numId w:val="29"/>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The description of the</w:t>
      </w:r>
      <w:r w:rsidRPr="004C6A2C">
        <w:rPr>
          <w:rFonts w:eastAsiaTheme="majorEastAsia" w:cs="Arial"/>
          <w:color w:val="000000" w:themeColor="text1"/>
          <w:sz w:val="24"/>
          <w:szCs w:val="24"/>
        </w:rPr>
        <w:t xml:space="preserve"> dezincification process should include data and discussion more relevant to the processes as expected to occur under Australian conditions (i.e. water parameters, WaterMark certified materials etc</w:t>
      </w:r>
      <w:r>
        <w:rPr>
          <w:rFonts w:eastAsiaTheme="majorEastAsia" w:cs="Arial"/>
          <w:color w:val="000000" w:themeColor="text1"/>
          <w:sz w:val="24"/>
          <w:szCs w:val="24"/>
        </w:rPr>
        <w:t>.</w:t>
      </w:r>
      <w:r w:rsidRPr="004C6A2C">
        <w:rPr>
          <w:rFonts w:eastAsiaTheme="majorEastAsia" w:cs="Arial"/>
          <w:color w:val="000000" w:themeColor="text1"/>
          <w:sz w:val="24"/>
          <w:szCs w:val="24"/>
        </w:rPr>
        <w:t xml:space="preserve">). </w:t>
      </w:r>
    </w:p>
    <w:p w14:paraId="12EFAA11" w14:textId="77777777" w:rsidR="00442DC7" w:rsidRPr="00E00560" w:rsidRDefault="00442DC7" w:rsidP="008734AE">
      <w:pPr>
        <w:pStyle w:val="ListParagraph"/>
        <w:numPr>
          <w:ilvl w:val="0"/>
          <w:numId w:val="29"/>
        </w:numPr>
        <w:spacing w:line="360" w:lineRule="auto"/>
        <w:jc w:val="both"/>
        <w:rPr>
          <w:rFonts w:eastAsiaTheme="majorEastAsia" w:cs="Arial"/>
          <w:color w:val="000000" w:themeColor="text1"/>
          <w:sz w:val="24"/>
          <w:szCs w:val="24"/>
        </w:rPr>
      </w:pPr>
      <w:r w:rsidRPr="006C53B8">
        <w:rPr>
          <w:rFonts w:eastAsia="Calibri" w:cs="Arial"/>
          <w:sz w:val="24"/>
          <w:szCs w:val="24"/>
        </w:rPr>
        <w:t xml:space="preserve">Examples given in the discussion of water parameters affecting lead leaching from brass materials do not align with water parameters commonly reported and delivered in Australia.  </w:t>
      </w:r>
    </w:p>
    <w:p w14:paraId="0F5C1B0E" w14:textId="77777777" w:rsidR="00442DC7" w:rsidRDefault="00442DC7" w:rsidP="008734AE">
      <w:pPr>
        <w:pStyle w:val="ListParagraph"/>
        <w:numPr>
          <w:ilvl w:val="0"/>
          <w:numId w:val="29"/>
        </w:numPr>
        <w:spacing w:line="360" w:lineRule="auto"/>
        <w:jc w:val="both"/>
        <w:rPr>
          <w:rFonts w:eastAsiaTheme="majorEastAsia" w:cs="Arial"/>
          <w:color w:val="000000" w:themeColor="text1"/>
          <w:sz w:val="24"/>
          <w:szCs w:val="24"/>
        </w:rPr>
      </w:pPr>
      <w:r w:rsidRPr="006C53B8">
        <w:rPr>
          <w:rFonts w:eastAsiaTheme="majorEastAsia" w:cs="Arial"/>
          <w:color w:val="000000" w:themeColor="text1"/>
          <w:sz w:val="24"/>
          <w:szCs w:val="24"/>
        </w:rPr>
        <w:t xml:space="preserve">Examples of cases of lead leaching into drinking water in Australia should be discussed with respect to these being isolated incidents that </w:t>
      </w:r>
      <w:r>
        <w:rPr>
          <w:rFonts w:eastAsiaTheme="majorEastAsia" w:cs="Arial"/>
          <w:color w:val="000000" w:themeColor="text1"/>
          <w:sz w:val="24"/>
          <w:szCs w:val="24"/>
        </w:rPr>
        <w:t>are often the</w:t>
      </w:r>
      <w:r w:rsidRPr="006C53B8">
        <w:rPr>
          <w:rFonts w:eastAsiaTheme="majorEastAsia" w:cs="Arial"/>
          <w:color w:val="000000" w:themeColor="text1"/>
          <w:sz w:val="24"/>
          <w:szCs w:val="24"/>
        </w:rPr>
        <w:t xml:space="preserve"> result of several mitigating circumstances.</w:t>
      </w:r>
    </w:p>
    <w:p w14:paraId="58215CEE" w14:textId="3D912247" w:rsidR="00442DC7" w:rsidRDefault="00442DC7" w:rsidP="008734AE">
      <w:pPr>
        <w:pStyle w:val="ListParagraph"/>
        <w:numPr>
          <w:ilvl w:val="0"/>
          <w:numId w:val="29"/>
        </w:numPr>
        <w:spacing w:after="160" w:line="360" w:lineRule="auto"/>
        <w:jc w:val="both"/>
        <w:rPr>
          <w:sz w:val="24"/>
          <w:szCs w:val="24"/>
        </w:rPr>
      </w:pPr>
      <w:r w:rsidRPr="003C62B5">
        <w:rPr>
          <w:sz w:val="24"/>
          <w:szCs w:val="24"/>
        </w:rPr>
        <w:t>Discussion of the health impacts of lead in drinking water is limited and misses several important studies that provide information key to the question of the contribution of lead in water to vulnerable populations (i.e. children), and thus associated health consequences. This discussion should be expanded to include the additional information provided.</w:t>
      </w:r>
    </w:p>
    <w:p w14:paraId="03DCE38D" w14:textId="77777777" w:rsidR="00442DC7" w:rsidRDefault="00442DC7">
      <w:pPr>
        <w:rPr>
          <w:sz w:val="24"/>
          <w:szCs w:val="24"/>
        </w:rPr>
      </w:pPr>
      <w:r>
        <w:rPr>
          <w:sz w:val="24"/>
          <w:szCs w:val="24"/>
        </w:rPr>
        <w:br w:type="page"/>
      </w:r>
    </w:p>
    <w:p w14:paraId="12F6F09A" w14:textId="77777777" w:rsidR="00442DC7" w:rsidRDefault="00442DC7" w:rsidP="00BC7C68">
      <w:pPr>
        <w:spacing w:after="160" w:line="360" w:lineRule="auto"/>
        <w:jc w:val="both"/>
        <w:rPr>
          <w:rFonts w:eastAsiaTheme="majorEastAsia" w:cs="Arial"/>
          <w:color w:val="000000" w:themeColor="text1"/>
          <w:sz w:val="24"/>
          <w:szCs w:val="24"/>
        </w:rPr>
      </w:pPr>
      <w:r>
        <w:rPr>
          <w:rFonts w:eastAsiaTheme="majorEastAsia" w:cs="Arial"/>
          <w:color w:val="000000" w:themeColor="text1"/>
          <w:sz w:val="24"/>
          <w:szCs w:val="24"/>
        </w:rPr>
        <w:lastRenderedPageBreak/>
        <w:t>In response to these concerns, the Decision RIS makes the following observations:</w:t>
      </w:r>
    </w:p>
    <w:p w14:paraId="26790B21" w14:textId="77777777" w:rsidR="00442DC7" w:rsidRDefault="00442DC7" w:rsidP="008734AE">
      <w:pPr>
        <w:pStyle w:val="ListParagraph"/>
        <w:numPr>
          <w:ilvl w:val="0"/>
          <w:numId w:val="30"/>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 xml:space="preserve">The discussion on lead release in the Consultation RIS has been reviewed and revised to better reflect the differences that may occur as a result of Australian conditions. </w:t>
      </w:r>
    </w:p>
    <w:p w14:paraId="0CACB9E6" w14:textId="3EB05344" w:rsidR="00442DC7" w:rsidRDefault="00442DC7" w:rsidP="008734AE">
      <w:pPr>
        <w:pStyle w:val="ListParagraph"/>
        <w:numPr>
          <w:ilvl w:val="0"/>
          <w:numId w:val="30"/>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 xml:space="preserve">It is acknowledged that the known </w:t>
      </w:r>
      <w:r w:rsidRPr="006C6687">
        <w:rPr>
          <w:sz w:val="24"/>
          <w:szCs w:val="24"/>
        </w:rPr>
        <w:t>incidences</w:t>
      </w:r>
      <w:r w:rsidRPr="00BC7C68">
        <w:rPr>
          <w:rFonts w:eastAsiaTheme="majorEastAsia" w:cs="Arial"/>
          <w:color w:val="000000" w:themeColor="text1"/>
          <w:sz w:val="24"/>
          <w:szCs w:val="24"/>
        </w:rPr>
        <w:t xml:space="preserve"> of high-water lead levels found </w:t>
      </w:r>
      <w:r>
        <w:rPr>
          <w:rFonts w:eastAsiaTheme="majorEastAsia" w:cs="Arial"/>
          <w:color w:val="000000" w:themeColor="text1"/>
          <w:sz w:val="24"/>
          <w:szCs w:val="24"/>
        </w:rPr>
        <w:t>in Australian drinking water are isolated</w:t>
      </w:r>
      <w:r w:rsidR="00B22235">
        <w:rPr>
          <w:rFonts w:eastAsiaTheme="majorEastAsia" w:cs="Arial"/>
          <w:color w:val="000000" w:themeColor="text1"/>
          <w:sz w:val="24"/>
          <w:szCs w:val="24"/>
        </w:rPr>
        <w:t>,</w:t>
      </w:r>
      <w:r w:rsidRPr="00BC7C68">
        <w:rPr>
          <w:rFonts w:eastAsiaTheme="majorEastAsia" w:cs="Arial"/>
          <w:color w:val="000000" w:themeColor="text1"/>
          <w:sz w:val="24"/>
          <w:szCs w:val="24"/>
        </w:rPr>
        <w:t xml:space="preserve"> </w:t>
      </w:r>
      <w:r w:rsidR="00B22235">
        <w:rPr>
          <w:rFonts w:eastAsiaTheme="majorEastAsia" w:cs="Arial"/>
          <w:color w:val="000000" w:themeColor="text1"/>
          <w:sz w:val="24"/>
          <w:szCs w:val="24"/>
        </w:rPr>
        <w:t>h</w:t>
      </w:r>
      <w:r w:rsidRPr="00BC7C68">
        <w:rPr>
          <w:rFonts w:eastAsiaTheme="majorEastAsia" w:cs="Arial"/>
          <w:color w:val="000000" w:themeColor="text1"/>
          <w:sz w:val="24"/>
          <w:szCs w:val="24"/>
        </w:rPr>
        <w:t>owever this</w:t>
      </w:r>
      <w:r>
        <w:rPr>
          <w:rFonts w:eastAsiaTheme="majorEastAsia" w:cs="Arial"/>
          <w:color w:val="000000" w:themeColor="text1"/>
          <w:sz w:val="24"/>
          <w:szCs w:val="24"/>
        </w:rPr>
        <w:t xml:space="preserve"> should also be considered having regard to the r</w:t>
      </w:r>
      <w:r w:rsidRPr="00BC7C68">
        <w:rPr>
          <w:rFonts w:eastAsiaTheme="majorEastAsia" w:cs="Arial"/>
          <w:color w:val="000000" w:themeColor="text1"/>
          <w:sz w:val="24"/>
          <w:szCs w:val="24"/>
        </w:rPr>
        <w:t>elatively low onsite testing of lead</w:t>
      </w:r>
      <w:r>
        <w:rPr>
          <w:rFonts w:eastAsiaTheme="majorEastAsia" w:cs="Arial"/>
          <w:color w:val="000000" w:themeColor="text1"/>
          <w:sz w:val="24"/>
          <w:szCs w:val="24"/>
        </w:rPr>
        <w:t xml:space="preserve"> currently, particularly from within the premises</w:t>
      </w:r>
      <w:r w:rsidRPr="00BC7C68">
        <w:rPr>
          <w:rFonts w:eastAsiaTheme="majorEastAsia" w:cs="Arial"/>
          <w:color w:val="000000" w:themeColor="text1"/>
          <w:sz w:val="24"/>
          <w:szCs w:val="24"/>
        </w:rPr>
        <w:t xml:space="preserve">. </w:t>
      </w:r>
    </w:p>
    <w:p w14:paraId="596455EA" w14:textId="77777777" w:rsidR="00442DC7" w:rsidRPr="00BC7C68" w:rsidRDefault="00442DC7" w:rsidP="008734AE">
      <w:pPr>
        <w:pStyle w:val="ListParagraph"/>
        <w:numPr>
          <w:ilvl w:val="0"/>
          <w:numId w:val="30"/>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The discussion and studies submitted are discussed in more detail in the next section.</w:t>
      </w:r>
    </w:p>
    <w:p w14:paraId="476003EA" w14:textId="0631C43E" w:rsidR="00442DC7" w:rsidRDefault="00442DC7" w:rsidP="004C6A2C">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In addition to the concerns raised by Enware, a</w:t>
      </w:r>
      <w:r w:rsidRPr="003C62B5">
        <w:rPr>
          <w:rFonts w:eastAsiaTheme="majorEastAsia" w:cs="Arial"/>
          <w:color w:val="000000" w:themeColor="text1"/>
          <w:sz w:val="24"/>
          <w:szCs w:val="24"/>
        </w:rPr>
        <w:t xml:space="preserve"> plumbing industry group </w:t>
      </w:r>
      <w:r>
        <w:rPr>
          <w:rFonts w:eastAsiaTheme="majorEastAsia" w:cs="Arial"/>
          <w:color w:val="000000" w:themeColor="text1"/>
          <w:sz w:val="24"/>
          <w:szCs w:val="24"/>
        </w:rPr>
        <w:t xml:space="preserve">(PPI Group) </w:t>
      </w:r>
      <w:r w:rsidRPr="003C62B5">
        <w:rPr>
          <w:rFonts w:eastAsiaTheme="majorEastAsia" w:cs="Arial"/>
          <w:color w:val="000000" w:themeColor="text1"/>
          <w:sz w:val="24"/>
          <w:szCs w:val="24"/>
        </w:rPr>
        <w:t xml:space="preserve">felt the problem was better expressed as the </w:t>
      </w:r>
      <w:bookmarkStart w:id="166" w:name="_Hlk70414241"/>
      <w:r w:rsidRPr="003C62B5">
        <w:rPr>
          <w:rFonts w:eastAsiaTheme="majorEastAsia" w:cs="Arial"/>
          <w:color w:val="000000" w:themeColor="text1"/>
          <w:sz w:val="24"/>
          <w:szCs w:val="24"/>
        </w:rPr>
        <w:t>presence of higher levels of lead permitted by Australia in the manufacture of certain plumbing products in contact with drinking water, and the need to substantially</w:t>
      </w:r>
      <w:r>
        <w:rPr>
          <w:rFonts w:eastAsiaTheme="majorEastAsia" w:cs="Arial"/>
          <w:color w:val="000000" w:themeColor="text1"/>
          <w:sz w:val="24"/>
          <w:szCs w:val="24"/>
        </w:rPr>
        <w:t xml:space="preserve"> reduce</w:t>
      </w:r>
      <w:r w:rsidRPr="003C62B5">
        <w:rPr>
          <w:rFonts w:eastAsiaTheme="majorEastAsia" w:cs="Arial"/>
          <w:color w:val="000000" w:themeColor="text1"/>
          <w:sz w:val="24"/>
          <w:szCs w:val="24"/>
        </w:rPr>
        <w:t xml:space="preserve"> these lead levels</w:t>
      </w:r>
      <w:r>
        <w:rPr>
          <w:rFonts w:eastAsiaTheme="majorEastAsia" w:cs="Arial"/>
          <w:color w:val="000000" w:themeColor="text1"/>
          <w:sz w:val="24"/>
          <w:szCs w:val="24"/>
        </w:rPr>
        <w:t xml:space="preserve">, thereby </w:t>
      </w:r>
      <w:r w:rsidRPr="003C62B5">
        <w:rPr>
          <w:rFonts w:eastAsiaTheme="majorEastAsia" w:cs="Arial"/>
          <w:color w:val="000000" w:themeColor="text1"/>
          <w:sz w:val="24"/>
          <w:szCs w:val="24"/>
        </w:rPr>
        <w:t>reduc</w:t>
      </w:r>
      <w:r>
        <w:rPr>
          <w:rFonts w:eastAsiaTheme="majorEastAsia" w:cs="Arial"/>
          <w:color w:val="000000" w:themeColor="text1"/>
          <w:sz w:val="24"/>
          <w:szCs w:val="24"/>
        </w:rPr>
        <w:t>ing</w:t>
      </w:r>
      <w:r w:rsidRPr="003C62B5">
        <w:rPr>
          <w:rFonts w:eastAsiaTheme="majorEastAsia" w:cs="Arial"/>
          <w:color w:val="000000" w:themeColor="text1"/>
          <w:sz w:val="24"/>
          <w:szCs w:val="24"/>
        </w:rPr>
        <w:t xml:space="preserve"> the potential for lead to be unintentionally added to drinking water</w:t>
      </w:r>
      <w:bookmarkEnd w:id="166"/>
      <w:r w:rsidRPr="003C62B5">
        <w:rPr>
          <w:rFonts w:eastAsiaTheme="majorEastAsia" w:cs="Arial"/>
          <w:color w:val="000000" w:themeColor="text1"/>
          <w:sz w:val="24"/>
          <w:szCs w:val="24"/>
        </w:rPr>
        <w:t>.</w:t>
      </w:r>
      <w:r>
        <w:rPr>
          <w:rFonts w:eastAsiaTheme="majorEastAsia" w:cs="Arial"/>
          <w:color w:val="000000" w:themeColor="text1"/>
          <w:sz w:val="24"/>
          <w:szCs w:val="24"/>
        </w:rPr>
        <w:t xml:space="preserve"> They added that this would </w:t>
      </w:r>
      <w:r w:rsidRPr="004C6A2C">
        <w:rPr>
          <w:rFonts w:eastAsiaTheme="majorEastAsia" w:cs="Arial"/>
          <w:color w:val="000000" w:themeColor="text1"/>
          <w:sz w:val="24"/>
          <w:szCs w:val="24"/>
        </w:rPr>
        <w:t xml:space="preserve">better </w:t>
      </w:r>
      <w:r>
        <w:rPr>
          <w:rFonts w:eastAsiaTheme="majorEastAsia" w:cs="Arial"/>
          <w:color w:val="000000" w:themeColor="text1"/>
          <w:sz w:val="24"/>
          <w:szCs w:val="24"/>
        </w:rPr>
        <w:t>address the</w:t>
      </w:r>
      <w:r w:rsidRPr="004C6A2C">
        <w:rPr>
          <w:rFonts w:eastAsiaTheme="majorEastAsia" w:cs="Arial"/>
          <w:color w:val="000000" w:themeColor="text1"/>
          <w:sz w:val="24"/>
          <w:szCs w:val="24"/>
        </w:rPr>
        <w:t xml:space="preserve"> relevant NCC Performance Requirements and the aim of the Australian Drinking Water Guidelines to assure safer, good quality drinking water for the community</w:t>
      </w:r>
      <w:r>
        <w:rPr>
          <w:rFonts w:eastAsiaTheme="majorEastAsia" w:cs="Arial"/>
          <w:color w:val="000000" w:themeColor="text1"/>
          <w:sz w:val="24"/>
          <w:szCs w:val="24"/>
        </w:rPr>
        <w:t xml:space="preserve">. The description of the problem is not in disagreement with this opinion. </w:t>
      </w:r>
    </w:p>
    <w:p w14:paraId="57763494" w14:textId="1A2EF3BF" w:rsidR="00442DC7" w:rsidRDefault="00442DC7" w:rsidP="004C6A2C">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The NHMRC and enHealth felt that the</w:t>
      </w:r>
      <w:r w:rsidRPr="007A5001">
        <w:rPr>
          <w:rFonts w:eastAsiaTheme="majorEastAsia" w:cs="Arial"/>
          <w:color w:val="000000" w:themeColor="text1"/>
          <w:sz w:val="24"/>
          <w:szCs w:val="24"/>
        </w:rPr>
        <w:t xml:space="preserve"> recent report commissioned by the ABCB (Taylor et al. 2018)</w:t>
      </w:r>
      <w:r>
        <w:rPr>
          <w:rFonts w:eastAsiaTheme="majorEastAsia" w:cs="Arial"/>
          <w:color w:val="000000" w:themeColor="text1"/>
          <w:sz w:val="24"/>
          <w:szCs w:val="24"/>
        </w:rPr>
        <w:t xml:space="preserve"> </w:t>
      </w:r>
      <w:r w:rsidRPr="007A5001">
        <w:rPr>
          <w:rFonts w:eastAsiaTheme="majorEastAsia" w:cs="Arial"/>
          <w:color w:val="000000" w:themeColor="text1"/>
          <w:sz w:val="24"/>
          <w:szCs w:val="24"/>
        </w:rPr>
        <w:t>d</w:t>
      </w:r>
      <w:r>
        <w:rPr>
          <w:rFonts w:eastAsiaTheme="majorEastAsia" w:cs="Arial"/>
          <w:color w:val="000000" w:themeColor="text1"/>
          <w:sz w:val="24"/>
          <w:szCs w:val="24"/>
        </w:rPr>
        <w:t>id</w:t>
      </w:r>
      <w:r w:rsidRPr="007A5001">
        <w:rPr>
          <w:rFonts w:eastAsiaTheme="majorEastAsia" w:cs="Arial"/>
          <w:color w:val="000000" w:themeColor="text1"/>
          <w:sz w:val="24"/>
          <w:szCs w:val="24"/>
        </w:rPr>
        <w:t xml:space="preserve"> not appear to be adequately considered and addressed in the RIS</w:t>
      </w:r>
      <w:r>
        <w:rPr>
          <w:rFonts w:eastAsiaTheme="majorEastAsia" w:cs="Arial"/>
          <w:color w:val="000000" w:themeColor="text1"/>
          <w:sz w:val="24"/>
          <w:szCs w:val="24"/>
        </w:rPr>
        <w:t>.</w:t>
      </w:r>
    </w:p>
    <w:p w14:paraId="6CCC042E" w14:textId="77777777" w:rsidR="00442DC7" w:rsidRDefault="00442DC7" w:rsidP="002D1E18">
      <w:pPr>
        <w:pStyle w:val="Quote"/>
        <w:spacing w:line="360" w:lineRule="auto"/>
        <w:ind w:left="862" w:right="862"/>
        <w:jc w:val="left"/>
      </w:pPr>
      <w:r w:rsidRPr="003C62B5">
        <w:t>“There are recommendations made by the authors that do not appear to have been acknowledged or considered as part of the RIS process. Notably, this report demonstrates internationally and nationally that lead is known to leach into drinking water from brass components. It further recognises that there are a variety of factors that influence the passivation and release of lead into drinking water, none of which are described in the RIS.</w:t>
      </w:r>
      <w:r>
        <w:t>”</w:t>
      </w:r>
    </w:p>
    <w:p w14:paraId="69C9408F" w14:textId="77777777" w:rsidR="00442DC7" w:rsidRDefault="00442DC7" w:rsidP="004C6A2C">
      <w:pPr>
        <w:spacing w:line="360" w:lineRule="auto"/>
        <w:jc w:val="both"/>
        <w:rPr>
          <w:rFonts w:eastAsia="Calibri" w:cs="Arial"/>
          <w:sz w:val="24"/>
          <w:szCs w:val="24"/>
        </w:rPr>
      </w:pPr>
      <w:r w:rsidRPr="00C25A8A">
        <w:rPr>
          <w:rFonts w:eastAsia="Calibri" w:cs="Arial"/>
          <w:sz w:val="24"/>
          <w:szCs w:val="24"/>
        </w:rPr>
        <w:t xml:space="preserve">The Consultation RIS acknowledges the previous research undertaken by </w:t>
      </w:r>
      <w:bookmarkStart w:id="167" w:name="_Hlk70587485"/>
      <w:r w:rsidRPr="00C25A8A">
        <w:rPr>
          <w:rFonts w:eastAsia="Calibri" w:cs="Arial"/>
          <w:sz w:val="24"/>
          <w:szCs w:val="24"/>
        </w:rPr>
        <w:t xml:space="preserve">Macquarie University </w:t>
      </w:r>
      <w:bookmarkEnd w:id="167"/>
      <w:r w:rsidRPr="00C25A8A">
        <w:rPr>
          <w:rFonts w:eastAsia="Calibri" w:cs="Arial"/>
          <w:sz w:val="24"/>
          <w:szCs w:val="24"/>
        </w:rPr>
        <w:t xml:space="preserve">as the basis for the development of the RIS. The variety of factors listed by Taylor, et </w:t>
      </w:r>
      <w:r>
        <w:rPr>
          <w:rFonts w:eastAsia="Calibri" w:cs="Arial"/>
          <w:sz w:val="24"/>
          <w:szCs w:val="24"/>
        </w:rPr>
        <w:t>a</w:t>
      </w:r>
      <w:r w:rsidRPr="00C25A8A">
        <w:rPr>
          <w:rFonts w:eastAsia="Calibri" w:cs="Arial"/>
          <w:sz w:val="24"/>
          <w:szCs w:val="24"/>
        </w:rPr>
        <w:t>l. (2018) is summarised by the RIS and those of relevance are discussed.</w:t>
      </w:r>
      <w:r>
        <w:rPr>
          <w:rFonts w:eastAsia="Calibri" w:cs="Arial"/>
          <w:sz w:val="24"/>
          <w:szCs w:val="24"/>
        </w:rPr>
        <w:t xml:space="preserve"> </w:t>
      </w:r>
      <w:r>
        <w:rPr>
          <w:rFonts w:eastAsia="Calibri" w:cs="Arial"/>
          <w:sz w:val="24"/>
          <w:szCs w:val="24"/>
        </w:rPr>
        <w:lastRenderedPageBreak/>
        <w:t xml:space="preserve">The scope of the Consultation RIS was deliberately limited to Recommendation 1 of Macquarie University’s Report as it was the only recommendation applicable to changing the National Construction Code. </w:t>
      </w:r>
    </w:p>
    <w:p w14:paraId="68BEA4DC" w14:textId="77777777" w:rsidR="00442DC7" w:rsidRDefault="00442DC7" w:rsidP="004C6A2C">
      <w:pPr>
        <w:spacing w:line="360" w:lineRule="auto"/>
        <w:jc w:val="both"/>
        <w:rPr>
          <w:rFonts w:eastAsia="Calibri" w:cs="Arial"/>
          <w:sz w:val="24"/>
          <w:szCs w:val="24"/>
        </w:rPr>
      </w:pPr>
      <w:r>
        <w:rPr>
          <w:rFonts w:eastAsia="Calibri" w:cs="Arial"/>
          <w:sz w:val="24"/>
          <w:szCs w:val="24"/>
        </w:rPr>
        <w:t xml:space="preserve">It is also understood that this comment was partly made in relation to the potential for galvanic corrosion to occur and contribute to the problem. It should be noted that the cited examples of galvanic corrosion in the </w:t>
      </w:r>
      <w:r w:rsidRPr="00C25A8A">
        <w:rPr>
          <w:rFonts w:eastAsia="Calibri" w:cs="Arial"/>
          <w:sz w:val="24"/>
          <w:szCs w:val="24"/>
        </w:rPr>
        <w:t xml:space="preserve">Macquarie University </w:t>
      </w:r>
      <w:r>
        <w:rPr>
          <w:rFonts w:eastAsia="Calibri" w:cs="Arial"/>
          <w:sz w:val="24"/>
          <w:szCs w:val="24"/>
        </w:rPr>
        <w:t xml:space="preserve">report would either be non-compliant with the current regulations (i.e. use of lead solder/piping and its reaction to brass and other copper alloys) or not in alignment with current practice, where it is not otherwise addressed via other means (e.g. backflow prevention in the case of a fire sprinkler system connected to mains water).  </w:t>
      </w:r>
    </w:p>
    <w:p w14:paraId="0007D49B" w14:textId="77777777" w:rsidR="00442DC7" w:rsidRDefault="00442DC7" w:rsidP="00D77AEC">
      <w:pPr>
        <w:pStyle w:val="Heading2"/>
        <w:spacing w:before="240" w:after="240"/>
        <w:rPr>
          <w:rFonts w:ascii="Arial" w:hAnsi="Arial" w:cs="Arial"/>
          <w:b w:val="0"/>
          <w:bCs w:val="0"/>
          <w:sz w:val="28"/>
          <w:szCs w:val="28"/>
        </w:rPr>
      </w:pPr>
      <w:bookmarkStart w:id="168" w:name="_Toc71195744"/>
      <w:bookmarkStart w:id="169" w:name="_Toc71789271"/>
      <w:r w:rsidRPr="00155419">
        <w:rPr>
          <w:rFonts w:ascii="Arial" w:hAnsi="Arial" w:cs="Arial"/>
          <w:b w:val="0"/>
          <w:bCs w:val="0"/>
          <w:sz w:val="28"/>
          <w:szCs w:val="28"/>
        </w:rPr>
        <w:t xml:space="preserve">Comments on </w:t>
      </w:r>
      <w:r>
        <w:rPr>
          <w:rFonts w:ascii="Arial" w:hAnsi="Arial" w:cs="Arial"/>
          <w:b w:val="0"/>
          <w:bCs w:val="0"/>
          <w:sz w:val="28"/>
          <w:szCs w:val="28"/>
        </w:rPr>
        <w:t>other characteristic</w:t>
      </w:r>
      <w:bookmarkStart w:id="170" w:name="_Toc70887793"/>
      <w:r>
        <w:rPr>
          <w:rFonts w:ascii="Arial" w:hAnsi="Arial" w:cs="Arial"/>
          <w:b w:val="0"/>
          <w:bCs w:val="0"/>
          <w:sz w:val="28"/>
          <w:szCs w:val="28"/>
        </w:rPr>
        <w:t>s of the problem</w:t>
      </w:r>
      <w:bookmarkEnd w:id="168"/>
      <w:bookmarkEnd w:id="169"/>
      <w:bookmarkEnd w:id="170"/>
    </w:p>
    <w:p w14:paraId="4773F71B" w14:textId="77777777" w:rsidR="00442DC7" w:rsidRDefault="00442DC7" w:rsidP="00901E24">
      <w:pPr>
        <w:spacing w:line="360" w:lineRule="auto"/>
        <w:jc w:val="both"/>
        <w:rPr>
          <w:sz w:val="24"/>
          <w:szCs w:val="24"/>
        </w:rPr>
      </w:pPr>
      <w:r w:rsidRPr="003C62B5">
        <w:rPr>
          <w:sz w:val="24"/>
          <w:szCs w:val="24"/>
        </w:rPr>
        <w:t xml:space="preserve">One third of responses felt there were other characteristics not described by the </w:t>
      </w:r>
      <w:r>
        <w:rPr>
          <w:sz w:val="24"/>
          <w:szCs w:val="24"/>
        </w:rPr>
        <w:t>C</w:t>
      </w:r>
      <w:r w:rsidRPr="003C62B5">
        <w:rPr>
          <w:sz w:val="24"/>
          <w:szCs w:val="24"/>
        </w:rPr>
        <w:t xml:space="preserve">onsultation RIS. </w:t>
      </w:r>
    </w:p>
    <w:p w14:paraId="46DB9483" w14:textId="77777777" w:rsidR="00442DC7" w:rsidRPr="003C62B5" w:rsidRDefault="00442DC7" w:rsidP="003C62B5">
      <w:pPr>
        <w:jc w:val="both"/>
        <w:rPr>
          <w:sz w:val="24"/>
          <w:szCs w:val="24"/>
        </w:rPr>
      </w:pPr>
      <w:r w:rsidRPr="003C62B5">
        <w:rPr>
          <w:sz w:val="24"/>
          <w:szCs w:val="24"/>
        </w:rPr>
        <w:t>The following</w:t>
      </w:r>
      <w:r>
        <w:rPr>
          <w:sz w:val="24"/>
          <w:szCs w:val="24"/>
        </w:rPr>
        <w:t xml:space="preserve"> suggested additions</w:t>
      </w:r>
      <w:r w:rsidRPr="003C62B5">
        <w:rPr>
          <w:sz w:val="24"/>
          <w:szCs w:val="24"/>
        </w:rPr>
        <w:t xml:space="preserve"> were received in addition to </w:t>
      </w:r>
      <w:r>
        <w:rPr>
          <w:sz w:val="24"/>
          <w:szCs w:val="24"/>
        </w:rPr>
        <w:t>those discussed above</w:t>
      </w:r>
      <w:r w:rsidRPr="003C62B5">
        <w:rPr>
          <w:sz w:val="24"/>
          <w:szCs w:val="24"/>
        </w:rPr>
        <w:t>:</w:t>
      </w:r>
    </w:p>
    <w:p w14:paraId="70DD3490" w14:textId="77777777" w:rsidR="00442DC7" w:rsidRDefault="00442DC7" w:rsidP="00AF089B">
      <w:pPr>
        <w:pStyle w:val="ListParagraph"/>
        <w:numPr>
          <w:ilvl w:val="0"/>
          <w:numId w:val="43"/>
        </w:numPr>
        <w:spacing w:line="360" w:lineRule="auto"/>
        <w:jc w:val="both"/>
        <w:rPr>
          <w:sz w:val="24"/>
          <w:szCs w:val="24"/>
        </w:rPr>
      </w:pPr>
      <w:r w:rsidRPr="003C62B5">
        <w:rPr>
          <w:sz w:val="24"/>
          <w:szCs w:val="24"/>
        </w:rPr>
        <w:t>The problem includes other hazards</w:t>
      </w:r>
      <w:r>
        <w:rPr>
          <w:sz w:val="24"/>
          <w:szCs w:val="24"/>
        </w:rPr>
        <w:t>,</w:t>
      </w:r>
      <w:r w:rsidRPr="003C62B5">
        <w:rPr>
          <w:sz w:val="24"/>
          <w:szCs w:val="24"/>
        </w:rPr>
        <w:t xml:space="preserve"> such as ars</w:t>
      </w:r>
      <w:r>
        <w:rPr>
          <w:sz w:val="24"/>
          <w:szCs w:val="24"/>
        </w:rPr>
        <w:t>e</w:t>
      </w:r>
      <w:r w:rsidRPr="003C62B5">
        <w:rPr>
          <w:sz w:val="24"/>
          <w:szCs w:val="24"/>
        </w:rPr>
        <w:t xml:space="preserve">nic </w:t>
      </w:r>
      <w:r>
        <w:rPr>
          <w:sz w:val="24"/>
          <w:szCs w:val="24"/>
        </w:rPr>
        <w:t>and nickel</w:t>
      </w:r>
      <w:r w:rsidRPr="003C62B5">
        <w:rPr>
          <w:sz w:val="24"/>
          <w:szCs w:val="24"/>
        </w:rPr>
        <w:t>.</w:t>
      </w:r>
    </w:p>
    <w:p w14:paraId="71366362" w14:textId="77777777" w:rsidR="00442DC7" w:rsidRPr="003C62B5" w:rsidRDefault="00442DC7" w:rsidP="00AF089B">
      <w:pPr>
        <w:pStyle w:val="ListParagraph"/>
        <w:numPr>
          <w:ilvl w:val="0"/>
          <w:numId w:val="43"/>
        </w:numPr>
        <w:spacing w:line="360" w:lineRule="auto"/>
        <w:jc w:val="both"/>
        <w:rPr>
          <w:sz w:val="24"/>
          <w:szCs w:val="24"/>
        </w:rPr>
      </w:pPr>
      <w:r>
        <w:rPr>
          <w:sz w:val="24"/>
          <w:szCs w:val="24"/>
        </w:rPr>
        <w:t xml:space="preserve">There are differences in the way jurisdictions regulate and collect data on drinking water and this may disguise the true extent </w:t>
      </w:r>
      <w:r w:rsidRPr="003C62B5">
        <w:rPr>
          <w:sz w:val="24"/>
          <w:szCs w:val="24"/>
        </w:rPr>
        <w:t xml:space="preserve">of </w:t>
      </w:r>
      <w:r>
        <w:rPr>
          <w:sz w:val="24"/>
          <w:szCs w:val="24"/>
        </w:rPr>
        <w:t>the problem</w:t>
      </w:r>
      <w:r w:rsidRPr="003C62B5">
        <w:rPr>
          <w:sz w:val="24"/>
          <w:szCs w:val="24"/>
        </w:rPr>
        <w:t xml:space="preserve"> at the point of consumption.</w:t>
      </w:r>
    </w:p>
    <w:p w14:paraId="4E8F962B" w14:textId="77777777" w:rsidR="00442DC7" w:rsidRDefault="00442DC7" w:rsidP="00AF089B">
      <w:pPr>
        <w:pStyle w:val="ListParagraph"/>
        <w:numPr>
          <w:ilvl w:val="0"/>
          <w:numId w:val="43"/>
        </w:numPr>
        <w:spacing w:line="360" w:lineRule="auto"/>
        <w:jc w:val="both"/>
        <w:rPr>
          <w:sz w:val="24"/>
          <w:szCs w:val="24"/>
        </w:rPr>
      </w:pPr>
      <w:r>
        <w:rPr>
          <w:sz w:val="24"/>
          <w:szCs w:val="24"/>
        </w:rPr>
        <w:t xml:space="preserve">Scaling factors may </w:t>
      </w:r>
      <w:r w:rsidRPr="00974BB7">
        <w:rPr>
          <w:sz w:val="24"/>
          <w:szCs w:val="24"/>
        </w:rPr>
        <w:t xml:space="preserve">misrepresent the real amount of contamination when </w:t>
      </w:r>
      <w:r>
        <w:rPr>
          <w:sz w:val="24"/>
          <w:szCs w:val="24"/>
        </w:rPr>
        <w:t xml:space="preserve">products </w:t>
      </w:r>
      <w:r w:rsidRPr="00974BB7">
        <w:rPr>
          <w:sz w:val="24"/>
          <w:szCs w:val="24"/>
        </w:rPr>
        <w:t>are installed in a situation where they only supply a single point of discharge</w:t>
      </w:r>
      <w:r>
        <w:rPr>
          <w:sz w:val="24"/>
          <w:szCs w:val="24"/>
        </w:rPr>
        <w:t xml:space="preserve">. </w:t>
      </w:r>
    </w:p>
    <w:p w14:paraId="7580DB4A" w14:textId="77777777" w:rsidR="00442DC7" w:rsidRDefault="00442DC7" w:rsidP="00974BB7">
      <w:pPr>
        <w:spacing w:line="360" w:lineRule="auto"/>
        <w:jc w:val="both"/>
        <w:rPr>
          <w:sz w:val="24"/>
          <w:szCs w:val="24"/>
        </w:rPr>
      </w:pPr>
      <w:r>
        <w:rPr>
          <w:sz w:val="24"/>
          <w:szCs w:val="24"/>
        </w:rPr>
        <w:t>The following points are made in relation to each point:</w:t>
      </w:r>
    </w:p>
    <w:p w14:paraId="6B69A6C2" w14:textId="77777777" w:rsidR="00442DC7" w:rsidRDefault="00442DC7" w:rsidP="008734AE">
      <w:pPr>
        <w:pStyle w:val="ListParagraph"/>
        <w:numPr>
          <w:ilvl w:val="0"/>
          <w:numId w:val="44"/>
        </w:numPr>
        <w:spacing w:line="360" w:lineRule="auto"/>
        <w:jc w:val="both"/>
        <w:rPr>
          <w:sz w:val="24"/>
          <w:szCs w:val="24"/>
        </w:rPr>
      </w:pPr>
      <w:r>
        <w:rPr>
          <w:sz w:val="24"/>
          <w:szCs w:val="24"/>
        </w:rPr>
        <w:t xml:space="preserve">The RIS is deliberately limited to lead in plumbing products in contact with drinking water to reflect the ABCB’s work program. </w:t>
      </w:r>
    </w:p>
    <w:p w14:paraId="4F2F4A80" w14:textId="77777777" w:rsidR="00442DC7" w:rsidRDefault="00442DC7" w:rsidP="008734AE">
      <w:pPr>
        <w:pStyle w:val="ListParagraph"/>
        <w:numPr>
          <w:ilvl w:val="0"/>
          <w:numId w:val="44"/>
        </w:numPr>
        <w:spacing w:line="360" w:lineRule="auto"/>
        <w:jc w:val="both"/>
        <w:rPr>
          <w:sz w:val="24"/>
          <w:szCs w:val="24"/>
        </w:rPr>
      </w:pPr>
      <w:r>
        <w:rPr>
          <w:sz w:val="24"/>
          <w:szCs w:val="24"/>
        </w:rPr>
        <w:t>While state and territory drinking water is regulated separately, plumbing products in contact with drinking water must comply with the PCA and WMCS.</w:t>
      </w:r>
    </w:p>
    <w:p w14:paraId="6449EB3C" w14:textId="77777777" w:rsidR="00442DC7" w:rsidRDefault="00442DC7" w:rsidP="008734AE">
      <w:pPr>
        <w:pStyle w:val="ListParagraph"/>
        <w:numPr>
          <w:ilvl w:val="0"/>
          <w:numId w:val="44"/>
        </w:numPr>
        <w:spacing w:line="360" w:lineRule="auto"/>
        <w:jc w:val="both"/>
        <w:rPr>
          <w:sz w:val="24"/>
          <w:szCs w:val="24"/>
        </w:rPr>
      </w:pPr>
      <w:r>
        <w:rPr>
          <w:sz w:val="24"/>
          <w:szCs w:val="24"/>
        </w:rPr>
        <w:t xml:space="preserve">It is acknowledged that differences in the extent of the problem may be attributable to the rates of testing, which are currently low and varied. </w:t>
      </w:r>
    </w:p>
    <w:p w14:paraId="5B15BCDE" w14:textId="1A400B27" w:rsidR="00442DC7" w:rsidRPr="008B374F" w:rsidRDefault="00442DC7" w:rsidP="008734AE">
      <w:pPr>
        <w:pStyle w:val="ListParagraph"/>
        <w:numPr>
          <w:ilvl w:val="0"/>
          <w:numId w:val="44"/>
        </w:numPr>
        <w:spacing w:line="360" w:lineRule="auto"/>
        <w:jc w:val="both"/>
        <w:rPr>
          <w:sz w:val="24"/>
          <w:szCs w:val="24"/>
        </w:rPr>
      </w:pPr>
      <w:r w:rsidRPr="003C62B5">
        <w:rPr>
          <w:sz w:val="24"/>
          <w:szCs w:val="24"/>
        </w:rPr>
        <w:t xml:space="preserve">Scaling factors are used in many Australian Standards and </w:t>
      </w:r>
      <w:r>
        <w:rPr>
          <w:sz w:val="24"/>
          <w:szCs w:val="24"/>
        </w:rPr>
        <w:t xml:space="preserve">vary based on product type. Despite this, there is no evidence to indicate that these factors </w:t>
      </w:r>
      <w:r>
        <w:rPr>
          <w:sz w:val="24"/>
          <w:szCs w:val="24"/>
        </w:rPr>
        <w:lastRenderedPageBreak/>
        <w:t xml:space="preserve">are contributing to the problem and removal of such factors would place an unnecessary burden on product testing. </w:t>
      </w:r>
    </w:p>
    <w:p w14:paraId="6BFB89BC" w14:textId="77777777" w:rsidR="00442DC7" w:rsidRPr="000F113D" w:rsidRDefault="00442DC7" w:rsidP="00CC66C1">
      <w:pPr>
        <w:pStyle w:val="Heading2"/>
        <w:spacing w:before="240" w:after="240"/>
        <w:rPr>
          <w:rFonts w:ascii="Arial" w:hAnsi="Arial" w:cs="Arial"/>
          <w:b w:val="0"/>
          <w:bCs w:val="0"/>
        </w:rPr>
      </w:pPr>
      <w:bookmarkStart w:id="171" w:name="_Toc71195745"/>
      <w:bookmarkStart w:id="172" w:name="_Toc71789272"/>
      <w:r w:rsidRPr="000F113D">
        <w:rPr>
          <w:rFonts w:ascii="Arial" w:hAnsi="Arial" w:cs="Arial"/>
          <w:b w:val="0"/>
          <w:bCs w:val="0"/>
        </w:rPr>
        <w:t>Extent of the Problem</w:t>
      </w:r>
      <w:bookmarkEnd w:id="165"/>
      <w:bookmarkEnd w:id="171"/>
      <w:bookmarkEnd w:id="172"/>
    </w:p>
    <w:p w14:paraId="2BDFD028" w14:textId="77777777" w:rsidR="00442DC7" w:rsidRDefault="00442DC7" w:rsidP="003C3171">
      <w:pPr>
        <w:spacing w:line="360" w:lineRule="auto"/>
        <w:jc w:val="both"/>
        <w:rPr>
          <w:rFonts w:cs="Arial"/>
          <w:bCs/>
          <w:iCs/>
          <w:sz w:val="24"/>
          <w:szCs w:val="24"/>
        </w:rPr>
      </w:pPr>
      <w:r w:rsidRPr="009C0A5D">
        <w:rPr>
          <w:rFonts w:cs="Arial"/>
          <w:bCs/>
          <w:iCs/>
          <w:sz w:val="24"/>
          <w:szCs w:val="24"/>
        </w:rPr>
        <w:t>The extent of the problem is influenced by</w:t>
      </w:r>
      <w:r>
        <w:rPr>
          <w:rFonts w:cs="Arial"/>
          <w:bCs/>
          <w:iCs/>
          <w:sz w:val="24"/>
          <w:szCs w:val="24"/>
        </w:rPr>
        <w:t xml:space="preserve"> three factors:</w:t>
      </w:r>
    </w:p>
    <w:p w14:paraId="444166DF" w14:textId="05928407" w:rsidR="00442DC7" w:rsidRDefault="00442DC7" w:rsidP="008734AE">
      <w:pPr>
        <w:pStyle w:val="ListParagraph"/>
        <w:numPr>
          <w:ilvl w:val="0"/>
          <w:numId w:val="11"/>
        </w:numPr>
        <w:spacing w:line="360" w:lineRule="auto"/>
        <w:jc w:val="both"/>
        <w:rPr>
          <w:rFonts w:cs="Arial"/>
          <w:bCs/>
          <w:iCs/>
          <w:sz w:val="24"/>
          <w:szCs w:val="24"/>
        </w:rPr>
      </w:pPr>
      <w:r>
        <w:rPr>
          <w:rFonts w:cs="Arial"/>
          <w:bCs/>
          <w:iCs/>
          <w:sz w:val="24"/>
          <w:szCs w:val="24"/>
        </w:rPr>
        <w:t>The amount of new leaded plumbing products in contact wit</w:t>
      </w:r>
      <w:r w:rsidR="00B16D8F">
        <w:rPr>
          <w:rFonts w:cs="Arial"/>
          <w:bCs/>
          <w:iCs/>
          <w:sz w:val="24"/>
          <w:szCs w:val="24"/>
        </w:rPr>
        <w:t>h drinking water sold each year.</w:t>
      </w:r>
      <w:r>
        <w:rPr>
          <w:rFonts w:cs="Arial"/>
          <w:bCs/>
          <w:iCs/>
          <w:sz w:val="24"/>
          <w:szCs w:val="24"/>
        </w:rPr>
        <w:t xml:space="preserve">  </w:t>
      </w:r>
    </w:p>
    <w:p w14:paraId="1C1458C6" w14:textId="209B1660" w:rsidR="00442DC7" w:rsidRDefault="00442DC7" w:rsidP="008734AE">
      <w:pPr>
        <w:pStyle w:val="ListParagraph"/>
        <w:numPr>
          <w:ilvl w:val="0"/>
          <w:numId w:val="11"/>
        </w:numPr>
        <w:spacing w:line="360" w:lineRule="auto"/>
        <w:jc w:val="both"/>
        <w:rPr>
          <w:rFonts w:cs="Arial"/>
          <w:bCs/>
          <w:iCs/>
          <w:sz w:val="24"/>
          <w:szCs w:val="24"/>
        </w:rPr>
      </w:pPr>
      <w:r>
        <w:rPr>
          <w:rFonts w:cs="Arial"/>
          <w:bCs/>
          <w:iCs/>
          <w:sz w:val="24"/>
          <w:szCs w:val="24"/>
        </w:rPr>
        <w:t>The extent to which lead is leached into drinking water from point of discharge plu</w:t>
      </w:r>
      <w:r w:rsidR="00B16D8F">
        <w:rPr>
          <w:rFonts w:cs="Arial"/>
          <w:bCs/>
          <w:iCs/>
          <w:sz w:val="24"/>
          <w:szCs w:val="24"/>
        </w:rPr>
        <w:t>mbing fittings and fixtures.</w:t>
      </w:r>
      <w:r>
        <w:rPr>
          <w:rFonts w:cs="Arial"/>
          <w:bCs/>
          <w:iCs/>
          <w:sz w:val="24"/>
          <w:szCs w:val="24"/>
        </w:rPr>
        <w:t xml:space="preserve"> </w:t>
      </w:r>
    </w:p>
    <w:p w14:paraId="539E5CA6" w14:textId="77777777" w:rsidR="00442DC7" w:rsidRPr="00287506" w:rsidRDefault="00442DC7" w:rsidP="008734AE">
      <w:pPr>
        <w:pStyle w:val="ListParagraph"/>
        <w:numPr>
          <w:ilvl w:val="0"/>
          <w:numId w:val="11"/>
        </w:numPr>
        <w:spacing w:line="360" w:lineRule="auto"/>
        <w:jc w:val="both"/>
        <w:rPr>
          <w:rFonts w:cs="Arial"/>
          <w:bCs/>
          <w:iCs/>
          <w:sz w:val="24"/>
          <w:szCs w:val="24"/>
        </w:rPr>
      </w:pPr>
      <w:r>
        <w:rPr>
          <w:rFonts w:cs="Arial"/>
          <w:bCs/>
          <w:iCs/>
          <w:sz w:val="24"/>
          <w:szCs w:val="24"/>
        </w:rPr>
        <w:t xml:space="preserve">The extent of health impacts </w:t>
      </w:r>
      <w:r w:rsidRPr="00287506">
        <w:rPr>
          <w:rFonts w:cs="Arial"/>
          <w:bCs/>
          <w:iCs/>
          <w:sz w:val="24"/>
          <w:szCs w:val="24"/>
        </w:rPr>
        <w:t xml:space="preserve">associated with using leaded plumbing products in contact with drinking water. </w:t>
      </w:r>
    </w:p>
    <w:p w14:paraId="7D553966" w14:textId="77777777" w:rsidR="00442DC7" w:rsidRPr="000F113D" w:rsidRDefault="00442DC7" w:rsidP="0008702B">
      <w:pPr>
        <w:pStyle w:val="Heading3"/>
        <w:spacing w:after="120"/>
        <w:rPr>
          <w:rFonts w:ascii="Arial" w:hAnsi="Arial" w:cs="Arial"/>
          <w:b w:val="0"/>
          <w:bCs w:val="0"/>
        </w:rPr>
      </w:pPr>
      <w:bookmarkStart w:id="173" w:name="_Toc47287758"/>
      <w:bookmarkStart w:id="174" w:name="_Toc47287899"/>
      <w:bookmarkStart w:id="175" w:name="_Toc53963039"/>
      <w:bookmarkStart w:id="176" w:name="_Toc70887795"/>
      <w:bookmarkStart w:id="177" w:name="_Toc71195746"/>
      <w:bookmarkStart w:id="178" w:name="_Toc71789273"/>
      <w:r w:rsidRPr="000F113D">
        <w:rPr>
          <w:rFonts w:ascii="Arial" w:hAnsi="Arial" w:cs="Arial"/>
          <w:b w:val="0"/>
          <w:bCs w:val="0"/>
        </w:rPr>
        <w:t>Number of products installed in Australia</w:t>
      </w:r>
      <w:bookmarkEnd w:id="173"/>
      <w:bookmarkEnd w:id="174"/>
      <w:bookmarkEnd w:id="175"/>
      <w:bookmarkEnd w:id="176"/>
      <w:bookmarkEnd w:id="177"/>
      <w:bookmarkEnd w:id="178"/>
    </w:p>
    <w:p w14:paraId="4987E9E0" w14:textId="77777777" w:rsidR="00442DC7" w:rsidRDefault="00442DC7" w:rsidP="003C3171">
      <w:pPr>
        <w:spacing w:line="360" w:lineRule="auto"/>
        <w:jc w:val="both"/>
        <w:rPr>
          <w:rFonts w:cs="Arial"/>
          <w:bCs/>
          <w:iCs/>
          <w:sz w:val="24"/>
          <w:szCs w:val="24"/>
        </w:rPr>
      </w:pPr>
      <w:r w:rsidRPr="000F113D">
        <w:rPr>
          <w:rFonts w:cs="Arial"/>
          <w:bCs/>
          <w:iCs/>
          <w:sz w:val="24"/>
          <w:szCs w:val="24"/>
        </w:rPr>
        <w:t xml:space="preserve">The Australian market for </w:t>
      </w:r>
      <w:r>
        <w:rPr>
          <w:rFonts w:cs="Arial"/>
          <w:bCs/>
          <w:iCs/>
          <w:sz w:val="24"/>
          <w:szCs w:val="24"/>
        </w:rPr>
        <w:t xml:space="preserve">copper alloy </w:t>
      </w:r>
      <w:r w:rsidRPr="000F113D">
        <w:rPr>
          <w:rFonts w:cs="Arial"/>
          <w:bCs/>
          <w:iCs/>
          <w:sz w:val="24"/>
          <w:szCs w:val="24"/>
        </w:rPr>
        <w:t xml:space="preserve">plumbing products </w:t>
      </w:r>
      <w:r>
        <w:rPr>
          <w:rFonts w:cs="Arial"/>
          <w:bCs/>
          <w:iCs/>
          <w:sz w:val="24"/>
          <w:szCs w:val="24"/>
        </w:rPr>
        <w:t xml:space="preserve">in contact with drinking water </w:t>
      </w:r>
      <w:r w:rsidRPr="000F113D">
        <w:rPr>
          <w:rFonts w:cs="Arial"/>
          <w:bCs/>
          <w:iCs/>
          <w:sz w:val="24"/>
          <w:szCs w:val="24"/>
        </w:rPr>
        <w:t xml:space="preserve">has been estimated with the assistance of the </w:t>
      </w:r>
      <w:r>
        <w:rPr>
          <w:rFonts w:cs="Arial"/>
          <w:bCs/>
          <w:iCs/>
          <w:sz w:val="24"/>
          <w:szCs w:val="24"/>
        </w:rPr>
        <w:t>PPI Group</w:t>
      </w:r>
      <w:r w:rsidRPr="000F113D">
        <w:rPr>
          <w:rFonts w:cs="Arial"/>
          <w:bCs/>
          <w:iCs/>
          <w:sz w:val="24"/>
          <w:szCs w:val="24"/>
        </w:rPr>
        <w:t xml:space="preserve"> and </w:t>
      </w:r>
      <w:r>
        <w:rPr>
          <w:rFonts w:cs="Arial"/>
          <w:bCs/>
          <w:iCs/>
          <w:sz w:val="24"/>
          <w:szCs w:val="24"/>
        </w:rPr>
        <w:t>t</w:t>
      </w:r>
      <w:r w:rsidRPr="000F113D">
        <w:rPr>
          <w:rFonts w:cs="Arial"/>
          <w:bCs/>
          <w:iCs/>
          <w:sz w:val="24"/>
          <w:szCs w:val="24"/>
        </w:rPr>
        <w:t xml:space="preserve">he </w:t>
      </w:r>
      <w:r>
        <w:rPr>
          <w:rFonts w:cs="Arial"/>
          <w:bCs/>
          <w:iCs/>
          <w:sz w:val="24"/>
          <w:szCs w:val="24"/>
        </w:rPr>
        <w:t>AI Group</w:t>
      </w:r>
      <w:r w:rsidRPr="000F113D">
        <w:rPr>
          <w:rFonts w:cs="Arial"/>
          <w:bCs/>
          <w:iCs/>
          <w:sz w:val="24"/>
          <w:szCs w:val="24"/>
        </w:rPr>
        <w:t xml:space="preserve">. </w:t>
      </w:r>
      <w:r>
        <w:rPr>
          <w:rFonts w:cs="Arial"/>
          <w:bCs/>
          <w:iCs/>
          <w:sz w:val="24"/>
          <w:szCs w:val="24"/>
        </w:rPr>
        <w:t xml:space="preserve">Table 1 </w:t>
      </w:r>
      <w:r w:rsidRPr="00777035">
        <w:rPr>
          <w:rFonts w:cs="Arial"/>
          <w:bCs/>
          <w:iCs/>
          <w:sz w:val="24"/>
          <w:szCs w:val="24"/>
        </w:rPr>
        <w:t>reflects</w:t>
      </w:r>
      <w:r w:rsidRPr="000F113D">
        <w:rPr>
          <w:rFonts w:cs="Arial"/>
          <w:bCs/>
          <w:iCs/>
          <w:sz w:val="24"/>
          <w:szCs w:val="24"/>
        </w:rPr>
        <w:t xml:space="preserve"> those products in contact with drinking water and the </w:t>
      </w:r>
      <w:r>
        <w:rPr>
          <w:rFonts w:cs="Arial"/>
          <w:bCs/>
          <w:iCs/>
          <w:sz w:val="24"/>
          <w:szCs w:val="24"/>
        </w:rPr>
        <w:t>volume</w:t>
      </w:r>
      <w:r w:rsidRPr="000F113D">
        <w:rPr>
          <w:rFonts w:cs="Arial"/>
          <w:bCs/>
          <w:iCs/>
          <w:sz w:val="24"/>
          <w:szCs w:val="24"/>
        </w:rPr>
        <w:t xml:space="preserve"> of products impacted </w:t>
      </w:r>
      <w:r>
        <w:rPr>
          <w:rFonts w:cs="Arial"/>
          <w:bCs/>
          <w:iCs/>
          <w:sz w:val="24"/>
          <w:szCs w:val="24"/>
        </w:rPr>
        <w:t>by any change to</w:t>
      </w:r>
      <w:r w:rsidRPr="000F113D">
        <w:rPr>
          <w:rFonts w:cs="Arial"/>
          <w:bCs/>
          <w:iCs/>
          <w:sz w:val="24"/>
          <w:szCs w:val="24"/>
        </w:rPr>
        <w:t xml:space="preserve"> the permissible lead</w:t>
      </w:r>
      <w:r>
        <w:rPr>
          <w:rFonts w:cs="Arial"/>
          <w:bCs/>
          <w:iCs/>
          <w:sz w:val="24"/>
          <w:szCs w:val="24"/>
        </w:rPr>
        <w:t xml:space="preserve"> content</w:t>
      </w:r>
      <w:r w:rsidRPr="000F113D">
        <w:rPr>
          <w:rFonts w:cs="Arial"/>
          <w:bCs/>
          <w:iCs/>
          <w:sz w:val="24"/>
          <w:szCs w:val="24"/>
        </w:rPr>
        <w:t xml:space="preserve">. </w:t>
      </w:r>
    </w:p>
    <w:p w14:paraId="5FDC5A2D" w14:textId="05DD4DBE" w:rsidR="00442DC7" w:rsidRDefault="00442DC7" w:rsidP="00DA119A">
      <w:pPr>
        <w:pStyle w:val="Caption"/>
      </w:pPr>
      <w:bookmarkStart w:id="179" w:name="_Toc73091859"/>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w:t>
      </w:r>
      <w:r w:rsidR="00362D62">
        <w:rPr>
          <w:noProof/>
        </w:rPr>
        <w:fldChar w:fldCharType="end"/>
      </w:r>
      <w:r>
        <w:t xml:space="preserve">: </w:t>
      </w:r>
      <w:r w:rsidRPr="00793B11">
        <w:t>Annual sales data of leaded copper alloy plumbing products in contact with drinking water</w:t>
      </w:r>
      <w:bookmarkEnd w:id="179"/>
    </w:p>
    <w:tbl>
      <w:tblPr>
        <w:tblStyle w:val="TableGrid"/>
        <w:tblW w:w="9625" w:type="dxa"/>
        <w:tblLook w:val="04A0" w:firstRow="1" w:lastRow="0" w:firstColumn="1" w:lastColumn="0" w:noHBand="0" w:noVBand="1"/>
        <w:tblCaption w:val="Annual sales data of leaded copper alloy plumbing products in contact with drinking water"/>
        <w:tblDescription w:val="Table displays annual sales data of leaded copper alloy plumbing products in contact with drinking water, the largest number being fittings and the smallest being water dispensers. "/>
      </w:tblPr>
      <w:tblGrid>
        <w:gridCol w:w="3006"/>
        <w:gridCol w:w="3005"/>
        <w:gridCol w:w="3614"/>
      </w:tblGrid>
      <w:tr w:rsidR="00442DC7" w:rsidRPr="000F113D" w14:paraId="585D64B4" w14:textId="77777777" w:rsidTr="00CC66C1">
        <w:trPr>
          <w:tblHeader/>
        </w:trPr>
        <w:tc>
          <w:tcPr>
            <w:tcW w:w="3006" w:type="dxa"/>
            <w:shd w:val="clear" w:color="auto" w:fill="002060"/>
          </w:tcPr>
          <w:p w14:paraId="4AC2464E" w14:textId="77777777" w:rsidR="00442DC7" w:rsidRPr="00606555" w:rsidRDefault="00442DC7" w:rsidP="00B16D8F">
            <w:pPr>
              <w:spacing w:before="120" w:after="120"/>
              <w:jc w:val="center"/>
              <w:rPr>
                <w:rFonts w:cs="Arial"/>
                <w:bCs/>
                <w:iCs/>
                <w:color w:val="FFFFFF" w:themeColor="background1"/>
                <w:sz w:val="24"/>
                <w:szCs w:val="24"/>
              </w:rPr>
            </w:pPr>
            <w:r w:rsidRPr="00606555">
              <w:rPr>
                <w:rFonts w:cs="Arial"/>
                <w:bCs/>
                <w:iCs/>
                <w:sz w:val="24"/>
                <w:szCs w:val="24"/>
              </w:rPr>
              <w:t>Product type</w:t>
            </w:r>
          </w:p>
        </w:tc>
        <w:tc>
          <w:tcPr>
            <w:tcW w:w="3005" w:type="dxa"/>
            <w:shd w:val="clear" w:color="auto" w:fill="002060"/>
          </w:tcPr>
          <w:p w14:paraId="1A0FF5C8" w14:textId="77777777" w:rsidR="00442DC7" w:rsidRPr="00606555" w:rsidRDefault="00442DC7" w:rsidP="00B16D8F">
            <w:pPr>
              <w:spacing w:before="120" w:after="120"/>
              <w:jc w:val="center"/>
              <w:rPr>
                <w:rFonts w:cs="Arial"/>
                <w:bCs/>
                <w:iCs/>
                <w:sz w:val="24"/>
                <w:szCs w:val="24"/>
              </w:rPr>
            </w:pPr>
            <w:r w:rsidRPr="00606555">
              <w:rPr>
                <w:rFonts w:cs="Arial"/>
                <w:bCs/>
                <w:iCs/>
                <w:sz w:val="24"/>
                <w:szCs w:val="24"/>
              </w:rPr>
              <w:t>Units (annual sales)</w:t>
            </w:r>
          </w:p>
        </w:tc>
        <w:tc>
          <w:tcPr>
            <w:tcW w:w="3614" w:type="dxa"/>
            <w:shd w:val="clear" w:color="auto" w:fill="002060"/>
          </w:tcPr>
          <w:p w14:paraId="7154AC28" w14:textId="77777777" w:rsidR="00442DC7" w:rsidRPr="00606555" w:rsidRDefault="00442DC7" w:rsidP="00B16D8F">
            <w:pPr>
              <w:spacing w:before="120" w:after="120"/>
              <w:jc w:val="center"/>
              <w:rPr>
                <w:rFonts w:cs="Arial"/>
                <w:bCs/>
                <w:iCs/>
                <w:sz w:val="24"/>
                <w:szCs w:val="24"/>
              </w:rPr>
            </w:pPr>
            <w:r w:rsidRPr="00606555">
              <w:rPr>
                <w:rFonts w:cs="Arial"/>
                <w:bCs/>
                <w:iCs/>
                <w:sz w:val="24"/>
                <w:szCs w:val="24"/>
              </w:rPr>
              <w:t>Definition</w:t>
            </w:r>
          </w:p>
        </w:tc>
      </w:tr>
      <w:tr w:rsidR="00442DC7" w:rsidRPr="000F113D" w14:paraId="1D1C1FE7" w14:textId="77777777" w:rsidTr="00CC66C1">
        <w:tc>
          <w:tcPr>
            <w:tcW w:w="3006" w:type="dxa"/>
          </w:tcPr>
          <w:p w14:paraId="11ED3612" w14:textId="77777777" w:rsidR="00442DC7" w:rsidRPr="00606555" w:rsidRDefault="00442DC7" w:rsidP="00B16D8F">
            <w:pPr>
              <w:spacing w:before="120" w:after="120"/>
              <w:rPr>
                <w:rFonts w:cs="Arial"/>
                <w:bCs/>
                <w:iCs/>
                <w:sz w:val="24"/>
                <w:szCs w:val="24"/>
              </w:rPr>
            </w:pPr>
            <w:r w:rsidRPr="00606555">
              <w:rPr>
                <w:sz w:val="24"/>
                <w:szCs w:val="24"/>
              </w:rPr>
              <w:t>Fittings</w:t>
            </w:r>
          </w:p>
        </w:tc>
        <w:tc>
          <w:tcPr>
            <w:tcW w:w="3005" w:type="dxa"/>
          </w:tcPr>
          <w:p w14:paraId="543FFA7F" w14:textId="77777777" w:rsidR="00442DC7" w:rsidRPr="00606555" w:rsidRDefault="00442DC7" w:rsidP="00B16D8F">
            <w:pPr>
              <w:spacing w:before="120" w:after="120"/>
              <w:jc w:val="center"/>
              <w:rPr>
                <w:rFonts w:cs="Arial"/>
                <w:bCs/>
                <w:iCs/>
                <w:sz w:val="24"/>
                <w:szCs w:val="24"/>
              </w:rPr>
            </w:pPr>
            <w:r w:rsidRPr="00606555">
              <w:rPr>
                <w:sz w:val="24"/>
                <w:szCs w:val="24"/>
              </w:rPr>
              <w:t>45 million</w:t>
            </w:r>
          </w:p>
        </w:tc>
        <w:tc>
          <w:tcPr>
            <w:tcW w:w="3614" w:type="dxa"/>
          </w:tcPr>
          <w:p w14:paraId="3579CF8D" w14:textId="77777777" w:rsidR="00442DC7" w:rsidRPr="00606555" w:rsidRDefault="00442DC7" w:rsidP="00B16D8F">
            <w:pPr>
              <w:spacing w:before="120" w:after="120"/>
              <w:rPr>
                <w:rFonts w:cs="Arial"/>
                <w:bCs/>
                <w:iCs/>
                <w:sz w:val="24"/>
                <w:szCs w:val="24"/>
              </w:rPr>
            </w:pPr>
          </w:p>
        </w:tc>
      </w:tr>
      <w:tr w:rsidR="00442DC7" w:rsidRPr="000F113D" w14:paraId="201F5906" w14:textId="77777777" w:rsidTr="00CC66C1">
        <w:tc>
          <w:tcPr>
            <w:tcW w:w="3006" w:type="dxa"/>
          </w:tcPr>
          <w:p w14:paraId="5B00A5ED" w14:textId="77777777" w:rsidR="00442DC7" w:rsidRPr="00606555" w:rsidRDefault="00442DC7" w:rsidP="00B16D8F">
            <w:pPr>
              <w:spacing w:before="120" w:after="120"/>
              <w:rPr>
                <w:rFonts w:cs="Arial"/>
                <w:bCs/>
                <w:iCs/>
                <w:sz w:val="24"/>
                <w:szCs w:val="24"/>
              </w:rPr>
            </w:pPr>
            <w:r w:rsidRPr="00606555">
              <w:rPr>
                <w:sz w:val="24"/>
                <w:szCs w:val="24"/>
              </w:rPr>
              <w:t>Valves</w:t>
            </w:r>
          </w:p>
        </w:tc>
        <w:tc>
          <w:tcPr>
            <w:tcW w:w="3005" w:type="dxa"/>
          </w:tcPr>
          <w:p w14:paraId="42EA5A1A" w14:textId="77777777" w:rsidR="00442DC7" w:rsidRPr="00606555" w:rsidRDefault="00442DC7" w:rsidP="00B16D8F">
            <w:pPr>
              <w:spacing w:before="120" w:after="120"/>
              <w:jc w:val="center"/>
              <w:rPr>
                <w:rFonts w:cs="Arial"/>
                <w:bCs/>
                <w:iCs/>
                <w:sz w:val="24"/>
                <w:szCs w:val="24"/>
              </w:rPr>
            </w:pPr>
            <w:r w:rsidRPr="00606555">
              <w:rPr>
                <w:sz w:val="24"/>
                <w:szCs w:val="24"/>
              </w:rPr>
              <w:t>13 million</w:t>
            </w:r>
          </w:p>
        </w:tc>
        <w:tc>
          <w:tcPr>
            <w:tcW w:w="3614" w:type="dxa"/>
          </w:tcPr>
          <w:p w14:paraId="338F6B97" w14:textId="77777777" w:rsidR="00442DC7" w:rsidRPr="00606555" w:rsidRDefault="00442DC7" w:rsidP="00B16D8F">
            <w:pPr>
              <w:spacing w:before="120" w:after="120"/>
              <w:rPr>
                <w:rFonts w:cs="Arial"/>
                <w:bCs/>
                <w:iCs/>
                <w:sz w:val="24"/>
                <w:szCs w:val="24"/>
              </w:rPr>
            </w:pPr>
            <w:r w:rsidRPr="00606555">
              <w:rPr>
                <w:sz w:val="24"/>
                <w:szCs w:val="24"/>
              </w:rPr>
              <w:t xml:space="preserve">Includes </w:t>
            </w:r>
            <w:r>
              <w:rPr>
                <w:sz w:val="24"/>
                <w:szCs w:val="24"/>
              </w:rPr>
              <w:t>pressure and temperature valves</w:t>
            </w:r>
            <w:r w:rsidRPr="00606555">
              <w:rPr>
                <w:sz w:val="24"/>
                <w:szCs w:val="24"/>
              </w:rPr>
              <w:t>, pressure limiting</w:t>
            </w:r>
            <w:r>
              <w:rPr>
                <w:sz w:val="24"/>
                <w:szCs w:val="24"/>
              </w:rPr>
              <w:t xml:space="preserve"> valves</w:t>
            </w:r>
            <w:r w:rsidRPr="00606555">
              <w:rPr>
                <w:sz w:val="24"/>
                <w:szCs w:val="24"/>
              </w:rPr>
              <w:t>, isolating</w:t>
            </w:r>
            <w:r>
              <w:rPr>
                <w:sz w:val="24"/>
                <w:szCs w:val="24"/>
              </w:rPr>
              <w:t xml:space="preserve"> valves</w:t>
            </w:r>
            <w:r w:rsidRPr="00606555">
              <w:rPr>
                <w:sz w:val="24"/>
                <w:szCs w:val="24"/>
              </w:rPr>
              <w:t>, ball</w:t>
            </w:r>
            <w:r>
              <w:rPr>
                <w:sz w:val="24"/>
                <w:szCs w:val="24"/>
              </w:rPr>
              <w:t xml:space="preserve"> valves and</w:t>
            </w:r>
            <w:r w:rsidRPr="00606555">
              <w:rPr>
                <w:sz w:val="24"/>
                <w:szCs w:val="24"/>
              </w:rPr>
              <w:t xml:space="preserve"> in-line valves</w:t>
            </w:r>
            <w:r>
              <w:rPr>
                <w:sz w:val="24"/>
                <w:szCs w:val="24"/>
              </w:rPr>
              <w:t>.</w:t>
            </w:r>
            <w:r w:rsidRPr="00606555">
              <w:rPr>
                <w:sz w:val="24"/>
                <w:szCs w:val="24"/>
              </w:rPr>
              <w:t xml:space="preserve"> </w:t>
            </w:r>
          </w:p>
        </w:tc>
      </w:tr>
      <w:tr w:rsidR="00442DC7" w:rsidRPr="000F113D" w14:paraId="7A9B94B2" w14:textId="77777777" w:rsidTr="00CC66C1">
        <w:tc>
          <w:tcPr>
            <w:tcW w:w="3006" w:type="dxa"/>
          </w:tcPr>
          <w:p w14:paraId="6DA6F47F" w14:textId="77777777" w:rsidR="00442DC7" w:rsidRPr="00606555" w:rsidRDefault="00442DC7" w:rsidP="00B16D8F">
            <w:pPr>
              <w:spacing w:before="120" w:after="120"/>
              <w:rPr>
                <w:rFonts w:cs="Arial"/>
                <w:bCs/>
                <w:iCs/>
                <w:sz w:val="24"/>
                <w:szCs w:val="24"/>
              </w:rPr>
            </w:pPr>
            <w:r>
              <w:rPr>
                <w:sz w:val="24"/>
                <w:szCs w:val="24"/>
              </w:rPr>
              <w:t>Fittings of s</w:t>
            </w:r>
            <w:r w:rsidRPr="00606555">
              <w:rPr>
                <w:sz w:val="24"/>
                <w:szCs w:val="24"/>
              </w:rPr>
              <w:t>tainless-steel braided hoses</w:t>
            </w:r>
          </w:p>
        </w:tc>
        <w:tc>
          <w:tcPr>
            <w:tcW w:w="3005" w:type="dxa"/>
          </w:tcPr>
          <w:p w14:paraId="38FEAA9E" w14:textId="77777777" w:rsidR="00442DC7" w:rsidRPr="00606555" w:rsidRDefault="00442DC7" w:rsidP="00B16D8F">
            <w:pPr>
              <w:spacing w:before="120" w:after="120"/>
              <w:jc w:val="center"/>
              <w:rPr>
                <w:rFonts w:cs="Arial"/>
                <w:bCs/>
                <w:iCs/>
                <w:sz w:val="24"/>
                <w:szCs w:val="24"/>
              </w:rPr>
            </w:pPr>
            <w:r w:rsidRPr="00606555">
              <w:rPr>
                <w:sz w:val="24"/>
                <w:szCs w:val="24"/>
              </w:rPr>
              <w:t>12 million</w:t>
            </w:r>
          </w:p>
        </w:tc>
        <w:tc>
          <w:tcPr>
            <w:tcW w:w="3614" w:type="dxa"/>
          </w:tcPr>
          <w:p w14:paraId="1CE43A41" w14:textId="77777777" w:rsidR="00442DC7" w:rsidRPr="00606555" w:rsidRDefault="00442DC7" w:rsidP="00B16D8F">
            <w:pPr>
              <w:spacing w:before="120" w:after="120"/>
              <w:rPr>
                <w:rFonts w:cs="Arial"/>
                <w:bCs/>
                <w:iCs/>
                <w:sz w:val="24"/>
                <w:szCs w:val="24"/>
              </w:rPr>
            </w:pPr>
            <w:r w:rsidRPr="00606555">
              <w:rPr>
                <w:sz w:val="24"/>
                <w:szCs w:val="24"/>
              </w:rPr>
              <w:t>Includes hoses connected to mixers</w:t>
            </w:r>
            <w:r>
              <w:rPr>
                <w:sz w:val="24"/>
                <w:szCs w:val="24"/>
              </w:rPr>
              <w:t>.</w:t>
            </w:r>
          </w:p>
        </w:tc>
      </w:tr>
      <w:tr w:rsidR="00442DC7" w:rsidRPr="000F113D" w14:paraId="6554B314" w14:textId="77777777" w:rsidTr="00CC66C1">
        <w:tc>
          <w:tcPr>
            <w:tcW w:w="3006" w:type="dxa"/>
          </w:tcPr>
          <w:p w14:paraId="3DA45CA3" w14:textId="77777777" w:rsidR="00442DC7" w:rsidRPr="00606555" w:rsidRDefault="00442DC7" w:rsidP="00B16D8F">
            <w:pPr>
              <w:spacing w:before="120" w:after="120"/>
              <w:rPr>
                <w:rFonts w:cs="Arial"/>
                <w:bCs/>
                <w:iCs/>
                <w:sz w:val="24"/>
                <w:szCs w:val="24"/>
              </w:rPr>
            </w:pPr>
            <w:r w:rsidRPr="00606555">
              <w:rPr>
                <w:sz w:val="24"/>
                <w:szCs w:val="24"/>
              </w:rPr>
              <w:t>Taps</w:t>
            </w:r>
          </w:p>
        </w:tc>
        <w:tc>
          <w:tcPr>
            <w:tcW w:w="3005" w:type="dxa"/>
          </w:tcPr>
          <w:p w14:paraId="6582A950" w14:textId="77777777" w:rsidR="00442DC7" w:rsidRPr="00606555" w:rsidRDefault="00442DC7" w:rsidP="00B16D8F">
            <w:pPr>
              <w:spacing w:before="120" w:after="120"/>
              <w:jc w:val="center"/>
              <w:rPr>
                <w:rFonts w:cs="Arial"/>
                <w:bCs/>
                <w:iCs/>
                <w:sz w:val="24"/>
                <w:szCs w:val="24"/>
              </w:rPr>
            </w:pPr>
            <w:r w:rsidRPr="00606555">
              <w:rPr>
                <w:sz w:val="24"/>
                <w:szCs w:val="24"/>
              </w:rPr>
              <w:t>1 million</w:t>
            </w:r>
          </w:p>
        </w:tc>
        <w:tc>
          <w:tcPr>
            <w:tcW w:w="3614" w:type="dxa"/>
          </w:tcPr>
          <w:p w14:paraId="60A64292" w14:textId="77777777" w:rsidR="00442DC7" w:rsidRPr="00606555" w:rsidRDefault="00442DC7" w:rsidP="00B16D8F">
            <w:pPr>
              <w:spacing w:before="120" w:after="120"/>
              <w:rPr>
                <w:rFonts w:cs="Arial"/>
                <w:bCs/>
                <w:iCs/>
                <w:sz w:val="24"/>
                <w:szCs w:val="24"/>
              </w:rPr>
            </w:pPr>
          </w:p>
        </w:tc>
      </w:tr>
      <w:tr w:rsidR="00442DC7" w:rsidRPr="000F113D" w14:paraId="74D1307A" w14:textId="77777777" w:rsidTr="00CC66C1">
        <w:tc>
          <w:tcPr>
            <w:tcW w:w="3006" w:type="dxa"/>
          </w:tcPr>
          <w:p w14:paraId="7D66F083" w14:textId="77777777" w:rsidR="00442DC7" w:rsidRPr="00606555" w:rsidRDefault="00442DC7" w:rsidP="00B16D8F">
            <w:pPr>
              <w:spacing w:before="120" w:after="120"/>
              <w:rPr>
                <w:rFonts w:cs="Arial"/>
                <w:bCs/>
                <w:iCs/>
                <w:sz w:val="24"/>
                <w:szCs w:val="24"/>
              </w:rPr>
            </w:pPr>
            <w:r w:rsidRPr="00606555">
              <w:rPr>
                <w:sz w:val="24"/>
                <w:szCs w:val="24"/>
              </w:rPr>
              <w:t>Mixers</w:t>
            </w:r>
          </w:p>
        </w:tc>
        <w:tc>
          <w:tcPr>
            <w:tcW w:w="3005" w:type="dxa"/>
          </w:tcPr>
          <w:p w14:paraId="7125C128" w14:textId="77777777" w:rsidR="00442DC7" w:rsidRPr="00606555" w:rsidRDefault="00442DC7" w:rsidP="00B16D8F">
            <w:pPr>
              <w:spacing w:before="120" w:after="120"/>
              <w:jc w:val="center"/>
              <w:rPr>
                <w:rFonts w:cs="Arial"/>
                <w:bCs/>
                <w:iCs/>
                <w:sz w:val="24"/>
                <w:szCs w:val="24"/>
              </w:rPr>
            </w:pPr>
            <w:r w:rsidRPr="00606555">
              <w:rPr>
                <w:sz w:val="24"/>
                <w:szCs w:val="24"/>
              </w:rPr>
              <w:t>3 million</w:t>
            </w:r>
          </w:p>
        </w:tc>
        <w:tc>
          <w:tcPr>
            <w:tcW w:w="3614" w:type="dxa"/>
          </w:tcPr>
          <w:p w14:paraId="50700734" w14:textId="77777777" w:rsidR="00442DC7" w:rsidRPr="00606555" w:rsidRDefault="00442DC7" w:rsidP="00B16D8F">
            <w:pPr>
              <w:spacing w:before="120" w:after="120"/>
              <w:rPr>
                <w:rFonts w:cs="Arial"/>
                <w:bCs/>
                <w:iCs/>
                <w:sz w:val="24"/>
                <w:szCs w:val="24"/>
              </w:rPr>
            </w:pPr>
          </w:p>
        </w:tc>
      </w:tr>
      <w:tr w:rsidR="00442DC7" w:rsidRPr="000F113D" w14:paraId="4878ED0E" w14:textId="77777777" w:rsidTr="00CC66C1">
        <w:tc>
          <w:tcPr>
            <w:tcW w:w="3006" w:type="dxa"/>
          </w:tcPr>
          <w:p w14:paraId="183DA951" w14:textId="77777777" w:rsidR="00442DC7" w:rsidRPr="00606555" w:rsidRDefault="00442DC7" w:rsidP="00B16D8F">
            <w:pPr>
              <w:spacing w:before="120" w:after="120"/>
              <w:rPr>
                <w:rFonts w:cs="Arial"/>
                <w:bCs/>
                <w:iCs/>
                <w:sz w:val="24"/>
                <w:szCs w:val="24"/>
              </w:rPr>
            </w:pPr>
            <w:r w:rsidRPr="00606555">
              <w:rPr>
                <w:sz w:val="24"/>
                <w:szCs w:val="24"/>
              </w:rPr>
              <w:t>Water heaters</w:t>
            </w:r>
          </w:p>
        </w:tc>
        <w:tc>
          <w:tcPr>
            <w:tcW w:w="3005" w:type="dxa"/>
          </w:tcPr>
          <w:p w14:paraId="1095389C" w14:textId="77777777" w:rsidR="00442DC7" w:rsidRPr="00606555" w:rsidRDefault="00442DC7" w:rsidP="00B16D8F">
            <w:pPr>
              <w:spacing w:before="120" w:after="120"/>
              <w:jc w:val="center"/>
              <w:rPr>
                <w:rFonts w:cs="Arial"/>
                <w:bCs/>
                <w:iCs/>
                <w:sz w:val="24"/>
                <w:szCs w:val="24"/>
              </w:rPr>
            </w:pPr>
            <w:r w:rsidRPr="00606555">
              <w:rPr>
                <w:sz w:val="24"/>
                <w:szCs w:val="24"/>
              </w:rPr>
              <w:t>7</w:t>
            </w:r>
            <w:r>
              <w:rPr>
                <w:sz w:val="24"/>
                <w:szCs w:val="24"/>
              </w:rPr>
              <w:t>00</w:t>
            </w:r>
            <w:r w:rsidRPr="00606555">
              <w:rPr>
                <w:sz w:val="24"/>
                <w:szCs w:val="24"/>
              </w:rPr>
              <w:t>,000</w:t>
            </w:r>
          </w:p>
        </w:tc>
        <w:tc>
          <w:tcPr>
            <w:tcW w:w="3614" w:type="dxa"/>
          </w:tcPr>
          <w:p w14:paraId="47A96448" w14:textId="77777777" w:rsidR="00442DC7" w:rsidRPr="00606555" w:rsidRDefault="00442DC7" w:rsidP="00B16D8F">
            <w:pPr>
              <w:spacing w:before="120" w:after="120"/>
              <w:rPr>
                <w:rFonts w:cs="Arial"/>
                <w:bCs/>
                <w:iCs/>
                <w:sz w:val="24"/>
                <w:szCs w:val="24"/>
              </w:rPr>
            </w:pPr>
            <w:r w:rsidRPr="00606555">
              <w:rPr>
                <w:sz w:val="24"/>
                <w:szCs w:val="24"/>
              </w:rPr>
              <w:t>Heated water systems</w:t>
            </w:r>
            <w:r>
              <w:rPr>
                <w:sz w:val="24"/>
                <w:szCs w:val="24"/>
              </w:rPr>
              <w:t>.</w:t>
            </w:r>
          </w:p>
        </w:tc>
      </w:tr>
      <w:tr w:rsidR="00442DC7" w:rsidRPr="000F113D" w14:paraId="16838B03" w14:textId="77777777" w:rsidTr="00CC66C1">
        <w:tc>
          <w:tcPr>
            <w:tcW w:w="3006" w:type="dxa"/>
          </w:tcPr>
          <w:p w14:paraId="622B1630" w14:textId="77777777" w:rsidR="00442DC7" w:rsidRPr="00606555" w:rsidRDefault="00442DC7" w:rsidP="00B16D8F">
            <w:pPr>
              <w:spacing w:before="120" w:after="120"/>
              <w:rPr>
                <w:rFonts w:cs="Arial"/>
                <w:bCs/>
                <w:iCs/>
                <w:sz w:val="24"/>
                <w:szCs w:val="24"/>
              </w:rPr>
            </w:pPr>
            <w:r w:rsidRPr="00606555">
              <w:rPr>
                <w:sz w:val="24"/>
                <w:szCs w:val="24"/>
              </w:rPr>
              <w:t>Residential water filtration</w:t>
            </w:r>
          </w:p>
        </w:tc>
        <w:tc>
          <w:tcPr>
            <w:tcW w:w="3005" w:type="dxa"/>
          </w:tcPr>
          <w:p w14:paraId="29FF230E" w14:textId="77777777" w:rsidR="00442DC7" w:rsidRPr="00606555" w:rsidRDefault="00442DC7" w:rsidP="00B16D8F">
            <w:pPr>
              <w:spacing w:before="120" w:after="120"/>
              <w:jc w:val="center"/>
              <w:rPr>
                <w:rFonts w:cs="Arial"/>
                <w:bCs/>
                <w:iCs/>
                <w:sz w:val="24"/>
                <w:szCs w:val="24"/>
              </w:rPr>
            </w:pPr>
            <w:r w:rsidRPr="00606555">
              <w:rPr>
                <w:sz w:val="24"/>
                <w:szCs w:val="24"/>
              </w:rPr>
              <w:t>1</w:t>
            </w:r>
            <w:r>
              <w:rPr>
                <w:sz w:val="24"/>
                <w:szCs w:val="24"/>
              </w:rPr>
              <w:t>5</w:t>
            </w:r>
            <w:r w:rsidRPr="00606555">
              <w:rPr>
                <w:sz w:val="24"/>
                <w:szCs w:val="24"/>
              </w:rPr>
              <w:t>0,000</w:t>
            </w:r>
          </w:p>
        </w:tc>
        <w:tc>
          <w:tcPr>
            <w:tcW w:w="3614" w:type="dxa"/>
          </w:tcPr>
          <w:p w14:paraId="3BF08DFA" w14:textId="77777777" w:rsidR="00442DC7" w:rsidRPr="00606555" w:rsidRDefault="00442DC7" w:rsidP="00B16D8F">
            <w:pPr>
              <w:spacing w:before="120" w:after="120"/>
              <w:rPr>
                <w:rFonts w:cs="Arial"/>
                <w:bCs/>
                <w:iCs/>
                <w:sz w:val="24"/>
                <w:szCs w:val="24"/>
              </w:rPr>
            </w:pPr>
          </w:p>
        </w:tc>
      </w:tr>
      <w:tr w:rsidR="00442DC7" w:rsidRPr="000F113D" w14:paraId="4709D550" w14:textId="77777777" w:rsidTr="00CC66C1">
        <w:tc>
          <w:tcPr>
            <w:tcW w:w="3006" w:type="dxa"/>
          </w:tcPr>
          <w:p w14:paraId="4F78A7BD" w14:textId="77777777" w:rsidR="00442DC7" w:rsidRPr="00606555" w:rsidRDefault="00442DC7" w:rsidP="00B16D8F">
            <w:pPr>
              <w:spacing w:before="120" w:after="120"/>
              <w:rPr>
                <w:rFonts w:cs="Arial"/>
                <w:bCs/>
                <w:iCs/>
                <w:sz w:val="24"/>
                <w:szCs w:val="24"/>
              </w:rPr>
            </w:pPr>
            <w:r w:rsidRPr="00606555">
              <w:rPr>
                <w:sz w:val="24"/>
                <w:szCs w:val="24"/>
              </w:rPr>
              <w:lastRenderedPageBreak/>
              <w:t>Water dispensers</w:t>
            </w:r>
          </w:p>
        </w:tc>
        <w:tc>
          <w:tcPr>
            <w:tcW w:w="3005" w:type="dxa"/>
          </w:tcPr>
          <w:p w14:paraId="62C7D998" w14:textId="77777777" w:rsidR="00442DC7" w:rsidRPr="00606555" w:rsidRDefault="00442DC7" w:rsidP="00B16D8F">
            <w:pPr>
              <w:spacing w:before="120" w:after="120"/>
              <w:jc w:val="center"/>
              <w:rPr>
                <w:rFonts w:cs="Arial"/>
                <w:bCs/>
                <w:iCs/>
                <w:sz w:val="24"/>
                <w:szCs w:val="24"/>
              </w:rPr>
            </w:pPr>
            <w:r w:rsidRPr="00606555">
              <w:rPr>
                <w:sz w:val="24"/>
                <w:szCs w:val="24"/>
              </w:rPr>
              <w:t>20,000</w:t>
            </w:r>
          </w:p>
        </w:tc>
        <w:tc>
          <w:tcPr>
            <w:tcW w:w="3614" w:type="dxa"/>
          </w:tcPr>
          <w:p w14:paraId="27F3978D" w14:textId="77777777" w:rsidR="00442DC7" w:rsidRPr="00606555" w:rsidRDefault="00442DC7" w:rsidP="00B16D8F">
            <w:pPr>
              <w:spacing w:before="120" w:after="120"/>
              <w:rPr>
                <w:rFonts w:cs="Arial"/>
                <w:bCs/>
                <w:iCs/>
                <w:sz w:val="24"/>
                <w:szCs w:val="24"/>
              </w:rPr>
            </w:pPr>
            <w:r w:rsidRPr="00606555">
              <w:rPr>
                <w:sz w:val="24"/>
                <w:szCs w:val="24"/>
              </w:rPr>
              <w:t xml:space="preserve">Includes water coolers, bubblers and refrigerators with chilled water dispensers. </w:t>
            </w:r>
          </w:p>
        </w:tc>
      </w:tr>
    </w:tbl>
    <w:p w14:paraId="5F4936C7" w14:textId="77777777" w:rsidR="00442DC7" w:rsidRDefault="00442DC7" w:rsidP="001217FF">
      <w:pPr>
        <w:spacing w:before="240" w:line="360" w:lineRule="auto"/>
        <w:jc w:val="both"/>
        <w:rPr>
          <w:rFonts w:cs="Arial"/>
          <w:sz w:val="24"/>
          <w:szCs w:val="24"/>
        </w:rPr>
      </w:pPr>
      <w:r>
        <w:rPr>
          <w:rFonts w:cs="Arial"/>
          <w:sz w:val="24"/>
          <w:szCs w:val="24"/>
        </w:rPr>
        <w:t>Despite low lead</w:t>
      </w:r>
      <w:r w:rsidRPr="000F113D">
        <w:rPr>
          <w:rFonts w:cs="Arial"/>
          <w:sz w:val="24"/>
          <w:szCs w:val="24"/>
        </w:rPr>
        <w:t xml:space="preserve"> copper alloy plumbing products </w:t>
      </w:r>
      <w:r>
        <w:rPr>
          <w:rFonts w:cs="Arial"/>
          <w:sz w:val="24"/>
          <w:szCs w:val="24"/>
        </w:rPr>
        <w:t>being</w:t>
      </w:r>
      <w:r w:rsidRPr="000F113D">
        <w:rPr>
          <w:rFonts w:cs="Arial"/>
          <w:sz w:val="24"/>
          <w:szCs w:val="24"/>
        </w:rPr>
        <w:t xml:space="preserve"> available </w:t>
      </w:r>
      <w:r>
        <w:rPr>
          <w:rFonts w:cs="Arial"/>
          <w:sz w:val="24"/>
          <w:szCs w:val="24"/>
        </w:rPr>
        <w:t xml:space="preserve">in </w:t>
      </w:r>
      <w:r w:rsidRPr="000F113D">
        <w:rPr>
          <w:rFonts w:cs="Arial"/>
          <w:sz w:val="24"/>
          <w:szCs w:val="24"/>
        </w:rPr>
        <w:t>the Australian market</w:t>
      </w:r>
      <w:r>
        <w:rPr>
          <w:rFonts w:cs="Arial"/>
          <w:sz w:val="24"/>
          <w:szCs w:val="24"/>
        </w:rPr>
        <w:t>,</w:t>
      </w:r>
      <w:r w:rsidRPr="000F113D">
        <w:rPr>
          <w:rFonts w:cs="Arial"/>
          <w:sz w:val="24"/>
          <w:szCs w:val="24"/>
        </w:rPr>
        <w:t xml:space="preserve"> higher production costs </w:t>
      </w:r>
      <w:r>
        <w:rPr>
          <w:rFonts w:cs="Arial"/>
          <w:sz w:val="24"/>
          <w:szCs w:val="24"/>
        </w:rPr>
        <w:t xml:space="preserve">result in </w:t>
      </w:r>
      <w:r w:rsidRPr="000F113D">
        <w:rPr>
          <w:rFonts w:cs="Arial"/>
          <w:sz w:val="24"/>
          <w:szCs w:val="24"/>
        </w:rPr>
        <w:t xml:space="preserve">these products </w:t>
      </w:r>
      <w:r>
        <w:rPr>
          <w:rFonts w:cs="Arial"/>
          <w:sz w:val="24"/>
          <w:szCs w:val="24"/>
        </w:rPr>
        <w:t>being comparatively more expensive</w:t>
      </w:r>
      <w:r w:rsidRPr="000F113D">
        <w:rPr>
          <w:rFonts w:cs="Arial"/>
          <w:sz w:val="24"/>
          <w:szCs w:val="24"/>
        </w:rPr>
        <w:t xml:space="preserve"> than their leaded </w:t>
      </w:r>
      <w:r>
        <w:rPr>
          <w:rFonts w:cs="Arial"/>
          <w:sz w:val="24"/>
          <w:szCs w:val="24"/>
        </w:rPr>
        <w:t>equivalent</w:t>
      </w:r>
      <w:r w:rsidRPr="000F113D">
        <w:rPr>
          <w:rFonts w:cs="Arial"/>
          <w:sz w:val="24"/>
          <w:szCs w:val="24"/>
        </w:rPr>
        <w:t xml:space="preserve">. As such, </w:t>
      </w:r>
      <w:r>
        <w:rPr>
          <w:rFonts w:cs="Arial"/>
          <w:sz w:val="24"/>
          <w:szCs w:val="24"/>
        </w:rPr>
        <w:t>low lead</w:t>
      </w:r>
      <w:r w:rsidRPr="000F113D">
        <w:rPr>
          <w:rFonts w:cs="Arial"/>
          <w:sz w:val="24"/>
          <w:szCs w:val="24"/>
        </w:rPr>
        <w:t xml:space="preserve"> </w:t>
      </w:r>
      <w:r>
        <w:rPr>
          <w:rFonts w:cs="Arial"/>
          <w:sz w:val="24"/>
          <w:szCs w:val="24"/>
        </w:rPr>
        <w:t xml:space="preserve">copper alloy </w:t>
      </w:r>
      <w:r w:rsidRPr="000F113D">
        <w:rPr>
          <w:rFonts w:cs="Arial"/>
          <w:sz w:val="24"/>
          <w:szCs w:val="24"/>
        </w:rPr>
        <w:t xml:space="preserve">products contribute to </w:t>
      </w:r>
      <w:r>
        <w:rPr>
          <w:rFonts w:cs="Arial"/>
          <w:sz w:val="24"/>
          <w:szCs w:val="24"/>
        </w:rPr>
        <w:t>less than</w:t>
      </w:r>
      <w:r w:rsidRPr="000F113D">
        <w:rPr>
          <w:rFonts w:cs="Arial"/>
          <w:sz w:val="24"/>
          <w:szCs w:val="24"/>
        </w:rPr>
        <w:t xml:space="preserve"> 10</w:t>
      </w:r>
      <w:r>
        <w:rPr>
          <w:rFonts w:cs="Arial"/>
          <w:sz w:val="24"/>
          <w:szCs w:val="24"/>
        </w:rPr>
        <w:t>%</w:t>
      </w:r>
      <w:r w:rsidRPr="000F113D">
        <w:rPr>
          <w:rFonts w:cs="Arial"/>
          <w:sz w:val="24"/>
          <w:szCs w:val="24"/>
        </w:rPr>
        <w:t xml:space="preserve"> of all units sold in Australia.</w:t>
      </w:r>
      <w:r w:rsidRPr="000F113D">
        <w:rPr>
          <w:rStyle w:val="FootnoteReference"/>
          <w:rFonts w:cs="Arial"/>
          <w:sz w:val="24"/>
          <w:szCs w:val="24"/>
        </w:rPr>
        <w:footnoteReference w:id="77"/>
      </w:r>
      <w:r>
        <w:rPr>
          <w:rFonts w:cs="Arial"/>
          <w:sz w:val="24"/>
          <w:szCs w:val="24"/>
        </w:rPr>
        <w:t xml:space="preserve"> </w:t>
      </w:r>
    </w:p>
    <w:p w14:paraId="16C74C88" w14:textId="77777777" w:rsidR="00442DC7" w:rsidRPr="000F113D" w:rsidRDefault="00442DC7" w:rsidP="0008702B">
      <w:pPr>
        <w:pStyle w:val="Heading3"/>
        <w:spacing w:after="120"/>
        <w:rPr>
          <w:rFonts w:ascii="Arial" w:hAnsi="Arial" w:cs="Arial"/>
          <w:b w:val="0"/>
          <w:bCs w:val="0"/>
        </w:rPr>
      </w:pPr>
      <w:bookmarkStart w:id="180" w:name="_Toc47287759"/>
      <w:bookmarkStart w:id="181" w:name="_Toc47287900"/>
      <w:bookmarkStart w:id="182" w:name="_Toc53963040"/>
      <w:bookmarkStart w:id="183" w:name="_Toc70887796"/>
      <w:bookmarkStart w:id="184" w:name="_Toc71195747"/>
      <w:bookmarkStart w:id="185" w:name="_Toc71789274"/>
      <w:r>
        <w:rPr>
          <w:rFonts w:ascii="Arial" w:hAnsi="Arial" w:cs="Arial"/>
          <w:b w:val="0"/>
          <w:bCs w:val="0"/>
        </w:rPr>
        <w:t>Extent lead is present in Australian drinking water</w:t>
      </w:r>
      <w:bookmarkEnd w:id="180"/>
      <w:bookmarkEnd w:id="181"/>
      <w:bookmarkEnd w:id="182"/>
      <w:bookmarkEnd w:id="183"/>
      <w:bookmarkEnd w:id="184"/>
      <w:bookmarkEnd w:id="185"/>
      <w:r>
        <w:rPr>
          <w:rFonts w:ascii="Arial" w:hAnsi="Arial" w:cs="Arial"/>
          <w:b w:val="0"/>
          <w:bCs w:val="0"/>
        </w:rPr>
        <w:t xml:space="preserve"> </w:t>
      </w:r>
    </w:p>
    <w:p w14:paraId="76CFC7E2" w14:textId="0F89D990" w:rsidR="00442DC7" w:rsidRDefault="00442DC7" w:rsidP="006E694B">
      <w:pPr>
        <w:spacing w:line="360" w:lineRule="auto"/>
        <w:jc w:val="both"/>
        <w:rPr>
          <w:rFonts w:cs="Arial"/>
          <w:bCs/>
          <w:iCs/>
          <w:sz w:val="24"/>
          <w:szCs w:val="24"/>
        </w:rPr>
      </w:pPr>
      <w:r>
        <w:rPr>
          <w:rFonts w:cs="Arial"/>
          <w:bCs/>
          <w:iCs/>
          <w:sz w:val="24"/>
          <w:szCs w:val="24"/>
        </w:rPr>
        <w:t>Lead c</w:t>
      </w:r>
      <w:r w:rsidRPr="009C0A5D">
        <w:rPr>
          <w:rFonts w:cs="Arial"/>
          <w:bCs/>
          <w:iCs/>
          <w:sz w:val="24"/>
          <w:szCs w:val="24"/>
        </w:rPr>
        <w:t xml:space="preserve">ontamination of drinking water occurs almost exclusively through contact with materials or fittings which contain lead. </w:t>
      </w:r>
      <w:r>
        <w:rPr>
          <w:rFonts w:cs="Arial"/>
          <w:bCs/>
          <w:iCs/>
          <w:sz w:val="24"/>
          <w:szCs w:val="24"/>
        </w:rPr>
        <w:t>This has been validated by l</w:t>
      </w:r>
      <w:r w:rsidRPr="009C0A5D">
        <w:rPr>
          <w:rFonts w:cs="Arial"/>
          <w:bCs/>
          <w:iCs/>
          <w:sz w:val="24"/>
          <w:szCs w:val="24"/>
        </w:rPr>
        <w:t xml:space="preserve">aboratory testing </w:t>
      </w:r>
      <w:r>
        <w:rPr>
          <w:rFonts w:cs="Arial"/>
          <w:bCs/>
          <w:iCs/>
          <w:sz w:val="24"/>
          <w:szCs w:val="24"/>
        </w:rPr>
        <w:t xml:space="preserve">which </w:t>
      </w:r>
      <w:r w:rsidRPr="009C0A5D">
        <w:rPr>
          <w:rFonts w:cs="Arial"/>
          <w:bCs/>
          <w:iCs/>
          <w:sz w:val="24"/>
          <w:szCs w:val="24"/>
        </w:rPr>
        <w:t>shows that plumbing products in contact with drinking water can leach lead</w:t>
      </w:r>
      <w:r>
        <w:rPr>
          <w:rFonts w:cs="Arial"/>
          <w:bCs/>
          <w:iCs/>
          <w:sz w:val="24"/>
          <w:szCs w:val="24"/>
        </w:rPr>
        <w:t>.</w:t>
      </w:r>
      <w:r w:rsidRPr="009C0A5D">
        <w:rPr>
          <w:rFonts w:cs="Arial"/>
          <w:bCs/>
          <w:iCs/>
          <w:sz w:val="24"/>
          <w:szCs w:val="24"/>
        </w:rPr>
        <w:t xml:space="preserve"> </w:t>
      </w:r>
      <w:r>
        <w:rPr>
          <w:rFonts w:cs="Arial"/>
          <w:bCs/>
          <w:iCs/>
          <w:sz w:val="24"/>
          <w:szCs w:val="24"/>
        </w:rPr>
        <w:t>T</w:t>
      </w:r>
      <w:r w:rsidRPr="009C0A5D">
        <w:rPr>
          <w:rFonts w:cs="Arial"/>
          <w:bCs/>
          <w:iCs/>
          <w:sz w:val="24"/>
          <w:szCs w:val="24"/>
        </w:rPr>
        <w:t xml:space="preserve">he extent to which this is a problem </w:t>
      </w:r>
      <w:r>
        <w:rPr>
          <w:rFonts w:cs="Arial"/>
          <w:bCs/>
          <w:iCs/>
          <w:sz w:val="24"/>
          <w:szCs w:val="24"/>
        </w:rPr>
        <w:t>at a population level is difficult to measure as no such studies have been conducted in Australia</w:t>
      </w:r>
      <w:r w:rsidRPr="009C0A5D">
        <w:rPr>
          <w:rFonts w:cs="Arial"/>
          <w:bCs/>
          <w:iCs/>
          <w:sz w:val="24"/>
          <w:szCs w:val="24"/>
        </w:rPr>
        <w:t xml:space="preserve">. </w:t>
      </w:r>
      <w:r w:rsidR="00B22235">
        <w:rPr>
          <w:rFonts w:cs="Arial"/>
          <w:bCs/>
          <w:iCs/>
          <w:sz w:val="24"/>
          <w:szCs w:val="24"/>
        </w:rPr>
        <w:t>A</w:t>
      </w:r>
      <w:r w:rsidRPr="009C0A5D">
        <w:rPr>
          <w:rFonts w:cs="Arial"/>
          <w:bCs/>
          <w:iCs/>
          <w:sz w:val="24"/>
          <w:szCs w:val="24"/>
        </w:rPr>
        <w:t>n assessment by the WHO found that 20</w:t>
      </w:r>
      <w:r>
        <w:rPr>
          <w:rFonts w:cs="Arial"/>
          <w:bCs/>
          <w:iCs/>
          <w:sz w:val="24"/>
          <w:szCs w:val="24"/>
        </w:rPr>
        <w:t xml:space="preserve">% </w:t>
      </w:r>
      <w:r w:rsidRPr="009C0A5D">
        <w:rPr>
          <w:rFonts w:cs="Arial"/>
          <w:bCs/>
          <w:iCs/>
          <w:sz w:val="24"/>
          <w:szCs w:val="24"/>
        </w:rPr>
        <w:t>of total lead intake is attributable to water consumption with the other 80</w:t>
      </w:r>
      <w:r>
        <w:rPr>
          <w:rFonts w:cs="Arial"/>
          <w:bCs/>
          <w:iCs/>
          <w:sz w:val="24"/>
          <w:szCs w:val="24"/>
        </w:rPr>
        <w:t xml:space="preserve">% </w:t>
      </w:r>
      <w:r w:rsidRPr="009C0A5D">
        <w:rPr>
          <w:rFonts w:cs="Arial"/>
          <w:bCs/>
          <w:iCs/>
          <w:sz w:val="24"/>
          <w:szCs w:val="24"/>
        </w:rPr>
        <w:t>coming from food, dirt and dust.</w:t>
      </w:r>
      <w:r>
        <w:rPr>
          <w:rStyle w:val="FootnoteReference"/>
          <w:rFonts w:cs="Arial"/>
          <w:bCs/>
          <w:iCs/>
          <w:sz w:val="24"/>
          <w:szCs w:val="24"/>
        </w:rPr>
        <w:footnoteReference w:id="78"/>
      </w:r>
      <w:r>
        <w:rPr>
          <w:rFonts w:cs="Arial"/>
          <w:bCs/>
          <w:iCs/>
          <w:sz w:val="24"/>
          <w:szCs w:val="24"/>
        </w:rPr>
        <w:t xml:space="preserve">  The US EPA also estimates that d</w:t>
      </w:r>
      <w:r w:rsidRPr="008C2D8E">
        <w:rPr>
          <w:rFonts w:cs="Arial"/>
          <w:bCs/>
          <w:iCs/>
          <w:sz w:val="24"/>
          <w:szCs w:val="24"/>
        </w:rPr>
        <w:t>rinking water can make up 20</w:t>
      </w:r>
      <w:r>
        <w:rPr>
          <w:rFonts w:cs="Arial"/>
          <w:bCs/>
          <w:iCs/>
          <w:sz w:val="24"/>
          <w:szCs w:val="24"/>
        </w:rPr>
        <w:t xml:space="preserve">% </w:t>
      </w:r>
      <w:r w:rsidRPr="008C2D8E">
        <w:rPr>
          <w:rFonts w:cs="Arial"/>
          <w:bCs/>
          <w:iCs/>
          <w:sz w:val="24"/>
          <w:szCs w:val="24"/>
        </w:rPr>
        <w:t xml:space="preserve">of a person’s total </w:t>
      </w:r>
      <w:r>
        <w:rPr>
          <w:rFonts w:cs="Arial"/>
          <w:bCs/>
          <w:iCs/>
          <w:sz w:val="24"/>
          <w:szCs w:val="24"/>
        </w:rPr>
        <w:t>lead intake with higher contributions found in children.</w:t>
      </w:r>
      <w:r>
        <w:rPr>
          <w:rStyle w:val="FootnoteReference"/>
          <w:rFonts w:cs="Arial"/>
          <w:bCs/>
          <w:iCs/>
          <w:sz w:val="24"/>
          <w:szCs w:val="24"/>
        </w:rPr>
        <w:footnoteReference w:id="79"/>
      </w:r>
      <w:r>
        <w:rPr>
          <w:rFonts w:cs="Arial"/>
          <w:bCs/>
          <w:iCs/>
          <w:sz w:val="24"/>
          <w:szCs w:val="24"/>
        </w:rPr>
        <w:t xml:space="preserve"> </w:t>
      </w:r>
    </w:p>
    <w:p w14:paraId="1C341813" w14:textId="366C31EC" w:rsidR="00442DC7" w:rsidRDefault="00442DC7" w:rsidP="006379CF">
      <w:pPr>
        <w:spacing w:line="360" w:lineRule="auto"/>
        <w:jc w:val="both"/>
        <w:rPr>
          <w:rFonts w:cs="Arial"/>
          <w:bCs/>
          <w:iCs/>
          <w:sz w:val="24"/>
          <w:szCs w:val="24"/>
        </w:rPr>
      </w:pPr>
      <w:r>
        <w:rPr>
          <w:rFonts w:cs="Arial"/>
          <w:bCs/>
          <w:iCs/>
          <w:sz w:val="24"/>
          <w:szCs w:val="24"/>
        </w:rPr>
        <w:t xml:space="preserve">It is known through data from the annual reports of NUOs that the lead levels of drinking water supplied to the </w:t>
      </w:r>
      <w:r w:rsidRPr="00D442D4">
        <w:rPr>
          <w:rFonts w:cs="Arial"/>
          <w:bCs/>
          <w:iCs/>
          <w:sz w:val="24"/>
          <w:szCs w:val="24"/>
        </w:rPr>
        <w:t>premises</w:t>
      </w:r>
      <w:r>
        <w:t xml:space="preserve"> </w:t>
      </w:r>
      <w:r>
        <w:rPr>
          <w:rFonts w:cs="Arial"/>
          <w:bCs/>
          <w:iCs/>
          <w:sz w:val="24"/>
          <w:szCs w:val="24"/>
        </w:rPr>
        <w:t>is very low. A review of metropolitan NUO data in each jurisdiction revealed that lead content was less than 1 </w:t>
      </w:r>
      <w:r w:rsidRPr="006C2FA6">
        <w:rPr>
          <w:rFonts w:cs="Arial"/>
          <w:bCs/>
          <w:iCs/>
          <w:sz w:val="24"/>
          <w:szCs w:val="24"/>
        </w:rPr>
        <w:t>μ</w:t>
      </w:r>
      <w:r>
        <w:rPr>
          <w:rFonts w:cs="Arial"/>
          <w:bCs/>
          <w:iCs/>
          <w:sz w:val="24"/>
          <w:szCs w:val="24"/>
        </w:rPr>
        <w:t xml:space="preserve">g/L. There could be exceptions to these levels, however the vast majority of drinking water supplied to the point of connection to a property (generally the water meter) from NUO infrastructure, meets or is significantly less than the level required by the ADWG. Hence, where lead is found at end-use fixtures, it is likely to be the result of leaching from plumbing products in contact with the drinking water from within the premises. </w:t>
      </w:r>
    </w:p>
    <w:p w14:paraId="158C44D5" w14:textId="77777777" w:rsidR="00442DC7" w:rsidRDefault="00442DC7" w:rsidP="00CC66C1">
      <w:pPr>
        <w:spacing w:line="360" w:lineRule="auto"/>
        <w:jc w:val="both"/>
        <w:rPr>
          <w:rFonts w:cs="Arial"/>
          <w:bCs/>
          <w:iCs/>
          <w:sz w:val="24"/>
          <w:szCs w:val="24"/>
        </w:rPr>
      </w:pPr>
      <w:r>
        <w:rPr>
          <w:rFonts w:cs="Arial"/>
          <w:bCs/>
          <w:iCs/>
          <w:sz w:val="24"/>
          <w:szCs w:val="24"/>
        </w:rPr>
        <w:t xml:space="preserve">Limited sampling from within the premises occurs nationwide and there is a lack of awareness by consumers in identifying the presence of lead due to it being odourless, colourless and tasteless when consumed. Therefore, the extent that lead is leaching </w:t>
      </w:r>
      <w:r>
        <w:rPr>
          <w:rFonts w:cs="Arial"/>
          <w:bCs/>
          <w:iCs/>
          <w:sz w:val="24"/>
          <w:szCs w:val="24"/>
        </w:rPr>
        <w:lastRenderedPageBreak/>
        <w:t xml:space="preserve">into Australian drinking water from copper alloy plumbing products is difficult to estimate and likely to be under-reported. </w:t>
      </w:r>
    </w:p>
    <w:p w14:paraId="4E775561" w14:textId="77777777" w:rsidR="00442DC7" w:rsidRPr="003C62B5" w:rsidRDefault="00442DC7" w:rsidP="004C6304">
      <w:pPr>
        <w:spacing w:after="120" w:line="360" w:lineRule="auto"/>
        <w:jc w:val="both"/>
        <w:rPr>
          <w:rFonts w:cs="Arial"/>
          <w:bCs/>
          <w:iCs/>
          <w:color w:val="002060"/>
          <w:sz w:val="24"/>
          <w:szCs w:val="24"/>
        </w:rPr>
      </w:pPr>
      <w:r w:rsidRPr="003C62B5">
        <w:rPr>
          <w:rFonts w:cs="Arial"/>
          <w:bCs/>
          <w:iCs/>
          <w:color w:val="002060"/>
          <w:sz w:val="24"/>
          <w:szCs w:val="24"/>
        </w:rPr>
        <w:t>Available data on lead contamination</w:t>
      </w:r>
    </w:p>
    <w:p w14:paraId="53133AB6" w14:textId="77777777" w:rsidR="00442DC7" w:rsidRDefault="00442DC7" w:rsidP="0069362C">
      <w:pPr>
        <w:rPr>
          <w:rFonts w:cs="Arial"/>
          <w:bCs/>
          <w:iCs/>
          <w:sz w:val="24"/>
          <w:szCs w:val="24"/>
        </w:rPr>
      </w:pPr>
      <w:r>
        <w:rPr>
          <w:rFonts w:cs="Arial"/>
          <w:bCs/>
          <w:iCs/>
          <w:sz w:val="24"/>
          <w:szCs w:val="24"/>
        </w:rPr>
        <w:t>Data on lead contamination of drinking water in Australia includes the following:</w:t>
      </w:r>
    </w:p>
    <w:p w14:paraId="23C0351B" w14:textId="2CCAF963" w:rsidR="00442DC7" w:rsidRDefault="00442DC7" w:rsidP="008734AE">
      <w:pPr>
        <w:pStyle w:val="ListParagraph"/>
        <w:numPr>
          <w:ilvl w:val="0"/>
          <w:numId w:val="17"/>
        </w:numPr>
        <w:spacing w:line="360" w:lineRule="auto"/>
        <w:jc w:val="both"/>
        <w:rPr>
          <w:rFonts w:cs="Arial"/>
          <w:bCs/>
          <w:iCs/>
          <w:sz w:val="24"/>
          <w:szCs w:val="24"/>
        </w:rPr>
      </w:pPr>
      <w:r w:rsidRPr="006C2FA6">
        <w:rPr>
          <w:rFonts w:cs="Arial"/>
          <w:bCs/>
          <w:iCs/>
          <w:sz w:val="24"/>
          <w:szCs w:val="24"/>
        </w:rPr>
        <w:t>Analysis of 212 first draw drinking water samples in N</w:t>
      </w:r>
      <w:r w:rsidR="00B26735">
        <w:rPr>
          <w:rFonts w:cs="Arial"/>
          <w:bCs/>
          <w:iCs/>
          <w:sz w:val="24"/>
          <w:szCs w:val="24"/>
        </w:rPr>
        <w:t xml:space="preserve">ew </w:t>
      </w:r>
      <w:r w:rsidRPr="006C2FA6">
        <w:rPr>
          <w:rFonts w:cs="Arial"/>
          <w:bCs/>
          <w:iCs/>
          <w:sz w:val="24"/>
          <w:szCs w:val="24"/>
        </w:rPr>
        <w:t>S</w:t>
      </w:r>
      <w:r w:rsidR="00B26735">
        <w:rPr>
          <w:rFonts w:cs="Arial"/>
          <w:bCs/>
          <w:iCs/>
          <w:sz w:val="24"/>
          <w:szCs w:val="24"/>
        </w:rPr>
        <w:t xml:space="preserve">outh </w:t>
      </w:r>
      <w:r w:rsidRPr="006C2FA6">
        <w:rPr>
          <w:rFonts w:cs="Arial"/>
          <w:bCs/>
          <w:iCs/>
          <w:sz w:val="24"/>
          <w:szCs w:val="24"/>
        </w:rPr>
        <w:t>W</w:t>
      </w:r>
      <w:r w:rsidR="00B26735">
        <w:rPr>
          <w:rFonts w:cs="Arial"/>
          <w:bCs/>
          <w:iCs/>
          <w:sz w:val="24"/>
          <w:szCs w:val="24"/>
        </w:rPr>
        <w:t>ales</w:t>
      </w:r>
      <w:r w:rsidRPr="006C2FA6">
        <w:rPr>
          <w:rFonts w:cs="Arial"/>
          <w:bCs/>
          <w:iCs/>
          <w:sz w:val="24"/>
          <w:szCs w:val="24"/>
        </w:rPr>
        <w:t xml:space="preserve"> homes found that 56% of samples contained detectable concentrations of lead. Of total samples, 8% exceeded 10</w:t>
      </w:r>
      <w:r>
        <w:rPr>
          <w:rFonts w:cs="Arial"/>
          <w:bCs/>
          <w:iCs/>
          <w:sz w:val="24"/>
          <w:szCs w:val="24"/>
        </w:rPr>
        <w:t xml:space="preserve"> </w:t>
      </w:r>
      <w:r w:rsidRPr="006C2FA6">
        <w:rPr>
          <w:rFonts w:cs="Arial"/>
          <w:bCs/>
          <w:iCs/>
          <w:sz w:val="24"/>
          <w:szCs w:val="24"/>
        </w:rPr>
        <w:t>μg/L. If this percentage was representative of the problem nationally, approximately 800,000 homes would be impacted.</w:t>
      </w:r>
      <w:r>
        <w:rPr>
          <w:rStyle w:val="FootnoteReference"/>
          <w:rFonts w:cs="Arial"/>
          <w:bCs/>
          <w:iCs/>
          <w:sz w:val="24"/>
          <w:szCs w:val="24"/>
        </w:rPr>
        <w:footnoteReference w:id="80"/>
      </w:r>
      <w:r w:rsidRPr="006C2FA6">
        <w:rPr>
          <w:rFonts w:cs="Arial"/>
          <w:bCs/>
          <w:iCs/>
          <w:sz w:val="24"/>
          <w:szCs w:val="24"/>
        </w:rPr>
        <w:t xml:space="preserve">  </w:t>
      </w:r>
    </w:p>
    <w:p w14:paraId="1FC2103F" w14:textId="77777777" w:rsidR="00442DC7" w:rsidRDefault="00442DC7" w:rsidP="008734AE">
      <w:pPr>
        <w:pStyle w:val="ListParagraph"/>
        <w:numPr>
          <w:ilvl w:val="0"/>
          <w:numId w:val="17"/>
        </w:numPr>
        <w:spacing w:line="360" w:lineRule="auto"/>
        <w:jc w:val="both"/>
        <w:rPr>
          <w:rFonts w:cs="Arial"/>
          <w:bCs/>
          <w:iCs/>
          <w:sz w:val="24"/>
          <w:szCs w:val="24"/>
        </w:rPr>
      </w:pPr>
      <w:r>
        <w:rPr>
          <w:rFonts w:cs="Arial"/>
          <w:bCs/>
          <w:iCs/>
          <w:sz w:val="24"/>
          <w:szCs w:val="24"/>
        </w:rPr>
        <w:t>In 2002, lead in</w:t>
      </w:r>
      <w:r w:rsidRPr="002E2BE7">
        <w:rPr>
          <w:rFonts w:cs="Arial"/>
          <w:bCs/>
          <w:iCs/>
          <w:sz w:val="24"/>
          <w:szCs w:val="24"/>
        </w:rPr>
        <w:t xml:space="preserve"> drinking water w</w:t>
      </w:r>
      <w:r>
        <w:rPr>
          <w:rFonts w:cs="Arial"/>
          <w:bCs/>
          <w:iCs/>
          <w:sz w:val="24"/>
          <w:szCs w:val="24"/>
        </w:rPr>
        <w:t>as</w:t>
      </w:r>
      <w:r w:rsidRPr="002E2BE7">
        <w:rPr>
          <w:rFonts w:cs="Arial"/>
          <w:bCs/>
          <w:iCs/>
          <w:sz w:val="24"/>
          <w:szCs w:val="24"/>
        </w:rPr>
        <w:t xml:space="preserve"> measured in 95 new houses less than 18 months old in the Sydney metropolitan area. Three samples (first-flush, post-first-flush, and fully flushed water) were collected from each house. Of the first-flush samples, </w:t>
      </w:r>
      <w:r>
        <w:rPr>
          <w:rFonts w:cs="Arial"/>
          <w:bCs/>
          <w:iCs/>
          <w:sz w:val="24"/>
          <w:szCs w:val="24"/>
        </w:rPr>
        <w:t>lead</w:t>
      </w:r>
      <w:r w:rsidRPr="002E2BE7">
        <w:rPr>
          <w:rFonts w:cs="Arial"/>
          <w:bCs/>
          <w:iCs/>
          <w:sz w:val="24"/>
          <w:szCs w:val="24"/>
        </w:rPr>
        <w:t xml:space="preserve"> was above </w:t>
      </w:r>
      <w:r>
        <w:rPr>
          <w:rFonts w:cs="Arial"/>
          <w:bCs/>
          <w:iCs/>
          <w:sz w:val="24"/>
          <w:szCs w:val="24"/>
        </w:rPr>
        <w:t xml:space="preserve">the </w:t>
      </w:r>
      <w:r w:rsidRPr="002E2BE7">
        <w:rPr>
          <w:rFonts w:cs="Arial"/>
          <w:bCs/>
          <w:iCs/>
          <w:sz w:val="24"/>
          <w:szCs w:val="24"/>
        </w:rPr>
        <w:t xml:space="preserve">ADWG in 60% </w:t>
      </w:r>
      <w:r>
        <w:rPr>
          <w:rFonts w:cs="Arial"/>
          <w:bCs/>
          <w:iCs/>
          <w:sz w:val="24"/>
          <w:szCs w:val="24"/>
        </w:rPr>
        <w:t>of houses</w:t>
      </w:r>
      <w:r w:rsidRPr="002E2BE7">
        <w:rPr>
          <w:rFonts w:cs="Arial"/>
          <w:bCs/>
          <w:iCs/>
          <w:sz w:val="24"/>
          <w:szCs w:val="24"/>
        </w:rPr>
        <w:t xml:space="preserve">. Of the post-first-flush samples, </w:t>
      </w:r>
      <w:r>
        <w:rPr>
          <w:rFonts w:cs="Arial"/>
          <w:bCs/>
          <w:iCs/>
          <w:sz w:val="24"/>
          <w:szCs w:val="24"/>
        </w:rPr>
        <w:t>lead</w:t>
      </w:r>
      <w:r w:rsidRPr="002E2BE7">
        <w:rPr>
          <w:rFonts w:cs="Arial"/>
          <w:bCs/>
          <w:iCs/>
          <w:sz w:val="24"/>
          <w:szCs w:val="24"/>
        </w:rPr>
        <w:t xml:space="preserve"> was above </w:t>
      </w:r>
      <w:r>
        <w:rPr>
          <w:rFonts w:cs="Arial"/>
          <w:bCs/>
          <w:iCs/>
          <w:sz w:val="24"/>
          <w:szCs w:val="24"/>
        </w:rPr>
        <w:t xml:space="preserve">the </w:t>
      </w:r>
      <w:r w:rsidRPr="002E2BE7">
        <w:rPr>
          <w:rFonts w:cs="Arial"/>
          <w:bCs/>
          <w:iCs/>
          <w:sz w:val="24"/>
          <w:szCs w:val="24"/>
        </w:rPr>
        <w:t>ADWG in 24%</w:t>
      </w:r>
      <w:r>
        <w:rPr>
          <w:rFonts w:cs="Arial"/>
          <w:bCs/>
          <w:iCs/>
          <w:sz w:val="24"/>
          <w:szCs w:val="24"/>
        </w:rPr>
        <w:t>.</w:t>
      </w:r>
      <w:r w:rsidRPr="002E2BE7">
        <w:rPr>
          <w:rFonts w:cs="Arial"/>
          <w:bCs/>
          <w:iCs/>
          <w:sz w:val="24"/>
          <w:szCs w:val="24"/>
        </w:rPr>
        <w:t xml:space="preserve"> In fully flushed water, the levels of </w:t>
      </w:r>
      <w:r>
        <w:rPr>
          <w:rFonts w:cs="Arial"/>
          <w:bCs/>
          <w:iCs/>
          <w:sz w:val="24"/>
          <w:szCs w:val="24"/>
        </w:rPr>
        <w:t>lead</w:t>
      </w:r>
      <w:r w:rsidRPr="002E2BE7">
        <w:rPr>
          <w:rFonts w:cs="Arial"/>
          <w:bCs/>
          <w:iCs/>
          <w:sz w:val="24"/>
          <w:szCs w:val="24"/>
        </w:rPr>
        <w:t xml:space="preserve"> were well below ADWG.</w:t>
      </w:r>
      <w:r>
        <w:rPr>
          <w:rStyle w:val="FootnoteReference"/>
          <w:rFonts w:cs="Arial"/>
          <w:bCs/>
          <w:iCs/>
          <w:sz w:val="24"/>
          <w:szCs w:val="24"/>
        </w:rPr>
        <w:footnoteReference w:id="81"/>
      </w:r>
    </w:p>
    <w:p w14:paraId="72F606A4" w14:textId="77777777" w:rsidR="00442DC7" w:rsidRDefault="00442DC7" w:rsidP="008734AE">
      <w:pPr>
        <w:pStyle w:val="ListParagraph"/>
        <w:numPr>
          <w:ilvl w:val="0"/>
          <w:numId w:val="17"/>
        </w:numPr>
        <w:spacing w:line="360" w:lineRule="auto"/>
        <w:jc w:val="both"/>
        <w:rPr>
          <w:rFonts w:cs="Arial"/>
          <w:bCs/>
          <w:iCs/>
          <w:sz w:val="24"/>
          <w:szCs w:val="24"/>
        </w:rPr>
      </w:pPr>
      <w:r>
        <w:rPr>
          <w:rFonts w:cs="Arial"/>
          <w:bCs/>
          <w:iCs/>
          <w:sz w:val="24"/>
          <w:szCs w:val="24"/>
        </w:rPr>
        <w:t xml:space="preserve">From 2000 to 2019, NUO Sydney Water received 755 complaints where the lead content of the water was subsequently tested. Approximately 10% of complaints contained a lead level which exceeded the 10 </w:t>
      </w:r>
      <w:r w:rsidRPr="001465C2">
        <w:rPr>
          <w:rFonts w:cs="Arial"/>
          <w:color w:val="333333"/>
          <w:sz w:val="24"/>
          <w:szCs w:val="24"/>
          <w:shd w:val="clear" w:color="auto" w:fill="FFFFFF"/>
        </w:rPr>
        <w:t>μ</w:t>
      </w:r>
      <w:r>
        <w:rPr>
          <w:rFonts w:cs="Arial"/>
          <w:bCs/>
          <w:iCs/>
          <w:sz w:val="24"/>
          <w:szCs w:val="24"/>
        </w:rPr>
        <w:t xml:space="preserve">g/L limit required by the ADWG. </w:t>
      </w:r>
    </w:p>
    <w:p w14:paraId="6369C5E6" w14:textId="77777777" w:rsidR="00442DC7" w:rsidRPr="00D10CF8" w:rsidRDefault="00442DC7" w:rsidP="008734AE">
      <w:pPr>
        <w:pStyle w:val="ListParagraph"/>
        <w:numPr>
          <w:ilvl w:val="0"/>
          <w:numId w:val="17"/>
        </w:numPr>
        <w:spacing w:line="360" w:lineRule="auto"/>
        <w:jc w:val="both"/>
        <w:rPr>
          <w:rFonts w:cs="Arial"/>
          <w:bCs/>
          <w:iCs/>
          <w:sz w:val="24"/>
          <w:szCs w:val="24"/>
        </w:rPr>
      </w:pPr>
      <w:r w:rsidRPr="00D10CF8">
        <w:rPr>
          <w:rFonts w:cs="Arial"/>
          <w:bCs/>
          <w:iCs/>
          <w:sz w:val="24"/>
          <w:szCs w:val="24"/>
          <w:lang w:val="en-US"/>
        </w:rPr>
        <w:t xml:space="preserve">Between October 2017 and May 2020, samples </w:t>
      </w:r>
      <w:r w:rsidRPr="00D10CF8">
        <w:rPr>
          <w:rFonts w:cs="Arial"/>
          <w:bCs/>
          <w:iCs/>
          <w:sz w:val="24"/>
          <w:szCs w:val="24"/>
        </w:rPr>
        <w:t xml:space="preserve">from 272 individual drinking water sources in 21 of the 29 local government areas in Tasmania found approximately 30% had lead content in excess of 10 µg/L. First drawn samples in excess of the </w:t>
      </w:r>
      <w:r>
        <w:rPr>
          <w:rFonts w:cs="Arial"/>
          <w:bCs/>
          <w:iCs/>
          <w:sz w:val="24"/>
          <w:szCs w:val="24"/>
        </w:rPr>
        <w:t>ADWG</w:t>
      </w:r>
      <w:r w:rsidRPr="00D10CF8">
        <w:rPr>
          <w:rFonts w:cs="Arial"/>
          <w:bCs/>
          <w:iCs/>
          <w:sz w:val="24"/>
          <w:szCs w:val="24"/>
        </w:rPr>
        <w:t xml:space="preserve"> ranged from 10.1 to 1,300 µg/L with a median value of 19.3 µg/L. </w:t>
      </w:r>
    </w:p>
    <w:p w14:paraId="6BDA005D" w14:textId="77777777" w:rsidR="00442DC7" w:rsidRDefault="00442DC7" w:rsidP="008734AE">
      <w:pPr>
        <w:pStyle w:val="ListParagraph"/>
        <w:numPr>
          <w:ilvl w:val="0"/>
          <w:numId w:val="17"/>
        </w:numPr>
        <w:spacing w:line="360" w:lineRule="auto"/>
        <w:jc w:val="both"/>
        <w:rPr>
          <w:rFonts w:cs="Arial"/>
          <w:bCs/>
          <w:iCs/>
          <w:sz w:val="24"/>
          <w:szCs w:val="24"/>
        </w:rPr>
      </w:pPr>
      <w:r>
        <w:rPr>
          <w:rFonts w:cs="Arial"/>
          <w:bCs/>
          <w:iCs/>
          <w:sz w:val="24"/>
          <w:szCs w:val="24"/>
        </w:rPr>
        <w:t xml:space="preserve">In 2018, a study on newly installed water meters in Australia found </w:t>
      </w:r>
      <w:r w:rsidRPr="008073B3">
        <w:rPr>
          <w:rFonts w:cs="Arial"/>
          <w:bCs/>
          <w:iCs/>
          <w:sz w:val="24"/>
          <w:szCs w:val="24"/>
        </w:rPr>
        <w:t xml:space="preserve">that </w:t>
      </w:r>
      <w:r>
        <w:rPr>
          <w:rFonts w:cs="Arial"/>
          <w:bCs/>
          <w:iCs/>
          <w:sz w:val="24"/>
          <w:szCs w:val="24"/>
        </w:rPr>
        <w:t xml:space="preserve">they </w:t>
      </w:r>
      <w:r w:rsidRPr="008073B3">
        <w:rPr>
          <w:rFonts w:cs="Arial"/>
          <w:bCs/>
          <w:iCs/>
          <w:sz w:val="24"/>
          <w:szCs w:val="24"/>
        </w:rPr>
        <w:t>had the potential to leach lead above</w:t>
      </w:r>
      <w:r>
        <w:rPr>
          <w:rFonts w:cs="Arial"/>
          <w:bCs/>
          <w:iCs/>
          <w:sz w:val="24"/>
          <w:szCs w:val="24"/>
        </w:rPr>
        <w:t xml:space="preserve"> 10 </w:t>
      </w:r>
      <w:r w:rsidRPr="001465C2">
        <w:rPr>
          <w:rFonts w:cs="Arial"/>
          <w:color w:val="333333"/>
          <w:sz w:val="24"/>
          <w:szCs w:val="24"/>
          <w:shd w:val="clear" w:color="auto" w:fill="FFFFFF"/>
        </w:rPr>
        <w:t>μ</w:t>
      </w:r>
      <w:r>
        <w:rPr>
          <w:rFonts w:cs="Arial"/>
          <w:bCs/>
          <w:iCs/>
          <w:sz w:val="24"/>
          <w:szCs w:val="24"/>
        </w:rPr>
        <w:t>g/L.</w:t>
      </w:r>
      <w:r w:rsidRPr="008073B3">
        <w:rPr>
          <w:rFonts w:cs="Arial"/>
          <w:bCs/>
          <w:iCs/>
          <w:sz w:val="24"/>
          <w:szCs w:val="24"/>
        </w:rPr>
        <w:t xml:space="preserve"> </w:t>
      </w:r>
      <w:r>
        <w:rPr>
          <w:rFonts w:cs="Arial"/>
          <w:bCs/>
          <w:iCs/>
          <w:sz w:val="24"/>
          <w:szCs w:val="24"/>
        </w:rPr>
        <w:t>Stagnation time</w:t>
      </w:r>
      <w:r w:rsidRPr="008073B3">
        <w:rPr>
          <w:rFonts w:cs="Arial"/>
          <w:bCs/>
          <w:iCs/>
          <w:sz w:val="24"/>
          <w:szCs w:val="24"/>
        </w:rPr>
        <w:t xml:space="preserve"> and source water characteristics impacted the concentration of lead in first draw water</w:t>
      </w:r>
      <w:r>
        <w:rPr>
          <w:rFonts w:cs="Arial"/>
          <w:bCs/>
          <w:iCs/>
          <w:sz w:val="24"/>
          <w:szCs w:val="24"/>
        </w:rPr>
        <w:t>.</w:t>
      </w:r>
      <w:r>
        <w:rPr>
          <w:rStyle w:val="FootnoteReference"/>
          <w:rFonts w:cs="Arial"/>
          <w:bCs/>
          <w:iCs/>
          <w:sz w:val="24"/>
          <w:szCs w:val="24"/>
        </w:rPr>
        <w:footnoteReference w:id="82"/>
      </w:r>
      <w:r w:rsidRPr="008073B3">
        <w:rPr>
          <w:rFonts w:cs="Arial"/>
          <w:bCs/>
          <w:iCs/>
          <w:sz w:val="24"/>
          <w:szCs w:val="24"/>
        </w:rPr>
        <w:t xml:space="preserve"> </w:t>
      </w:r>
      <w:r>
        <w:rPr>
          <w:rFonts w:cs="Arial"/>
          <w:bCs/>
          <w:iCs/>
          <w:sz w:val="24"/>
          <w:szCs w:val="24"/>
        </w:rPr>
        <w:t xml:space="preserve">Lead levels were reduced to compliant levels following flushing. </w:t>
      </w:r>
    </w:p>
    <w:p w14:paraId="254CDAA3" w14:textId="77777777" w:rsidR="00442DC7" w:rsidRPr="008073B3" w:rsidRDefault="00442DC7" w:rsidP="008734AE">
      <w:pPr>
        <w:pStyle w:val="ListParagraph"/>
        <w:numPr>
          <w:ilvl w:val="0"/>
          <w:numId w:val="17"/>
        </w:numPr>
        <w:spacing w:line="360" w:lineRule="auto"/>
        <w:jc w:val="both"/>
        <w:rPr>
          <w:rFonts w:cs="Arial"/>
          <w:bCs/>
          <w:iCs/>
          <w:sz w:val="24"/>
          <w:szCs w:val="24"/>
        </w:rPr>
      </w:pPr>
      <w:r>
        <w:rPr>
          <w:rFonts w:cs="Arial"/>
          <w:bCs/>
          <w:iCs/>
          <w:sz w:val="24"/>
          <w:szCs w:val="24"/>
        </w:rPr>
        <w:t xml:space="preserve">In 2020, </w:t>
      </w:r>
      <w:r>
        <w:rPr>
          <w:rFonts w:cs="Arial"/>
          <w:sz w:val="24"/>
          <w:szCs w:val="24"/>
        </w:rPr>
        <w:t>a</w:t>
      </w:r>
      <w:r w:rsidRPr="00A76F61">
        <w:rPr>
          <w:rFonts w:cs="Arial"/>
          <w:sz w:val="24"/>
          <w:szCs w:val="24"/>
        </w:rPr>
        <w:t xml:space="preserve"> study conducted by TasWater collected in-premise first-draw samples (no prior flushing) from </w:t>
      </w:r>
      <w:r w:rsidRPr="003C62B5">
        <w:rPr>
          <w:rFonts w:cs="Arial"/>
          <w:sz w:val="24"/>
          <w:szCs w:val="24"/>
          <w:shd w:val="clear" w:color="auto" w:fill="FFFFFF" w:themeFill="background1"/>
        </w:rPr>
        <w:t>26 residences in Hobart.</w:t>
      </w:r>
      <w:r w:rsidRPr="00A76F61">
        <w:rPr>
          <w:rFonts w:cs="Arial"/>
          <w:sz w:val="24"/>
          <w:szCs w:val="24"/>
        </w:rPr>
        <w:t xml:space="preserve"> The results </w:t>
      </w:r>
      <w:r>
        <w:rPr>
          <w:rFonts w:cs="Arial"/>
          <w:sz w:val="24"/>
          <w:szCs w:val="24"/>
        </w:rPr>
        <w:t>found</w:t>
      </w:r>
      <w:r w:rsidRPr="00A76F61">
        <w:rPr>
          <w:rFonts w:cs="Arial"/>
          <w:sz w:val="24"/>
          <w:szCs w:val="24"/>
        </w:rPr>
        <w:t xml:space="preserve"> </w:t>
      </w:r>
      <w:r w:rsidRPr="00A76F61">
        <w:rPr>
          <w:rFonts w:cs="Arial"/>
          <w:sz w:val="24"/>
          <w:szCs w:val="24"/>
        </w:rPr>
        <w:lastRenderedPageBreak/>
        <w:t>that 15% of the residences exhibited lead levels greater than 10 µg/L</w:t>
      </w:r>
      <w:r>
        <w:rPr>
          <w:rFonts w:cs="Arial"/>
          <w:sz w:val="24"/>
          <w:szCs w:val="24"/>
        </w:rPr>
        <w:t xml:space="preserve">. </w:t>
      </w:r>
      <w:r w:rsidRPr="00A76F61">
        <w:rPr>
          <w:rFonts w:cs="Arial"/>
          <w:sz w:val="24"/>
          <w:szCs w:val="24"/>
        </w:rPr>
        <w:t>Exceeding samples ranged from 10.2 to 25 µg/L, with the highest being in a newly constructed property containing new plumbing materials</w:t>
      </w:r>
      <w:r>
        <w:rPr>
          <w:rFonts w:cs="Arial"/>
          <w:sz w:val="24"/>
          <w:szCs w:val="24"/>
        </w:rPr>
        <w:t>.</w:t>
      </w:r>
    </w:p>
    <w:p w14:paraId="106C5398" w14:textId="6FC6F14E" w:rsidR="00442DC7" w:rsidRDefault="00442DC7" w:rsidP="00812307">
      <w:pPr>
        <w:spacing w:line="360" w:lineRule="auto"/>
        <w:jc w:val="both"/>
        <w:rPr>
          <w:rFonts w:cs="Arial"/>
          <w:bCs/>
          <w:iCs/>
          <w:sz w:val="24"/>
          <w:szCs w:val="24"/>
        </w:rPr>
      </w:pPr>
      <w:r>
        <w:rPr>
          <w:rFonts w:cs="Arial"/>
          <w:bCs/>
          <w:iCs/>
          <w:sz w:val="24"/>
          <w:szCs w:val="24"/>
        </w:rPr>
        <w:t>Based on the limited data samples, the extent to which lead is leaching into drinking water in excess of that permitted by AS/NZS 4020 could be greater than or equal to 8% within the existing building stock</w:t>
      </w:r>
      <w:r w:rsidR="00B22235">
        <w:rPr>
          <w:rFonts w:cs="Arial"/>
          <w:bCs/>
          <w:iCs/>
          <w:sz w:val="24"/>
          <w:szCs w:val="24"/>
        </w:rPr>
        <w:t>,</w:t>
      </w:r>
      <w:r>
        <w:rPr>
          <w:rFonts w:cs="Arial"/>
          <w:bCs/>
          <w:iCs/>
          <w:sz w:val="24"/>
          <w:szCs w:val="24"/>
        </w:rPr>
        <w:t xml:space="preserve"> </w:t>
      </w:r>
      <w:r w:rsidR="00B22235">
        <w:rPr>
          <w:rFonts w:cs="Arial"/>
          <w:bCs/>
          <w:iCs/>
          <w:sz w:val="24"/>
          <w:szCs w:val="24"/>
        </w:rPr>
        <w:t>h</w:t>
      </w:r>
      <w:r>
        <w:rPr>
          <w:rFonts w:cs="Arial"/>
          <w:bCs/>
          <w:iCs/>
          <w:sz w:val="24"/>
          <w:szCs w:val="24"/>
        </w:rPr>
        <w:t>owever there is a high degree of uncertainty regarding the accuracy of this lower bound given the small sample size and limitations identified by the authors of the study. This was reflected by an Australian manufacturer (Enware) in response to the Consultation RIS:</w:t>
      </w:r>
    </w:p>
    <w:p w14:paraId="26CFA06C" w14:textId="77777777" w:rsidR="00442DC7" w:rsidRPr="003C62B5" w:rsidRDefault="00442DC7" w:rsidP="002D1E18">
      <w:pPr>
        <w:pStyle w:val="Quote"/>
        <w:spacing w:line="360" w:lineRule="auto"/>
        <w:ind w:right="862"/>
        <w:jc w:val="left"/>
      </w:pPr>
      <w:r w:rsidRPr="003C62B5">
        <w:t xml:space="preserve">“The CRIS widely cites a 2016 study that reports that 8% of 212 homes studied in NSW presented lead levels from drinking water outlets that exceeded the 10 µg/L standard, using this study to extrapolate more widely within the CRIS document the potential number of homes within the broader population likely to present elevated lead levels above the ADWG threshold due to in-line fittings containing lead.  </w:t>
      </w:r>
    </w:p>
    <w:p w14:paraId="064A1D8A" w14:textId="77777777" w:rsidR="00442DC7" w:rsidRPr="003C62B5" w:rsidRDefault="00442DC7" w:rsidP="002D1E18">
      <w:pPr>
        <w:pStyle w:val="Quote"/>
        <w:spacing w:line="360" w:lineRule="auto"/>
        <w:ind w:right="862"/>
        <w:jc w:val="left"/>
      </w:pPr>
      <w:r w:rsidRPr="003C62B5">
        <w:t xml:space="preserve">There are several limitations identified by the authors in this study and described therein. </w:t>
      </w:r>
    </w:p>
    <w:p w14:paraId="645BE37D" w14:textId="77777777" w:rsidR="00442DC7" w:rsidRPr="003C62B5" w:rsidRDefault="00442DC7" w:rsidP="002D1E18">
      <w:pPr>
        <w:pStyle w:val="Quote"/>
        <w:spacing w:line="360" w:lineRule="auto"/>
        <w:ind w:right="862"/>
        <w:jc w:val="left"/>
      </w:pPr>
      <w:r w:rsidRPr="003C62B5">
        <w:t>These include:</w:t>
      </w:r>
    </w:p>
    <w:p w14:paraId="343320A1" w14:textId="77777777" w:rsidR="00442DC7" w:rsidRPr="003C62B5" w:rsidRDefault="00442DC7" w:rsidP="002D1E18">
      <w:pPr>
        <w:pStyle w:val="Quote"/>
        <w:numPr>
          <w:ilvl w:val="0"/>
          <w:numId w:val="73"/>
        </w:numPr>
        <w:spacing w:line="360" w:lineRule="auto"/>
        <w:ind w:left="1276" w:right="862"/>
        <w:jc w:val="left"/>
      </w:pPr>
      <w:r w:rsidRPr="003C62B5">
        <w:t>Volunteer bias - based on the potential that volunteers may only respond to be included in the study when they suspect the quality of their drinking water to be poor (thus only the most contaminated samples are being analysed).</w:t>
      </w:r>
    </w:p>
    <w:p w14:paraId="2877A1BF" w14:textId="77777777" w:rsidR="00442DC7" w:rsidRPr="003C62B5" w:rsidRDefault="00442DC7" w:rsidP="002D1E18">
      <w:pPr>
        <w:pStyle w:val="Quote"/>
        <w:numPr>
          <w:ilvl w:val="0"/>
          <w:numId w:val="73"/>
        </w:numPr>
        <w:spacing w:line="360" w:lineRule="auto"/>
        <w:ind w:left="1276" w:right="862"/>
        <w:jc w:val="left"/>
      </w:pPr>
      <w:r w:rsidRPr="003C62B5">
        <w:t>Water source - the study did not examine the source of water supplying the individual properties (i.e. tank water, bore water, or infrastructure used to collect water (i.e. potential contributions from lead painted roofing)), making this a significant potential source of error in the findings.</w:t>
      </w:r>
    </w:p>
    <w:p w14:paraId="1084ED63" w14:textId="77777777" w:rsidR="00442DC7" w:rsidRPr="003C62B5" w:rsidRDefault="00442DC7" w:rsidP="002D1E18">
      <w:pPr>
        <w:pStyle w:val="Quote"/>
        <w:spacing w:line="360" w:lineRule="auto"/>
        <w:ind w:right="862"/>
        <w:jc w:val="left"/>
      </w:pPr>
      <w:r w:rsidRPr="003C62B5">
        <w:t xml:space="preserve">Other cited data include that from Sydney Water reporting that between 2000 and 2019 some 10% of complaints regarding household water quality were identified to result in a recorded lead concentration above 10 µg/L. These data are likely to significantly overestimate the magnitude of the problem at the broad household level due to samples being taken only in </w:t>
      </w:r>
      <w:r w:rsidRPr="003C62B5">
        <w:lastRenderedPageBreak/>
        <w:t>instances where an issue with the quality of the potable water supply was suspected.”</w:t>
      </w:r>
    </w:p>
    <w:p w14:paraId="5693B000" w14:textId="5AB62133" w:rsidR="00442DC7" w:rsidRDefault="00442DC7" w:rsidP="00812307">
      <w:pPr>
        <w:spacing w:line="360" w:lineRule="auto"/>
        <w:jc w:val="both"/>
        <w:rPr>
          <w:rFonts w:cs="Arial"/>
          <w:bCs/>
          <w:iCs/>
          <w:sz w:val="24"/>
          <w:szCs w:val="24"/>
        </w:rPr>
      </w:pPr>
      <w:r w:rsidRPr="003C62B5">
        <w:rPr>
          <w:sz w:val="24"/>
          <w:szCs w:val="24"/>
        </w:rPr>
        <w:t xml:space="preserve">The Consultation RIS acknowledged the limited availability of data and the benefits nationwide studies would have on standards setting bodies such as the ABCB. </w:t>
      </w:r>
      <w:r>
        <w:rPr>
          <w:sz w:val="24"/>
          <w:szCs w:val="24"/>
        </w:rPr>
        <w:t xml:space="preserve">Given the limitations, </w:t>
      </w:r>
      <w:r>
        <w:rPr>
          <w:rFonts w:cs="Arial"/>
          <w:bCs/>
          <w:iCs/>
          <w:sz w:val="24"/>
          <w:szCs w:val="24"/>
        </w:rPr>
        <w:t xml:space="preserve">the reported studies have not been used for the purposes of quantifying the benefits of each option considered in the impact analysis but rather presented as examples of recent studies examining the extent of the problem in Australia.  </w:t>
      </w:r>
    </w:p>
    <w:p w14:paraId="7AD3E350" w14:textId="77777777" w:rsidR="00442DC7" w:rsidRPr="003C62B5" w:rsidRDefault="00442DC7" w:rsidP="003C62B5">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30" w:after="130" w:line="360" w:lineRule="auto"/>
        <w:jc w:val="both"/>
        <w:rPr>
          <w:rFonts w:eastAsia="Times New Roman" w:cs="Arial"/>
          <w:color w:val="000000" w:themeColor="text1"/>
          <w:sz w:val="24"/>
          <w:szCs w:val="24"/>
        </w:rPr>
      </w:pPr>
      <w:bookmarkStart w:id="186" w:name="_Hlk50723476"/>
      <w:r w:rsidRPr="003C62B5">
        <w:rPr>
          <w:rFonts w:eastAsia="Times New Roman" w:cs="Arial"/>
          <w:color w:val="000000" w:themeColor="text1"/>
          <w:sz w:val="24"/>
          <w:szCs w:val="24"/>
        </w:rPr>
        <w:t xml:space="preserve">The Consultation RIS asked stakeholders whether they were aware of any studies on the </w:t>
      </w:r>
      <w:r w:rsidRPr="00A92F98">
        <w:rPr>
          <w:rFonts w:eastAsia="Times New Roman" w:cs="Arial"/>
          <w:color w:val="000000" w:themeColor="text1"/>
          <w:sz w:val="24"/>
          <w:szCs w:val="24"/>
        </w:rPr>
        <w:t>occurrence</w:t>
      </w:r>
      <w:r w:rsidRPr="003C62B5">
        <w:rPr>
          <w:rFonts w:eastAsia="Times New Roman" w:cs="Arial"/>
          <w:color w:val="000000" w:themeColor="text1"/>
          <w:sz w:val="24"/>
          <w:szCs w:val="24"/>
        </w:rPr>
        <w:t xml:space="preserve"> of lead leaching into Australian drinking water from within the premises and whether they had any data on the extent lead levels exceeded 10 μg/L in drinking water. </w:t>
      </w:r>
    </w:p>
    <w:p w14:paraId="2DC462CF" w14:textId="69D29606" w:rsidR="00442DC7" w:rsidRDefault="00442DC7" w:rsidP="003C62B5">
      <w:pPr>
        <w:spacing w:before="240" w:after="120" w:line="360" w:lineRule="auto"/>
        <w:jc w:val="both"/>
        <w:rPr>
          <w:rFonts w:cs="Arial"/>
          <w:sz w:val="24"/>
          <w:szCs w:val="24"/>
        </w:rPr>
      </w:pPr>
      <w:r>
        <w:rPr>
          <w:rFonts w:cs="Arial"/>
          <w:sz w:val="24"/>
          <w:szCs w:val="24"/>
        </w:rPr>
        <w:t>Three responses provided references to additional studies, which have been reflected in the Decision RIS.</w:t>
      </w:r>
    </w:p>
    <w:p w14:paraId="620F64A8" w14:textId="2ED43FF4" w:rsidR="00442DC7" w:rsidRDefault="00442DC7" w:rsidP="003C62B5">
      <w:pPr>
        <w:spacing w:after="120" w:line="360" w:lineRule="auto"/>
        <w:jc w:val="both"/>
        <w:rPr>
          <w:rFonts w:cs="Arial"/>
          <w:bCs/>
          <w:iCs/>
          <w:sz w:val="24"/>
          <w:szCs w:val="24"/>
        </w:rPr>
      </w:pPr>
      <w:r>
        <w:rPr>
          <w:rFonts w:cs="Arial"/>
          <w:sz w:val="24"/>
          <w:szCs w:val="24"/>
        </w:rPr>
        <w:t>Both enHealth and the NHMRC also suggested approaching WSAA for further information</w:t>
      </w:r>
      <w:r w:rsidR="00B22235">
        <w:rPr>
          <w:rFonts w:cs="Arial"/>
          <w:sz w:val="24"/>
          <w:szCs w:val="24"/>
        </w:rPr>
        <w:t>,</w:t>
      </w:r>
      <w:r>
        <w:rPr>
          <w:rFonts w:cs="Arial"/>
          <w:sz w:val="24"/>
          <w:szCs w:val="24"/>
        </w:rPr>
        <w:t xml:space="preserve"> </w:t>
      </w:r>
      <w:r w:rsidR="00B22235">
        <w:rPr>
          <w:rFonts w:cs="Arial"/>
          <w:sz w:val="24"/>
          <w:szCs w:val="24"/>
        </w:rPr>
        <w:t>h</w:t>
      </w:r>
      <w:r>
        <w:rPr>
          <w:rFonts w:cs="Arial"/>
          <w:sz w:val="24"/>
          <w:szCs w:val="24"/>
        </w:rPr>
        <w:t>owever WSAA</w:t>
      </w:r>
      <w:r w:rsidRPr="00C13527">
        <w:rPr>
          <w:rFonts w:cs="Arial"/>
          <w:sz w:val="24"/>
          <w:szCs w:val="24"/>
        </w:rPr>
        <w:t xml:space="preserve"> </w:t>
      </w:r>
      <w:r>
        <w:rPr>
          <w:rFonts w:cs="Arial"/>
          <w:sz w:val="24"/>
          <w:szCs w:val="24"/>
        </w:rPr>
        <w:t>advised through their submission to the Consultation RIS that they were not aware of any additional studies, noting that i</w:t>
      </w:r>
      <w:r w:rsidRPr="002E2BE7">
        <w:rPr>
          <w:rFonts w:cs="Arial"/>
          <w:sz w:val="24"/>
          <w:szCs w:val="24"/>
        </w:rPr>
        <w:t xml:space="preserve">n many cases water utilities contributed to the studies cited in the </w:t>
      </w:r>
      <w:r>
        <w:rPr>
          <w:rFonts w:cs="Arial"/>
          <w:sz w:val="24"/>
          <w:szCs w:val="24"/>
        </w:rPr>
        <w:t>Consultation RIS.</w:t>
      </w:r>
      <w:bookmarkEnd w:id="186"/>
    </w:p>
    <w:p w14:paraId="0395697C" w14:textId="77777777" w:rsidR="00442DC7" w:rsidRPr="000F113D" w:rsidRDefault="00442DC7" w:rsidP="00C755FF">
      <w:pPr>
        <w:pStyle w:val="Heading3"/>
        <w:spacing w:before="240" w:after="120"/>
        <w:rPr>
          <w:rFonts w:ascii="Arial" w:hAnsi="Arial" w:cs="Arial"/>
          <w:b w:val="0"/>
          <w:bCs w:val="0"/>
        </w:rPr>
      </w:pPr>
      <w:bookmarkStart w:id="187" w:name="_Toc47287760"/>
      <w:bookmarkStart w:id="188" w:name="_Toc47287901"/>
      <w:bookmarkStart w:id="189" w:name="_Toc53963041"/>
      <w:bookmarkStart w:id="190" w:name="_Toc70887797"/>
      <w:bookmarkStart w:id="191" w:name="_Toc71195748"/>
      <w:bookmarkStart w:id="192" w:name="_Toc71789275"/>
      <w:r w:rsidRPr="0011208C">
        <w:rPr>
          <w:rFonts w:ascii="Arial" w:hAnsi="Arial" w:cs="Arial"/>
          <w:b w:val="0"/>
          <w:bCs w:val="0"/>
        </w:rPr>
        <w:t>Health impacts of lead in drinking water</w:t>
      </w:r>
      <w:bookmarkEnd w:id="187"/>
      <w:bookmarkEnd w:id="188"/>
      <w:bookmarkEnd w:id="189"/>
      <w:bookmarkEnd w:id="190"/>
      <w:bookmarkEnd w:id="191"/>
      <w:bookmarkEnd w:id="192"/>
    </w:p>
    <w:p w14:paraId="15FC7578" w14:textId="77777777" w:rsidR="00442DC7" w:rsidRPr="00006839" w:rsidRDefault="00442DC7" w:rsidP="00712915">
      <w:pPr>
        <w:pStyle w:val="Heading4"/>
        <w:spacing w:after="120"/>
        <w:rPr>
          <w:rFonts w:ascii="Arial" w:hAnsi="Arial" w:cs="Arial"/>
          <w:b w:val="0"/>
          <w:bCs w:val="0"/>
          <w:sz w:val="24"/>
          <w:szCs w:val="24"/>
        </w:rPr>
      </w:pPr>
      <w:r w:rsidRPr="00006839">
        <w:rPr>
          <w:rFonts w:ascii="Arial" w:hAnsi="Arial" w:cs="Arial"/>
          <w:b w:val="0"/>
          <w:bCs w:val="0"/>
          <w:sz w:val="24"/>
          <w:szCs w:val="24"/>
        </w:rPr>
        <w:t>Globally</w:t>
      </w:r>
    </w:p>
    <w:p w14:paraId="113331A5" w14:textId="77777777" w:rsidR="00442DC7" w:rsidRPr="000F113D" w:rsidRDefault="00442DC7" w:rsidP="0085274D">
      <w:pPr>
        <w:spacing w:line="360" w:lineRule="auto"/>
        <w:jc w:val="both"/>
        <w:rPr>
          <w:rFonts w:cs="Arial"/>
          <w:sz w:val="24"/>
          <w:szCs w:val="24"/>
        </w:rPr>
      </w:pPr>
      <w:r w:rsidRPr="000F113D">
        <w:rPr>
          <w:rFonts w:cs="Arial"/>
          <w:sz w:val="24"/>
          <w:szCs w:val="24"/>
        </w:rPr>
        <w:t>The health consequences as a result of lead exposure both in Australia and internationally is significant. In 2004, 143,000 deaths and a loss of almost 9 million dis</w:t>
      </w:r>
      <w:r>
        <w:rPr>
          <w:rFonts w:cs="Arial"/>
          <w:sz w:val="24"/>
          <w:szCs w:val="24"/>
        </w:rPr>
        <w:t>ability</w:t>
      </w:r>
      <w:r w:rsidRPr="000F113D">
        <w:rPr>
          <w:rFonts w:cs="Arial"/>
          <w:sz w:val="24"/>
          <w:szCs w:val="24"/>
        </w:rPr>
        <w:t xml:space="preserve"> adjusted life years</w:t>
      </w:r>
      <w:r>
        <w:rPr>
          <w:rFonts w:cs="Arial"/>
          <w:sz w:val="24"/>
          <w:szCs w:val="24"/>
        </w:rPr>
        <w:t xml:space="preserve"> (DALYs)</w:t>
      </w:r>
      <w:r w:rsidRPr="000F113D">
        <w:rPr>
          <w:rFonts w:cs="Arial"/>
          <w:sz w:val="24"/>
          <w:szCs w:val="24"/>
        </w:rPr>
        <w:t xml:space="preserve"> were attributed to lead exposure worldwide,</w:t>
      </w:r>
      <w:r>
        <w:rPr>
          <w:rFonts w:cs="Arial"/>
          <w:sz w:val="24"/>
          <w:szCs w:val="24"/>
        </w:rPr>
        <w:t xml:space="preserve"> representing 0.6% of the total global burden of disease.</w:t>
      </w:r>
      <w:r>
        <w:rPr>
          <w:rStyle w:val="FootnoteReference"/>
          <w:rFonts w:cs="Arial"/>
          <w:sz w:val="24"/>
          <w:szCs w:val="24"/>
        </w:rPr>
        <w:footnoteReference w:id="83"/>
      </w:r>
      <w:r>
        <w:rPr>
          <w:rFonts w:cs="Arial"/>
          <w:sz w:val="24"/>
          <w:szCs w:val="24"/>
        </w:rPr>
        <w:t xml:space="preserve"> Health related consequences were </w:t>
      </w:r>
      <w:r w:rsidRPr="000F113D">
        <w:rPr>
          <w:rFonts w:cs="Arial"/>
          <w:sz w:val="24"/>
          <w:szCs w:val="24"/>
        </w:rPr>
        <w:t>primarily from lead-associated adult cardiovascular disease and mild intellectual disability in children.</w:t>
      </w:r>
      <w:r>
        <w:rPr>
          <w:rStyle w:val="FootnoteReference"/>
          <w:rFonts w:cs="Arial"/>
          <w:sz w:val="24"/>
          <w:szCs w:val="24"/>
        </w:rPr>
        <w:footnoteReference w:id="84"/>
      </w:r>
      <w:r w:rsidRPr="000F113D">
        <w:rPr>
          <w:rFonts w:cs="Arial"/>
          <w:sz w:val="24"/>
          <w:szCs w:val="24"/>
        </w:rPr>
        <w:t xml:space="preserve"> Epidemiological studies have</w:t>
      </w:r>
      <w:r>
        <w:rPr>
          <w:rFonts w:cs="Arial"/>
          <w:sz w:val="24"/>
          <w:szCs w:val="24"/>
        </w:rPr>
        <w:t xml:space="preserve"> </w:t>
      </w:r>
      <w:r w:rsidRPr="000F113D">
        <w:rPr>
          <w:rFonts w:cs="Arial"/>
          <w:sz w:val="24"/>
          <w:szCs w:val="24"/>
        </w:rPr>
        <w:t xml:space="preserve">also linked high </w:t>
      </w:r>
      <w:r>
        <w:rPr>
          <w:rFonts w:cs="Arial"/>
          <w:sz w:val="24"/>
          <w:szCs w:val="24"/>
        </w:rPr>
        <w:t xml:space="preserve">blood lead levels </w:t>
      </w:r>
      <w:r w:rsidRPr="000F113D">
        <w:rPr>
          <w:rFonts w:cs="Arial"/>
          <w:sz w:val="24"/>
          <w:szCs w:val="24"/>
        </w:rPr>
        <w:t xml:space="preserve">with cancer, stroke and hypertension. </w:t>
      </w:r>
    </w:p>
    <w:p w14:paraId="64B744B5" w14:textId="2B741B1C" w:rsidR="00442DC7" w:rsidRDefault="00442DC7" w:rsidP="003C62B5">
      <w:pPr>
        <w:spacing w:line="360" w:lineRule="auto"/>
        <w:jc w:val="both"/>
        <w:rPr>
          <w:rFonts w:eastAsiaTheme="majorEastAsia" w:cs="Arial"/>
          <w:iCs/>
          <w:color w:val="002060"/>
          <w:sz w:val="24"/>
          <w:szCs w:val="24"/>
        </w:rPr>
      </w:pPr>
      <w:r w:rsidRPr="000F113D">
        <w:rPr>
          <w:rFonts w:cs="Arial"/>
          <w:sz w:val="24"/>
          <w:szCs w:val="24"/>
        </w:rPr>
        <w:lastRenderedPageBreak/>
        <w:t>Fortunately, there is a global effort to reduce the amount of lead sources. This includes a sizeable reduction in lead exposure from lead-based paint, fuel and consumer goods</w:t>
      </w:r>
      <w:r>
        <w:rPr>
          <w:rFonts w:cs="Arial"/>
          <w:sz w:val="24"/>
          <w:szCs w:val="24"/>
        </w:rPr>
        <w:t xml:space="preserve"> such as toys, make-up and food</w:t>
      </w:r>
      <w:r w:rsidRPr="000F113D">
        <w:rPr>
          <w:rFonts w:cs="Arial"/>
          <w:sz w:val="24"/>
          <w:szCs w:val="24"/>
        </w:rPr>
        <w:t>.</w:t>
      </w:r>
      <w:r>
        <w:rPr>
          <w:rStyle w:val="FootnoteReference"/>
          <w:rFonts w:cs="Arial"/>
          <w:sz w:val="24"/>
          <w:szCs w:val="24"/>
        </w:rPr>
        <w:footnoteReference w:id="85"/>
      </w:r>
      <w:r w:rsidRPr="000F113D">
        <w:rPr>
          <w:rFonts w:cs="Arial"/>
          <w:sz w:val="24"/>
          <w:szCs w:val="24"/>
        </w:rPr>
        <w:t xml:space="preserve"> </w:t>
      </w:r>
    </w:p>
    <w:p w14:paraId="65D3D05C" w14:textId="77777777" w:rsidR="00442DC7" w:rsidRDefault="00442DC7" w:rsidP="003C62B5">
      <w:pPr>
        <w:spacing w:line="360" w:lineRule="auto"/>
        <w:jc w:val="both"/>
        <w:rPr>
          <w:rFonts w:eastAsiaTheme="majorEastAsia" w:cs="Arial"/>
          <w:iCs/>
          <w:color w:val="002060"/>
          <w:sz w:val="24"/>
          <w:szCs w:val="24"/>
        </w:rPr>
      </w:pPr>
      <w:r>
        <w:rPr>
          <w:rFonts w:cs="Arial"/>
          <w:sz w:val="24"/>
          <w:szCs w:val="24"/>
        </w:rPr>
        <w:t xml:space="preserve">Continued effort to reduce the consumption of lead was also reflected in </w:t>
      </w:r>
      <w:r w:rsidRPr="002A7C18">
        <w:rPr>
          <w:rFonts w:cs="Arial"/>
          <w:sz w:val="24"/>
          <w:szCs w:val="24"/>
        </w:rPr>
        <w:t>toxicological advice published by the Joint FAO/WHO Expert Reference Panel on Food Additives</w:t>
      </w:r>
      <w:r>
        <w:rPr>
          <w:rFonts w:cs="Arial"/>
          <w:sz w:val="24"/>
          <w:szCs w:val="24"/>
        </w:rPr>
        <w:t xml:space="preserve"> in 2011. This Panel identified negative impacts associated with </w:t>
      </w:r>
      <w:r w:rsidRPr="002A7C18">
        <w:rPr>
          <w:rFonts w:cs="Arial"/>
          <w:sz w:val="24"/>
          <w:szCs w:val="24"/>
        </w:rPr>
        <w:t xml:space="preserve">blood pressure and </w:t>
      </w:r>
      <w:r>
        <w:rPr>
          <w:rFonts w:cs="Arial"/>
          <w:sz w:val="24"/>
          <w:szCs w:val="24"/>
        </w:rPr>
        <w:t xml:space="preserve">reductions in </w:t>
      </w:r>
      <w:r w:rsidRPr="002A7C18">
        <w:rPr>
          <w:rFonts w:cs="Arial"/>
          <w:sz w:val="24"/>
          <w:szCs w:val="24"/>
        </w:rPr>
        <w:t xml:space="preserve">IQ from </w:t>
      </w:r>
      <w:r>
        <w:rPr>
          <w:rFonts w:cs="Arial"/>
          <w:sz w:val="24"/>
          <w:szCs w:val="24"/>
        </w:rPr>
        <w:t xml:space="preserve">dietary lead exposure. </w:t>
      </w:r>
      <w:r w:rsidRPr="002A7C18">
        <w:rPr>
          <w:rFonts w:cs="Arial"/>
          <w:sz w:val="24"/>
          <w:szCs w:val="24"/>
        </w:rPr>
        <w:t>Whilst this conclusion was based on lead from food</w:t>
      </w:r>
      <w:r>
        <w:rPr>
          <w:rFonts w:cs="Arial"/>
          <w:sz w:val="24"/>
          <w:szCs w:val="24"/>
        </w:rPr>
        <w:t xml:space="preserve">, the Panel also </w:t>
      </w:r>
      <w:r w:rsidRPr="002A7C18">
        <w:rPr>
          <w:rFonts w:cs="Arial"/>
          <w:sz w:val="24"/>
          <w:szCs w:val="24"/>
        </w:rPr>
        <w:t>recommended that other sources of exposure needed to be considered.</w:t>
      </w:r>
    </w:p>
    <w:p w14:paraId="09ED35E3" w14:textId="77777777" w:rsidR="00442DC7" w:rsidRDefault="00442DC7" w:rsidP="00712915">
      <w:pPr>
        <w:spacing w:after="120" w:line="360" w:lineRule="auto"/>
        <w:rPr>
          <w:rFonts w:eastAsiaTheme="majorEastAsia" w:cs="Arial"/>
          <w:iCs/>
          <w:color w:val="002060"/>
          <w:sz w:val="24"/>
          <w:szCs w:val="24"/>
        </w:rPr>
      </w:pPr>
      <w:r w:rsidRPr="001868C5">
        <w:rPr>
          <w:rFonts w:eastAsiaTheme="majorEastAsia" w:cs="Arial"/>
          <w:iCs/>
          <w:color w:val="002060"/>
          <w:sz w:val="24"/>
          <w:szCs w:val="24"/>
        </w:rPr>
        <w:t xml:space="preserve">Australia </w:t>
      </w:r>
    </w:p>
    <w:p w14:paraId="6C38FE7C" w14:textId="3D5E57DF" w:rsidR="00442DC7" w:rsidRPr="003B1079" w:rsidRDefault="00442DC7" w:rsidP="00766920">
      <w:pPr>
        <w:spacing w:line="360" w:lineRule="auto"/>
        <w:jc w:val="both"/>
        <w:rPr>
          <w:rFonts w:cs="Arial"/>
          <w:sz w:val="24"/>
          <w:szCs w:val="24"/>
        </w:rPr>
      </w:pPr>
      <w:bookmarkStart w:id="193" w:name="_Hlk50637036"/>
      <w:r w:rsidRPr="006379CF">
        <w:rPr>
          <w:rFonts w:cs="Arial"/>
          <w:sz w:val="24"/>
          <w:szCs w:val="24"/>
        </w:rPr>
        <w:t>Australia has achieved a</w:t>
      </w:r>
      <w:r>
        <w:rPr>
          <w:rFonts w:cs="Arial"/>
          <w:sz w:val="24"/>
          <w:szCs w:val="24"/>
        </w:rPr>
        <w:t xml:space="preserve"> 50% </w:t>
      </w:r>
      <w:r w:rsidRPr="006379CF">
        <w:rPr>
          <w:rFonts w:cs="Arial"/>
          <w:sz w:val="24"/>
          <w:szCs w:val="24"/>
        </w:rPr>
        <w:t>reduction in lead exposure since 1990.</w:t>
      </w:r>
      <w:r w:rsidRPr="006379CF">
        <w:rPr>
          <w:rFonts w:cs="Arial"/>
          <w:sz w:val="24"/>
          <w:szCs w:val="24"/>
          <w:vertAlign w:val="superscript"/>
        </w:rPr>
        <w:footnoteReference w:id="86"/>
      </w:r>
      <w:r w:rsidRPr="006379CF">
        <w:rPr>
          <w:rFonts w:cs="Arial"/>
          <w:sz w:val="24"/>
          <w:szCs w:val="24"/>
        </w:rPr>
        <w:t xml:space="preserve"> </w:t>
      </w:r>
      <w:r>
        <w:rPr>
          <w:rFonts w:cs="Arial"/>
          <w:sz w:val="24"/>
          <w:szCs w:val="24"/>
        </w:rPr>
        <w:t>This is largely due to interventions aimed at reducing the use of lead in commonly used products and consumables</w:t>
      </w:r>
      <w:bookmarkEnd w:id="193"/>
      <w:r>
        <w:rPr>
          <w:rFonts w:cs="Arial"/>
          <w:sz w:val="24"/>
          <w:szCs w:val="24"/>
        </w:rPr>
        <w:t xml:space="preserve">. </w:t>
      </w:r>
      <w:r w:rsidRPr="006379CF">
        <w:rPr>
          <w:rFonts w:cs="Arial"/>
          <w:sz w:val="24"/>
          <w:szCs w:val="24"/>
        </w:rPr>
        <w:t>Th</w:t>
      </w:r>
      <w:r>
        <w:rPr>
          <w:rFonts w:cs="Arial"/>
          <w:sz w:val="24"/>
          <w:szCs w:val="24"/>
        </w:rPr>
        <w:t>e reduction of lead related health effects</w:t>
      </w:r>
      <w:r w:rsidRPr="006379CF">
        <w:rPr>
          <w:rFonts w:cs="Arial"/>
          <w:sz w:val="24"/>
          <w:szCs w:val="24"/>
        </w:rPr>
        <w:t xml:space="preserve"> is shown in </w:t>
      </w:r>
      <w:r w:rsidRPr="00E2647B">
        <w:rPr>
          <w:rFonts w:cs="Arial"/>
          <w:sz w:val="24"/>
          <w:szCs w:val="24"/>
        </w:rPr>
        <w:fldChar w:fldCharType="begin"/>
      </w:r>
      <w:r w:rsidRPr="00E2647B">
        <w:rPr>
          <w:rFonts w:cs="Arial"/>
          <w:sz w:val="24"/>
          <w:szCs w:val="24"/>
        </w:rPr>
        <w:instrText xml:space="preserve"> REF _Ref51327833 \h </w:instrText>
      </w:r>
      <w:r>
        <w:rPr>
          <w:rFonts w:cs="Arial"/>
          <w:sz w:val="24"/>
          <w:szCs w:val="24"/>
        </w:rPr>
        <w:instrText xml:space="preserve"> \* MERGEFORMAT </w:instrText>
      </w:r>
      <w:r w:rsidRPr="00E2647B">
        <w:rPr>
          <w:rFonts w:cs="Arial"/>
          <w:sz w:val="24"/>
          <w:szCs w:val="24"/>
        </w:rPr>
      </w:r>
      <w:r w:rsidRPr="00E2647B">
        <w:rPr>
          <w:rFonts w:cs="Arial"/>
          <w:sz w:val="24"/>
          <w:szCs w:val="24"/>
        </w:rPr>
        <w:fldChar w:fldCharType="separate"/>
      </w:r>
      <w:r w:rsidRPr="001102FB">
        <w:rPr>
          <w:sz w:val="24"/>
          <w:szCs w:val="24"/>
        </w:rPr>
        <w:t xml:space="preserve">Figure </w:t>
      </w:r>
      <w:r w:rsidRPr="001102FB">
        <w:rPr>
          <w:noProof/>
          <w:sz w:val="24"/>
          <w:szCs w:val="24"/>
        </w:rPr>
        <w:t>5</w:t>
      </w:r>
      <w:r w:rsidRPr="00E2647B">
        <w:rPr>
          <w:rFonts w:cs="Arial"/>
          <w:sz w:val="24"/>
          <w:szCs w:val="24"/>
        </w:rPr>
        <w:fldChar w:fldCharType="end"/>
      </w:r>
      <w:r w:rsidRPr="006379CF">
        <w:rPr>
          <w:rFonts w:cs="Arial"/>
          <w:sz w:val="24"/>
          <w:szCs w:val="24"/>
        </w:rPr>
        <w:t>. Based on the</w:t>
      </w:r>
      <w:r>
        <w:rPr>
          <w:rFonts w:cs="Arial"/>
          <w:sz w:val="24"/>
          <w:szCs w:val="24"/>
        </w:rPr>
        <w:t xml:space="preserve"> current</w:t>
      </w:r>
      <w:r w:rsidRPr="006379CF">
        <w:rPr>
          <w:rFonts w:cs="Arial"/>
          <w:sz w:val="24"/>
          <w:szCs w:val="24"/>
        </w:rPr>
        <w:t xml:space="preserve"> trend, further reductions </w:t>
      </w:r>
      <w:r>
        <w:rPr>
          <w:rFonts w:cs="Arial"/>
          <w:sz w:val="24"/>
          <w:szCs w:val="24"/>
        </w:rPr>
        <w:t xml:space="preserve">could </w:t>
      </w:r>
      <w:r w:rsidRPr="006379CF">
        <w:rPr>
          <w:rFonts w:cs="Arial"/>
          <w:sz w:val="24"/>
          <w:szCs w:val="24"/>
        </w:rPr>
        <w:t xml:space="preserve">also </w:t>
      </w:r>
      <w:r>
        <w:rPr>
          <w:rFonts w:cs="Arial"/>
          <w:sz w:val="24"/>
          <w:szCs w:val="24"/>
        </w:rPr>
        <w:t xml:space="preserve">be </w:t>
      </w:r>
      <w:r w:rsidRPr="006379CF">
        <w:rPr>
          <w:rFonts w:cs="Arial"/>
          <w:sz w:val="24"/>
          <w:szCs w:val="24"/>
        </w:rPr>
        <w:t>expected over time.</w:t>
      </w:r>
    </w:p>
    <w:p w14:paraId="6187BDA7" w14:textId="34F19899" w:rsidR="00442DC7" w:rsidRDefault="00442DC7" w:rsidP="00953C5A">
      <w:bookmarkStart w:id="194" w:name="_Ref51327833"/>
      <w:bookmarkStart w:id="195" w:name="_Toc73028098"/>
      <w:r>
        <w:t xml:space="preserve">Figure </w:t>
      </w:r>
      <w:r w:rsidR="00362D62">
        <w:rPr>
          <w:noProof/>
        </w:rPr>
        <w:fldChar w:fldCharType="begin"/>
      </w:r>
      <w:r w:rsidR="00362D62">
        <w:rPr>
          <w:noProof/>
        </w:rPr>
        <w:instrText xml:space="preserve"> SEQ Figure \* ARABIC </w:instrText>
      </w:r>
      <w:r w:rsidR="00362D62">
        <w:rPr>
          <w:noProof/>
        </w:rPr>
        <w:fldChar w:fldCharType="separate"/>
      </w:r>
      <w:r>
        <w:rPr>
          <w:noProof/>
        </w:rPr>
        <w:t>5</w:t>
      </w:r>
      <w:r w:rsidR="00362D62">
        <w:rPr>
          <w:noProof/>
        </w:rPr>
        <w:fldChar w:fldCharType="end"/>
      </w:r>
      <w:bookmarkEnd w:id="194"/>
      <w:r>
        <w:t xml:space="preserve">: </w:t>
      </w:r>
      <w:r w:rsidRPr="00070AB2">
        <w:t xml:space="preserve">DALY rate (all ages) per 100,000 (1990 </w:t>
      </w:r>
      <w:r>
        <w:t>to</w:t>
      </w:r>
      <w:r w:rsidRPr="00070AB2">
        <w:t xml:space="preserve"> 201</w:t>
      </w:r>
      <w:r>
        <w:t>9</w:t>
      </w:r>
      <w:r w:rsidRPr="00070AB2">
        <w:t>)</w:t>
      </w:r>
      <w:bookmarkEnd w:id="195"/>
    </w:p>
    <w:p w14:paraId="2F838B02" w14:textId="01BE25A7" w:rsidR="00442DC7" w:rsidRDefault="00442DC7" w:rsidP="00BB66EA">
      <w:pPr>
        <w:spacing w:after="0"/>
        <w:rPr>
          <w:rFonts w:asciiTheme="minorHAnsi" w:hAnsiTheme="minorHAnsi" w:cstheme="minorHAnsi"/>
        </w:rPr>
      </w:pPr>
      <w:r>
        <w:rPr>
          <w:noProof/>
          <w:lang w:eastAsia="en-AU"/>
        </w:rPr>
        <w:drawing>
          <wp:inline distT="0" distB="0" distL="0" distR="0" wp14:anchorId="76B72AFE" wp14:editId="5E5B1603">
            <wp:extent cx="5553075" cy="3209925"/>
            <wp:effectExtent l="0" t="0" r="9525" b="9525"/>
            <wp:docPr id="1" name="Chart 1" descr="The chart disaplays the fall in the burden of disease of lead in Australia per 100 000 from 204.24 DALY in 1990 to 101.83 DALY in 2019." title="DALY Rate (all ages) per 100,000 population (1990 ro 201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35B10CBB-42AD-44F9-98B5-28A74BE1B4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4788F4F" w14:textId="77777777" w:rsidR="00442DC7" w:rsidRPr="00770852" w:rsidRDefault="00442DC7" w:rsidP="00656DA8">
      <w:pPr>
        <w:spacing w:line="360" w:lineRule="auto"/>
        <w:jc w:val="center"/>
        <w:rPr>
          <w:rFonts w:eastAsiaTheme="majorEastAsia" w:cs="Arial"/>
          <w:iCs/>
          <w:sz w:val="20"/>
          <w:szCs w:val="20"/>
        </w:rPr>
      </w:pPr>
      <w:r w:rsidRPr="00770852">
        <w:rPr>
          <w:rFonts w:eastAsiaTheme="majorEastAsia" w:cs="Arial"/>
          <w:iCs/>
          <w:sz w:val="20"/>
          <w:szCs w:val="20"/>
        </w:rPr>
        <w:t>Source: Global Burden of Disease Database – Institute for Health Metrics and Evaluation</w:t>
      </w:r>
    </w:p>
    <w:p w14:paraId="001EC3C3" w14:textId="77777777" w:rsidR="00442DC7" w:rsidRDefault="00442DC7" w:rsidP="00712915">
      <w:pPr>
        <w:spacing w:after="120" w:line="360" w:lineRule="auto"/>
        <w:jc w:val="both"/>
        <w:rPr>
          <w:rFonts w:eastAsiaTheme="majorEastAsia" w:cs="Arial"/>
          <w:iCs/>
          <w:color w:val="002060"/>
          <w:sz w:val="24"/>
          <w:szCs w:val="24"/>
        </w:rPr>
      </w:pPr>
      <w:r>
        <w:rPr>
          <w:rFonts w:eastAsiaTheme="majorEastAsia" w:cs="Arial"/>
          <w:iCs/>
          <w:color w:val="002060"/>
          <w:sz w:val="24"/>
          <w:szCs w:val="24"/>
        </w:rPr>
        <w:lastRenderedPageBreak/>
        <w:t>Blood Lead Levels in the Australian Population</w:t>
      </w:r>
    </w:p>
    <w:p w14:paraId="3748BF32" w14:textId="77777777" w:rsidR="00442DC7" w:rsidRPr="00DD41A6" w:rsidRDefault="00442DC7" w:rsidP="00DD41A6">
      <w:pPr>
        <w:spacing w:after="240" w:line="360" w:lineRule="auto"/>
        <w:jc w:val="both"/>
        <w:rPr>
          <w:rFonts w:eastAsiaTheme="majorEastAsia" w:cs="Arial"/>
          <w:iCs/>
          <w:sz w:val="24"/>
          <w:szCs w:val="24"/>
        </w:rPr>
      </w:pPr>
      <w:r w:rsidRPr="00DD41A6">
        <w:rPr>
          <w:rFonts w:eastAsiaTheme="majorEastAsia" w:cs="Arial"/>
          <w:iCs/>
          <w:sz w:val="24"/>
          <w:szCs w:val="24"/>
        </w:rPr>
        <w:t xml:space="preserve">Most people in Australia will have some level of lead in their blood because of the small amounts of lead found throughout the environment. Exposure to these small amounts of lead is considered to make up the ‘background’ level of exposure.  </w:t>
      </w:r>
    </w:p>
    <w:p w14:paraId="7CDBB335" w14:textId="77777777" w:rsidR="00442DC7" w:rsidRDefault="00442DC7" w:rsidP="00DD41A6">
      <w:pPr>
        <w:spacing w:after="240" w:line="360" w:lineRule="auto"/>
        <w:jc w:val="both"/>
        <w:rPr>
          <w:rFonts w:eastAsiaTheme="majorEastAsia" w:cs="Arial"/>
          <w:iCs/>
          <w:sz w:val="24"/>
          <w:szCs w:val="24"/>
        </w:rPr>
      </w:pPr>
      <w:r w:rsidRPr="00DD41A6">
        <w:rPr>
          <w:rFonts w:eastAsiaTheme="majorEastAsia" w:cs="Arial"/>
          <w:iCs/>
          <w:sz w:val="24"/>
          <w:szCs w:val="24"/>
        </w:rPr>
        <w:t xml:space="preserve">There are limited studies on </w:t>
      </w:r>
      <w:r>
        <w:rPr>
          <w:rFonts w:eastAsiaTheme="majorEastAsia" w:cs="Arial"/>
          <w:iCs/>
          <w:sz w:val="24"/>
          <w:szCs w:val="24"/>
        </w:rPr>
        <w:t>blood lead levels</w:t>
      </w:r>
      <w:r w:rsidRPr="00DD41A6">
        <w:rPr>
          <w:rFonts w:eastAsiaTheme="majorEastAsia" w:cs="Arial"/>
          <w:iCs/>
          <w:sz w:val="24"/>
          <w:szCs w:val="24"/>
        </w:rPr>
        <w:t xml:space="preserve"> </w:t>
      </w:r>
      <w:r>
        <w:rPr>
          <w:rFonts w:eastAsiaTheme="majorEastAsia" w:cs="Arial"/>
          <w:iCs/>
          <w:sz w:val="24"/>
          <w:szCs w:val="24"/>
        </w:rPr>
        <w:t>within</w:t>
      </w:r>
      <w:r w:rsidRPr="00DD41A6">
        <w:rPr>
          <w:rFonts w:eastAsiaTheme="majorEastAsia" w:cs="Arial"/>
          <w:iCs/>
          <w:sz w:val="24"/>
          <w:szCs w:val="24"/>
        </w:rPr>
        <w:t xml:space="preserve"> the Australian population</w:t>
      </w:r>
      <w:r>
        <w:rPr>
          <w:rFonts w:eastAsiaTheme="majorEastAsia" w:cs="Arial"/>
          <w:iCs/>
          <w:sz w:val="24"/>
          <w:szCs w:val="24"/>
        </w:rPr>
        <w:t>. No such studies have been undertaken on the extent lead in drinking water contributes to blood lead levels as s</w:t>
      </w:r>
      <w:r w:rsidRPr="00DD41A6">
        <w:rPr>
          <w:rFonts w:eastAsiaTheme="majorEastAsia" w:cs="Arial"/>
          <w:iCs/>
          <w:sz w:val="24"/>
          <w:szCs w:val="24"/>
        </w:rPr>
        <w:t>tudies a</w:t>
      </w:r>
      <w:r>
        <w:rPr>
          <w:rFonts w:eastAsiaTheme="majorEastAsia" w:cs="Arial"/>
          <w:iCs/>
          <w:sz w:val="24"/>
          <w:szCs w:val="24"/>
        </w:rPr>
        <w:t>re typically focused on populations with exposure through other means, such as residing in close proximity to lead smelters or working in industries involving the use of lead.</w:t>
      </w:r>
    </w:p>
    <w:p w14:paraId="137702E0" w14:textId="77777777" w:rsidR="00442DC7" w:rsidRPr="00656DA8" w:rsidRDefault="00442DC7" w:rsidP="00656DA8">
      <w:pPr>
        <w:spacing w:after="240" w:line="360" w:lineRule="auto"/>
        <w:jc w:val="both"/>
        <w:rPr>
          <w:rFonts w:eastAsiaTheme="majorEastAsia" w:cs="Arial"/>
          <w:iCs/>
          <w:sz w:val="24"/>
          <w:szCs w:val="24"/>
        </w:rPr>
      </w:pPr>
      <w:r>
        <w:rPr>
          <w:rFonts w:eastAsiaTheme="majorEastAsia" w:cs="Arial"/>
          <w:iCs/>
          <w:sz w:val="24"/>
          <w:szCs w:val="24"/>
        </w:rPr>
        <w:t>Two Victorian studies provide an indication of blood lead levels in children and in adults in the general population.</w:t>
      </w:r>
    </w:p>
    <w:p w14:paraId="57B60059" w14:textId="77777777" w:rsidR="00442DC7" w:rsidRPr="00364D82" w:rsidRDefault="00442DC7" w:rsidP="00712915">
      <w:pPr>
        <w:spacing w:after="120" w:line="360" w:lineRule="auto"/>
        <w:jc w:val="both"/>
        <w:rPr>
          <w:rFonts w:cs="Arial"/>
          <w:bCs/>
          <w:color w:val="002060"/>
          <w:sz w:val="24"/>
          <w:szCs w:val="24"/>
        </w:rPr>
      </w:pPr>
      <w:r w:rsidRPr="00364D82">
        <w:rPr>
          <w:rFonts w:cs="Arial"/>
          <w:bCs/>
          <w:color w:val="002060"/>
          <w:sz w:val="24"/>
          <w:szCs w:val="24"/>
        </w:rPr>
        <w:t>Adults</w:t>
      </w:r>
    </w:p>
    <w:p w14:paraId="7C384047" w14:textId="77777777" w:rsidR="00442DC7" w:rsidRDefault="00442DC7" w:rsidP="00606555">
      <w:pPr>
        <w:spacing w:line="360" w:lineRule="auto"/>
        <w:jc w:val="both"/>
        <w:rPr>
          <w:rFonts w:cs="Arial"/>
          <w:bCs/>
          <w:sz w:val="24"/>
          <w:szCs w:val="24"/>
        </w:rPr>
      </w:pPr>
      <w:r w:rsidRPr="00EF4B25">
        <w:rPr>
          <w:rFonts w:cs="Arial"/>
          <w:bCs/>
          <w:sz w:val="24"/>
          <w:szCs w:val="24"/>
        </w:rPr>
        <w:t>In 2013, the results of a population</w:t>
      </w:r>
      <w:r w:rsidRPr="00EF4B25">
        <w:rPr>
          <w:rFonts w:ascii="Cambria Math" w:hAnsi="Cambria Math" w:cs="Cambria Math"/>
          <w:bCs/>
          <w:sz w:val="24"/>
          <w:szCs w:val="24"/>
        </w:rPr>
        <w:t>‐</w:t>
      </w:r>
      <w:r w:rsidRPr="00EF4B25">
        <w:rPr>
          <w:rFonts w:cs="Arial"/>
          <w:bCs/>
          <w:sz w:val="24"/>
          <w:szCs w:val="24"/>
        </w:rPr>
        <w:t>based cross</w:t>
      </w:r>
      <w:r w:rsidRPr="00EF4B25">
        <w:rPr>
          <w:rFonts w:ascii="Cambria Math" w:hAnsi="Cambria Math" w:cs="Cambria Math"/>
          <w:bCs/>
          <w:sz w:val="24"/>
          <w:szCs w:val="24"/>
        </w:rPr>
        <w:t>‐</w:t>
      </w:r>
      <w:r w:rsidRPr="00EF4B25">
        <w:rPr>
          <w:rFonts w:cs="Arial"/>
          <w:bCs/>
          <w:sz w:val="24"/>
          <w:szCs w:val="24"/>
        </w:rPr>
        <w:t>sectional health measurement survey of 3,622 adults in Victoria between 2009 and 2010 revealed that the geometric mean and median</w:t>
      </w:r>
      <w:r>
        <w:rPr>
          <w:rFonts w:cs="Arial"/>
          <w:bCs/>
          <w:sz w:val="24"/>
          <w:szCs w:val="24"/>
        </w:rPr>
        <w:t xml:space="preserve"> blood lead levels</w:t>
      </w:r>
      <w:r w:rsidRPr="00EF4B25">
        <w:rPr>
          <w:rFonts w:cs="Arial"/>
          <w:bCs/>
          <w:sz w:val="24"/>
          <w:szCs w:val="24"/>
        </w:rPr>
        <w:t xml:space="preserve"> from the adult (18 years – 75 years) sample were 1.45 μg/dL and 1.04 μg/dL respectively. Elevated </w:t>
      </w:r>
      <w:r>
        <w:rPr>
          <w:rFonts w:cs="Arial"/>
          <w:bCs/>
          <w:sz w:val="24"/>
          <w:szCs w:val="24"/>
        </w:rPr>
        <w:t>blood lead level</w:t>
      </w:r>
      <w:r w:rsidRPr="00EF4B25">
        <w:rPr>
          <w:rFonts w:cs="Arial"/>
          <w:bCs/>
          <w:sz w:val="24"/>
          <w:szCs w:val="24"/>
        </w:rPr>
        <w:t xml:space="preserve">s (≥ 10 μg/dL) were identified in 0.7% </w:t>
      </w:r>
      <w:r>
        <w:rPr>
          <w:rFonts w:cs="Arial"/>
          <w:bCs/>
          <w:sz w:val="24"/>
          <w:szCs w:val="24"/>
        </w:rPr>
        <w:t xml:space="preserve">of </w:t>
      </w:r>
      <w:r w:rsidRPr="00EF4B25">
        <w:rPr>
          <w:rFonts w:cs="Arial"/>
          <w:bCs/>
          <w:sz w:val="24"/>
          <w:szCs w:val="24"/>
        </w:rPr>
        <w:t xml:space="preserve">participants. Additionally, 1.8% of participants were identified with </w:t>
      </w:r>
      <w:r>
        <w:rPr>
          <w:rFonts w:cs="Arial"/>
          <w:bCs/>
          <w:sz w:val="24"/>
          <w:szCs w:val="24"/>
        </w:rPr>
        <w:t>blood lead level</w:t>
      </w:r>
      <w:r w:rsidRPr="00EF4B25">
        <w:rPr>
          <w:rFonts w:cs="Arial"/>
          <w:bCs/>
          <w:sz w:val="24"/>
          <w:szCs w:val="24"/>
        </w:rPr>
        <w:t>s between 5 to &lt;</w:t>
      </w:r>
      <w:r>
        <w:rPr>
          <w:rFonts w:cs="Arial"/>
          <w:bCs/>
          <w:sz w:val="24"/>
          <w:szCs w:val="24"/>
        </w:rPr>
        <w:t> </w:t>
      </w:r>
      <w:r w:rsidRPr="00EF4B25">
        <w:rPr>
          <w:rFonts w:cs="Arial"/>
          <w:bCs/>
          <w:sz w:val="24"/>
          <w:szCs w:val="24"/>
        </w:rPr>
        <w:t xml:space="preserve">10 μg/dL. </w:t>
      </w:r>
      <w:r>
        <w:rPr>
          <w:rFonts w:cs="Arial"/>
          <w:bCs/>
          <w:sz w:val="24"/>
          <w:szCs w:val="24"/>
        </w:rPr>
        <w:t>These results are shown in Table 2</w:t>
      </w:r>
      <w:r w:rsidRPr="00787B60">
        <w:rPr>
          <w:rFonts w:cs="Arial"/>
          <w:bCs/>
          <w:sz w:val="24"/>
          <w:szCs w:val="24"/>
        </w:rPr>
        <w:t>.</w:t>
      </w:r>
      <w:r>
        <w:rPr>
          <w:rFonts w:cs="Arial"/>
          <w:bCs/>
          <w:sz w:val="24"/>
          <w:szCs w:val="24"/>
        </w:rPr>
        <w:t xml:space="preserve"> </w:t>
      </w:r>
      <w:r w:rsidRPr="00EF4B25">
        <w:rPr>
          <w:rFonts w:cs="Arial"/>
          <w:bCs/>
          <w:sz w:val="24"/>
          <w:szCs w:val="24"/>
        </w:rPr>
        <w:t xml:space="preserve">The geometric mean </w:t>
      </w:r>
      <w:r>
        <w:rPr>
          <w:rFonts w:cs="Arial"/>
          <w:bCs/>
          <w:sz w:val="24"/>
          <w:szCs w:val="24"/>
        </w:rPr>
        <w:t>blood lead level</w:t>
      </w:r>
      <w:r w:rsidRPr="00EF4B25">
        <w:rPr>
          <w:rFonts w:cs="Arial"/>
          <w:bCs/>
          <w:sz w:val="24"/>
          <w:szCs w:val="24"/>
        </w:rPr>
        <w:t xml:space="preserve"> was significantly higher for males, compared with females. </w:t>
      </w:r>
      <w:r>
        <w:rPr>
          <w:rFonts w:cs="Arial"/>
          <w:bCs/>
          <w:sz w:val="24"/>
          <w:szCs w:val="24"/>
        </w:rPr>
        <w:t>Blood lead level</w:t>
      </w:r>
      <w:r w:rsidRPr="00EF4B25">
        <w:rPr>
          <w:rFonts w:cs="Arial"/>
          <w:bCs/>
          <w:sz w:val="24"/>
          <w:szCs w:val="24"/>
        </w:rPr>
        <w:t>s increased significantly with age for both sexes</w:t>
      </w:r>
      <w:r>
        <w:rPr>
          <w:rFonts w:cs="Arial"/>
          <w:bCs/>
          <w:sz w:val="24"/>
          <w:szCs w:val="24"/>
        </w:rPr>
        <w:t xml:space="preserve"> reflecting the cumulative effect of lead entering the body</w:t>
      </w:r>
      <w:r w:rsidRPr="00EF4B25">
        <w:rPr>
          <w:rFonts w:cs="Arial"/>
          <w:bCs/>
          <w:sz w:val="24"/>
          <w:szCs w:val="24"/>
        </w:rPr>
        <w:t>.</w:t>
      </w:r>
      <w:r w:rsidRPr="00EF4B25">
        <w:rPr>
          <w:bCs/>
          <w:vertAlign w:val="superscript"/>
        </w:rPr>
        <w:footnoteReference w:id="87"/>
      </w:r>
    </w:p>
    <w:p w14:paraId="6EFA112B" w14:textId="6639C634" w:rsidR="00442DC7" w:rsidRDefault="00442DC7" w:rsidP="00DA119A">
      <w:pPr>
        <w:pStyle w:val="Caption"/>
      </w:pPr>
      <w:bookmarkStart w:id="196" w:name="_Toc73091860"/>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2</w:t>
      </w:r>
      <w:r w:rsidR="00362D62">
        <w:rPr>
          <w:noProof/>
        </w:rPr>
        <w:fldChar w:fldCharType="end"/>
      </w:r>
      <w:r w:rsidRPr="000326FF">
        <w:t>: Blood lead levels in Victorian adults (2009 to 2010)</w:t>
      </w:r>
      <w:bookmarkEnd w:id="196"/>
    </w:p>
    <w:tbl>
      <w:tblPr>
        <w:tblStyle w:val="TableGrid"/>
        <w:tblW w:w="0" w:type="auto"/>
        <w:jc w:val="center"/>
        <w:tblLook w:val="04A0" w:firstRow="1" w:lastRow="0" w:firstColumn="1" w:lastColumn="0" w:noHBand="0" w:noVBand="1"/>
        <w:tblCaption w:val="Table 2: Blood lead levels in Victorian Adults (2009 - 2010)"/>
        <w:tblDescription w:val="This table summarises the findings of Kelsall, L.M et al. (2013) which conducted a study of blood lead levels within the adult population in Victoria."/>
      </w:tblPr>
      <w:tblGrid>
        <w:gridCol w:w="1385"/>
        <w:gridCol w:w="1934"/>
        <w:gridCol w:w="1780"/>
        <w:gridCol w:w="1981"/>
        <w:gridCol w:w="1936"/>
      </w:tblGrid>
      <w:tr w:rsidR="00442DC7" w14:paraId="7A6BEEC8" w14:textId="77777777" w:rsidTr="00C21D51">
        <w:trPr>
          <w:tblHeader/>
          <w:jc w:val="center"/>
        </w:trPr>
        <w:tc>
          <w:tcPr>
            <w:tcW w:w="1385" w:type="dxa"/>
            <w:shd w:val="clear" w:color="auto" w:fill="002060"/>
          </w:tcPr>
          <w:p w14:paraId="4379C9FD" w14:textId="77777777" w:rsidR="00442DC7" w:rsidRPr="00732672" w:rsidRDefault="00442DC7" w:rsidP="00732672">
            <w:pPr>
              <w:spacing w:line="360" w:lineRule="auto"/>
              <w:jc w:val="center"/>
              <w:rPr>
                <w:rFonts w:cs="Arial"/>
                <w:bCs/>
                <w:color w:val="FFFFFF" w:themeColor="background1"/>
                <w:sz w:val="24"/>
                <w:szCs w:val="24"/>
              </w:rPr>
            </w:pPr>
            <w:bookmarkStart w:id="197" w:name="_Hlk48560525"/>
            <w:r w:rsidRPr="00732672">
              <w:rPr>
                <w:rFonts w:cs="Arial"/>
                <w:bCs/>
                <w:color w:val="FFFFFF" w:themeColor="background1"/>
                <w:sz w:val="24"/>
                <w:szCs w:val="24"/>
              </w:rPr>
              <w:t>Sample</w:t>
            </w:r>
          </w:p>
        </w:tc>
        <w:tc>
          <w:tcPr>
            <w:tcW w:w="1934" w:type="dxa"/>
            <w:shd w:val="clear" w:color="auto" w:fill="002060"/>
          </w:tcPr>
          <w:p w14:paraId="3246C7ED" w14:textId="77777777" w:rsidR="00442DC7" w:rsidRPr="00732672" w:rsidRDefault="00442DC7" w:rsidP="00732672">
            <w:pPr>
              <w:spacing w:line="360" w:lineRule="auto"/>
              <w:jc w:val="center"/>
              <w:rPr>
                <w:rFonts w:cs="Arial"/>
                <w:bCs/>
                <w:color w:val="FFFFFF" w:themeColor="background1"/>
                <w:sz w:val="24"/>
                <w:szCs w:val="24"/>
              </w:rPr>
            </w:pPr>
            <w:r w:rsidRPr="00732672">
              <w:rPr>
                <w:rFonts w:cs="Arial"/>
                <w:bCs/>
                <w:color w:val="FFFFFF" w:themeColor="background1"/>
                <w:sz w:val="24"/>
                <w:szCs w:val="24"/>
              </w:rPr>
              <w:t xml:space="preserve">Geometric </w:t>
            </w:r>
            <w:r>
              <w:rPr>
                <w:rFonts w:cs="Arial"/>
                <w:bCs/>
                <w:color w:val="FFFFFF" w:themeColor="background1"/>
                <w:sz w:val="24"/>
                <w:szCs w:val="24"/>
              </w:rPr>
              <w:t>m</w:t>
            </w:r>
            <w:r w:rsidRPr="00732672">
              <w:rPr>
                <w:rFonts w:cs="Arial"/>
                <w:bCs/>
                <w:color w:val="FFFFFF" w:themeColor="background1"/>
                <w:sz w:val="24"/>
                <w:szCs w:val="24"/>
              </w:rPr>
              <w:t>ean</w:t>
            </w:r>
            <w:r>
              <w:rPr>
                <w:rFonts w:cs="Arial"/>
                <w:bCs/>
                <w:color w:val="FFFFFF" w:themeColor="background1"/>
                <w:sz w:val="24"/>
                <w:szCs w:val="24"/>
              </w:rPr>
              <w:t xml:space="preserve"> (</w:t>
            </w:r>
            <w:r w:rsidRPr="00732672">
              <w:rPr>
                <w:rFonts w:cs="Arial"/>
                <w:bCs/>
                <w:color w:val="FFFFFF" w:themeColor="background1"/>
                <w:sz w:val="24"/>
                <w:szCs w:val="24"/>
              </w:rPr>
              <w:t>μg/dL</w:t>
            </w:r>
            <w:r>
              <w:rPr>
                <w:rFonts w:cs="Arial"/>
                <w:bCs/>
                <w:color w:val="FFFFFF" w:themeColor="background1"/>
                <w:sz w:val="24"/>
                <w:szCs w:val="24"/>
              </w:rPr>
              <w:t>)</w:t>
            </w:r>
          </w:p>
        </w:tc>
        <w:tc>
          <w:tcPr>
            <w:tcW w:w="1780" w:type="dxa"/>
            <w:shd w:val="clear" w:color="auto" w:fill="002060"/>
          </w:tcPr>
          <w:p w14:paraId="6070A0D8" w14:textId="77777777" w:rsidR="00442DC7" w:rsidRDefault="00442DC7" w:rsidP="00732672">
            <w:pPr>
              <w:spacing w:line="360" w:lineRule="auto"/>
              <w:jc w:val="center"/>
              <w:rPr>
                <w:rFonts w:cs="Arial"/>
                <w:bCs/>
                <w:color w:val="FFFFFF" w:themeColor="background1"/>
                <w:sz w:val="24"/>
                <w:szCs w:val="24"/>
              </w:rPr>
            </w:pPr>
            <w:r w:rsidRPr="00732672">
              <w:rPr>
                <w:rFonts w:cs="Arial"/>
                <w:bCs/>
                <w:color w:val="FFFFFF" w:themeColor="background1"/>
                <w:sz w:val="24"/>
                <w:szCs w:val="24"/>
              </w:rPr>
              <w:t>Median BLL</w:t>
            </w:r>
          </w:p>
          <w:p w14:paraId="5BD75ED3" w14:textId="77777777" w:rsidR="00442DC7" w:rsidRPr="00732672" w:rsidRDefault="00442DC7" w:rsidP="00732672">
            <w:pPr>
              <w:spacing w:line="360" w:lineRule="auto"/>
              <w:jc w:val="center"/>
              <w:rPr>
                <w:rFonts w:cs="Arial"/>
                <w:bCs/>
                <w:color w:val="FFFFFF" w:themeColor="background1"/>
                <w:sz w:val="24"/>
                <w:szCs w:val="24"/>
              </w:rPr>
            </w:pPr>
            <w:r>
              <w:rPr>
                <w:rFonts w:cs="Arial"/>
                <w:bCs/>
                <w:sz w:val="24"/>
                <w:szCs w:val="24"/>
              </w:rPr>
              <w:t>(</w:t>
            </w:r>
            <w:r w:rsidRPr="00EF4B25">
              <w:rPr>
                <w:rFonts w:cs="Arial"/>
                <w:bCs/>
                <w:sz w:val="24"/>
                <w:szCs w:val="24"/>
              </w:rPr>
              <w:t>μg/dL</w:t>
            </w:r>
            <w:r>
              <w:rPr>
                <w:rFonts w:cs="Arial"/>
                <w:bCs/>
                <w:sz w:val="24"/>
                <w:szCs w:val="24"/>
              </w:rPr>
              <w:t>)</w:t>
            </w:r>
          </w:p>
        </w:tc>
        <w:tc>
          <w:tcPr>
            <w:tcW w:w="1981" w:type="dxa"/>
            <w:shd w:val="clear" w:color="auto" w:fill="002060"/>
          </w:tcPr>
          <w:p w14:paraId="705DB51E" w14:textId="77777777" w:rsidR="00442DC7" w:rsidRPr="00732672" w:rsidRDefault="00442DC7" w:rsidP="00732672">
            <w:pPr>
              <w:spacing w:line="360" w:lineRule="auto"/>
              <w:jc w:val="center"/>
              <w:rPr>
                <w:rFonts w:cs="Arial"/>
                <w:bCs/>
                <w:color w:val="FFFFFF" w:themeColor="background1"/>
                <w:sz w:val="24"/>
                <w:szCs w:val="24"/>
              </w:rPr>
            </w:pPr>
            <w:r w:rsidRPr="00EF4B25">
              <w:rPr>
                <w:rFonts w:cs="Arial"/>
                <w:bCs/>
                <w:sz w:val="24"/>
                <w:szCs w:val="24"/>
              </w:rPr>
              <w:t>5 to &lt;</w:t>
            </w:r>
            <w:r>
              <w:rPr>
                <w:rFonts w:cs="Arial"/>
                <w:bCs/>
                <w:sz w:val="24"/>
                <w:szCs w:val="24"/>
              </w:rPr>
              <w:t xml:space="preserve"> </w:t>
            </w:r>
            <w:r w:rsidRPr="00EF4B25">
              <w:rPr>
                <w:rFonts w:cs="Arial"/>
                <w:bCs/>
                <w:sz w:val="24"/>
                <w:szCs w:val="24"/>
              </w:rPr>
              <w:t>10 μg/dL</w:t>
            </w:r>
          </w:p>
        </w:tc>
        <w:tc>
          <w:tcPr>
            <w:tcW w:w="1936" w:type="dxa"/>
            <w:shd w:val="clear" w:color="auto" w:fill="002060"/>
          </w:tcPr>
          <w:p w14:paraId="55FA3263" w14:textId="77777777" w:rsidR="00442DC7" w:rsidRPr="00EF4B25" w:rsidRDefault="00442DC7" w:rsidP="00732672">
            <w:pPr>
              <w:spacing w:line="360" w:lineRule="auto"/>
              <w:jc w:val="center"/>
              <w:rPr>
                <w:rFonts w:cs="Arial"/>
                <w:bCs/>
                <w:sz w:val="24"/>
                <w:szCs w:val="24"/>
              </w:rPr>
            </w:pPr>
            <w:r w:rsidRPr="00732672">
              <w:rPr>
                <w:rFonts w:cs="Arial"/>
                <w:bCs/>
                <w:sz w:val="24"/>
                <w:szCs w:val="24"/>
              </w:rPr>
              <w:t>≥ 10 μg/dL</w:t>
            </w:r>
          </w:p>
        </w:tc>
      </w:tr>
      <w:tr w:rsidR="00442DC7" w14:paraId="3D4C8759" w14:textId="77777777" w:rsidTr="0037076E">
        <w:trPr>
          <w:jc w:val="center"/>
        </w:trPr>
        <w:tc>
          <w:tcPr>
            <w:tcW w:w="1385" w:type="dxa"/>
          </w:tcPr>
          <w:p w14:paraId="19B4614D" w14:textId="77777777" w:rsidR="00442DC7" w:rsidRPr="00732672" w:rsidRDefault="00442DC7" w:rsidP="00732672">
            <w:pPr>
              <w:spacing w:line="360" w:lineRule="auto"/>
              <w:jc w:val="center"/>
              <w:rPr>
                <w:rFonts w:cs="Arial"/>
                <w:bCs/>
                <w:color w:val="000000" w:themeColor="text1"/>
                <w:sz w:val="24"/>
                <w:szCs w:val="24"/>
              </w:rPr>
            </w:pPr>
            <w:r w:rsidRPr="00732672">
              <w:rPr>
                <w:rFonts w:cs="Arial"/>
                <w:bCs/>
                <w:color w:val="000000" w:themeColor="text1"/>
                <w:sz w:val="24"/>
                <w:szCs w:val="24"/>
              </w:rPr>
              <w:t>3,622</w:t>
            </w:r>
          </w:p>
        </w:tc>
        <w:tc>
          <w:tcPr>
            <w:tcW w:w="1934" w:type="dxa"/>
          </w:tcPr>
          <w:p w14:paraId="38057727" w14:textId="77777777" w:rsidR="00442DC7" w:rsidRPr="00732672" w:rsidRDefault="00442DC7" w:rsidP="00732672">
            <w:pPr>
              <w:spacing w:line="360" w:lineRule="auto"/>
              <w:jc w:val="center"/>
              <w:rPr>
                <w:rFonts w:cs="Arial"/>
                <w:bCs/>
                <w:color w:val="000000" w:themeColor="text1"/>
                <w:sz w:val="24"/>
                <w:szCs w:val="24"/>
              </w:rPr>
            </w:pPr>
            <w:r w:rsidRPr="00732672">
              <w:rPr>
                <w:rFonts w:cs="Arial"/>
                <w:bCs/>
                <w:color w:val="000000" w:themeColor="text1"/>
                <w:sz w:val="24"/>
                <w:szCs w:val="24"/>
              </w:rPr>
              <w:t>1.45</w:t>
            </w:r>
          </w:p>
        </w:tc>
        <w:tc>
          <w:tcPr>
            <w:tcW w:w="1780" w:type="dxa"/>
          </w:tcPr>
          <w:p w14:paraId="44B8E524" w14:textId="77777777" w:rsidR="00442DC7" w:rsidRPr="00732672" w:rsidRDefault="00442DC7" w:rsidP="00732672">
            <w:pPr>
              <w:spacing w:line="360" w:lineRule="auto"/>
              <w:jc w:val="center"/>
              <w:rPr>
                <w:rFonts w:cs="Arial"/>
                <w:bCs/>
                <w:color w:val="000000" w:themeColor="text1"/>
                <w:sz w:val="24"/>
                <w:szCs w:val="24"/>
              </w:rPr>
            </w:pPr>
            <w:r w:rsidRPr="00732672">
              <w:rPr>
                <w:rFonts w:cs="Arial"/>
                <w:bCs/>
                <w:color w:val="000000" w:themeColor="text1"/>
                <w:sz w:val="24"/>
                <w:szCs w:val="24"/>
              </w:rPr>
              <w:t>1.04</w:t>
            </w:r>
          </w:p>
        </w:tc>
        <w:tc>
          <w:tcPr>
            <w:tcW w:w="1981" w:type="dxa"/>
          </w:tcPr>
          <w:p w14:paraId="043B64FB" w14:textId="77777777" w:rsidR="00442DC7" w:rsidRPr="00732672" w:rsidRDefault="00442DC7" w:rsidP="00732672">
            <w:pPr>
              <w:spacing w:line="360" w:lineRule="auto"/>
              <w:jc w:val="center"/>
              <w:rPr>
                <w:rFonts w:cs="Arial"/>
                <w:bCs/>
                <w:color w:val="000000" w:themeColor="text1"/>
                <w:sz w:val="24"/>
                <w:szCs w:val="24"/>
              </w:rPr>
            </w:pPr>
            <w:r>
              <w:rPr>
                <w:rFonts w:cs="Arial"/>
                <w:bCs/>
                <w:color w:val="000000" w:themeColor="text1"/>
                <w:sz w:val="24"/>
                <w:szCs w:val="24"/>
              </w:rPr>
              <w:t>1.8%</w:t>
            </w:r>
          </w:p>
        </w:tc>
        <w:tc>
          <w:tcPr>
            <w:tcW w:w="1936" w:type="dxa"/>
          </w:tcPr>
          <w:p w14:paraId="759DAEEC" w14:textId="77777777" w:rsidR="00442DC7" w:rsidRPr="00732672" w:rsidRDefault="00442DC7" w:rsidP="00732672">
            <w:pPr>
              <w:spacing w:line="360" w:lineRule="auto"/>
              <w:jc w:val="center"/>
              <w:rPr>
                <w:rFonts w:cs="Arial"/>
                <w:bCs/>
                <w:color w:val="000000" w:themeColor="text1"/>
                <w:sz w:val="24"/>
                <w:szCs w:val="24"/>
              </w:rPr>
            </w:pPr>
            <w:r>
              <w:rPr>
                <w:rFonts w:cs="Arial"/>
                <w:bCs/>
                <w:color w:val="000000" w:themeColor="text1"/>
                <w:sz w:val="24"/>
                <w:szCs w:val="24"/>
              </w:rPr>
              <w:t>0.7%</w:t>
            </w:r>
          </w:p>
        </w:tc>
      </w:tr>
    </w:tbl>
    <w:bookmarkEnd w:id="197"/>
    <w:p w14:paraId="320A468D" w14:textId="4CC9EFB6" w:rsidR="00442DC7" w:rsidRDefault="00442DC7" w:rsidP="00712915">
      <w:pPr>
        <w:spacing w:after="120" w:line="360" w:lineRule="auto"/>
        <w:jc w:val="both"/>
        <w:rPr>
          <w:rFonts w:cs="Arial"/>
          <w:bCs/>
          <w:color w:val="002060"/>
          <w:sz w:val="24"/>
          <w:szCs w:val="24"/>
        </w:rPr>
      </w:pPr>
      <w:r w:rsidRPr="00770852">
        <w:rPr>
          <w:rFonts w:cs="Arial"/>
          <w:color w:val="1C1D1E"/>
          <w:sz w:val="20"/>
          <w:szCs w:val="20"/>
          <w:shd w:val="clear" w:color="auto" w:fill="FFFFFF"/>
        </w:rPr>
        <w:t>Source: Kelsall, L.M, et al. (2013)</w:t>
      </w:r>
    </w:p>
    <w:p w14:paraId="4F41671D" w14:textId="77777777" w:rsidR="00442DC7" w:rsidRDefault="00442DC7">
      <w:pPr>
        <w:rPr>
          <w:rFonts w:cs="Arial"/>
          <w:bCs/>
          <w:color w:val="002060"/>
          <w:sz w:val="24"/>
          <w:szCs w:val="24"/>
        </w:rPr>
      </w:pPr>
      <w:r>
        <w:rPr>
          <w:rFonts w:cs="Arial"/>
          <w:bCs/>
          <w:color w:val="002060"/>
          <w:sz w:val="24"/>
          <w:szCs w:val="24"/>
        </w:rPr>
        <w:br w:type="page"/>
      </w:r>
    </w:p>
    <w:p w14:paraId="1B1D9FD9" w14:textId="77777777" w:rsidR="00442DC7" w:rsidRPr="00364D82" w:rsidRDefault="00442DC7" w:rsidP="00712915">
      <w:pPr>
        <w:spacing w:after="120" w:line="360" w:lineRule="auto"/>
        <w:jc w:val="both"/>
        <w:rPr>
          <w:rFonts w:cs="Arial"/>
          <w:bCs/>
          <w:color w:val="002060"/>
          <w:sz w:val="24"/>
          <w:szCs w:val="24"/>
        </w:rPr>
      </w:pPr>
      <w:r w:rsidRPr="00364D82">
        <w:rPr>
          <w:rFonts w:cs="Arial"/>
          <w:bCs/>
          <w:color w:val="002060"/>
          <w:sz w:val="24"/>
          <w:szCs w:val="24"/>
        </w:rPr>
        <w:lastRenderedPageBreak/>
        <w:t>Children</w:t>
      </w:r>
    </w:p>
    <w:p w14:paraId="5A8A1947" w14:textId="77777777" w:rsidR="00442DC7" w:rsidRDefault="00442DC7" w:rsidP="00606555">
      <w:pPr>
        <w:spacing w:line="360" w:lineRule="auto"/>
        <w:jc w:val="both"/>
        <w:rPr>
          <w:rFonts w:cs="Arial"/>
          <w:bCs/>
          <w:sz w:val="24"/>
          <w:szCs w:val="24"/>
        </w:rPr>
      </w:pPr>
      <w:r w:rsidRPr="00EF4B25">
        <w:rPr>
          <w:rFonts w:cs="Arial"/>
          <w:bCs/>
          <w:sz w:val="24"/>
          <w:szCs w:val="24"/>
        </w:rPr>
        <w:t>A similar study of infants in Victoria from 2010 to 2013</w:t>
      </w:r>
      <w:r>
        <w:rPr>
          <w:rStyle w:val="FootnoteReference"/>
          <w:rFonts w:cs="Arial"/>
          <w:bCs/>
          <w:sz w:val="24"/>
          <w:szCs w:val="24"/>
        </w:rPr>
        <w:footnoteReference w:id="88"/>
      </w:r>
      <w:r w:rsidRPr="00EF4B25">
        <w:rPr>
          <w:rFonts w:cs="Arial"/>
          <w:bCs/>
          <w:sz w:val="24"/>
          <w:szCs w:val="24"/>
        </w:rPr>
        <w:t xml:space="preserve"> found the median </w:t>
      </w:r>
      <w:r>
        <w:rPr>
          <w:rFonts w:cs="Arial"/>
          <w:bCs/>
          <w:sz w:val="24"/>
          <w:szCs w:val="24"/>
        </w:rPr>
        <w:t xml:space="preserve">blood lead level </w:t>
      </w:r>
      <w:r w:rsidRPr="00EF4B25">
        <w:rPr>
          <w:rFonts w:cs="Arial"/>
          <w:bCs/>
          <w:sz w:val="24"/>
          <w:szCs w:val="24"/>
        </w:rPr>
        <w:t xml:space="preserve">of 523 children was 0.8 μg/dL and the geometric mean </w:t>
      </w:r>
      <w:r>
        <w:rPr>
          <w:rFonts w:cs="Arial"/>
          <w:bCs/>
          <w:sz w:val="24"/>
          <w:szCs w:val="24"/>
        </w:rPr>
        <w:t>blood lead level</w:t>
      </w:r>
      <w:r w:rsidRPr="00EF4B25">
        <w:rPr>
          <w:rFonts w:cs="Arial"/>
          <w:bCs/>
          <w:sz w:val="24"/>
          <w:szCs w:val="24"/>
        </w:rPr>
        <w:t xml:space="preserve"> after propensity weighting was 0.97 μg/dL. This result was lower than in previous Australian surveys and recent surveys </w:t>
      </w:r>
      <w:r>
        <w:rPr>
          <w:rFonts w:cs="Arial"/>
          <w:bCs/>
          <w:sz w:val="24"/>
          <w:szCs w:val="24"/>
        </w:rPr>
        <w:t>indicated that</w:t>
      </w:r>
      <w:r w:rsidRPr="00EF4B25">
        <w:rPr>
          <w:rFonts w:cs="Arial"/>
          <w:bCs/>
          <w:sz w:val="24"/>
          <w:szCs w:val="24"/>
        </w:rPr>
        <w:t xml:space="preserve"> no children had levels above 5 μg/dL.</w:t>
      </w:r>
      <w:r>
        <w:rPr>
          <w:rFonts w:cs="Arial"/>
          <w:bCs/>
          <w:sz w:val="24"/>
          <w:szCs w:val="24"/>
        </w:rPr>
        <w:t xml:space="preserve"> These results are shown in Table 3</w:t>
      </w:r>
      <w:r w:rsidRPr="007F069A">
        <w:rPr>
          <w:rFonts w:cs="Arial"/>
          <w:bCs/>
          <w:sz w:val="24"/>
          <w:szCs w:val="24"/>
        </w:rPr>
        <w:t>.</w:t>
      </w:r>
    </w:p>
    <w:p w14:paraId="01498DAB" w14:textId="2570ADC1" w:rsidR="00442DC7" w:rsidRDefault="00442DC7" w:rsidP="00DA119A">
      <w:pPr>
        <w:pStyle w:val="Caption"/>
      </w:pPr>
      <w:bookmarkStart w:id="198" w:name="_Toc73091861"/>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3</w:t>
      </w:r>
      <w:r w:rsidR="00362D62">
        <w:rPr>
          <w:noProof/>
        </w:rPr>
        <w:fldChar w:fldCharType="end"/>
      </w:r>
      <w:r w:rsidRPr="00A238D0">
        <w:t>: Blood lead levels in Victorian children (2009 to 2010)</w:t>
      </w:r>
      <w:bookmarkEnd w:id="198"/>
    </w:p>
    <w:tbl>
      <w:tblPr>
        <w:tblStyle w:val="TableGrid"/>
        <w:tblW w:w="0" w:type="auto"/>
        <w:tblInd w:w="-5" w:type="dxa"/>
        <w:tblLook w:val="04A0" w:firstRow="1" w:lastRow="0" w:firstColumn="1" w:lastColumn="0" w:noHBand="0" w:noVBand="1"/>
        <w:tblCaption w:val="Table 3: Blood lead levels in Victorian childern (2009 to 2010)"/>
        <w:tblDescription w:val="This table summarises the findings of Symeonides (2020) which conducted a study of blood lead levels within children in Victoria."/>
      </w:tblPr>
      <w:tblGrid>
        <w:gridCol w:w="1385"/>
        <w:gridCol w:w="1934"/>
        <w:gridCol w:w="1780"/>
        <w:gridCol w:w="1981"/>
      </w:tblGrid>
      <w:tr w:rsidR="00442DC7" w14:paraId="796E34A5" w14:textId="77777777" w:rsidTr="007F069A">
        <w:trPr>
          <w:tblHeader/>
        </w:trPr>
        <w:tc>
          <w:tcPr>
            <w:tcW w:w="1385" w:type="dxa"/>
            <w:shd w:val="clear" w:color="auto" w:fill="002060"/>
          </w:tcPr>
          <w:p w14:paraId="23AAA52B" w14:textId="77777777" w:rsidR="00442DC7" w:rsidRPr="00732672" w:rsidRDefault="00442DC7" w:rsidP="00732672">
            <w:pPr>
              <w:spacing w:line="360" w:lineRule="auto"/>
              <w:jc w:val="center"/>
              <w:rPr>
                <w:rFonts w:cs="Arial"/>
                <w:bCs/>
                <w:color w:val="FFFFFF" w:themeColor="background1"/>
                <w:sz w:val="24"/>
                <w:szCs w:val="24"/>
              </w:rPr>
            </w:pPr>
            <w:bookmarkStart w:id="199" w:name="_Hlk48560689"/>
            <w:r w:rsidRPr="00732672">
              <w:rPr>
                <w:rFonts w:cs="Arial"/>
                <w:bCs/>
                <w:color w:val="FFFFFF" w:themeColor="background1"/>
                <w:sz w:val="24"/>
                <w:szCs w:val="24"/>
              </w:rPr>
              <w:t>Sample</w:t>
            </w:r>
          </w:p>
        </w:tc>
        <w:tc>
          <w:tcPr>
            <w:tcW w:w="1934" w:type="dxa"/>
            <w:shd w:val="clear" w:color="auto" w:fill="002060"/>
          </w:tcPr>
          <w:p w14:paraId="648F2D53" w14:textId="77777777" w:rsidR="00442DC7" w:rsidRPr="00732672" w:rsidRDefault="00442DC7" w:rsidP="00732672">
            <w:pPr>
              <w:spacing w:line="360" w:lineRule="auto"/>
              <w:jc w:val="center"/>
              <w:rPr>
                <w:rFonts w:cs="Arial"/>
                <w:bCs/>
                <w:color w:val="FFFFFF" w:themeColor="background1"/>
                <w:sz w:val="24"/>
                <w:szCs w:val="24"/>
              </w:rPr>
            </w:pPr>
            <w:r w:rsidRPr="00732672">
              <w:rPr>
                <w:rFonts w:cs="Arial"/>
                <w:bCs/>
                <w:color w:val="FFFFFF" w:themeColor="background1"/>
                <w:sz w:val="24"/>
                <w:szCs w:val="24"/>
              </w:rPr>
              <w:t xml:space="preserve">Geometric </w:t>
            </w:r>
            <w:r>
              <w:rPr>
                <w:rFonts w:cs="Arial"/>
                <w:bCs/>
                <w:color w:val="FFFFFF" w:themeColor="background1"/>
                <w:sz w:val="24"/>
                <w:szCs w:val="24"/>
              </w:rPr>
              <w:t>m</w:t>
            </w:r>
            <w:r w:rsidRPr="00732672">
              <w:rPr>
                <w:rFonts w:cs="Arial"/>
                <w:bCs/>
                <w:color w:val="FFFFFF" w:themeColor="background1"/>
                <w:sz w:val="24"/>
                <w:szCs w:val="24"/>
              </w:rPr>
              <w:t>ean</w:t>
            </w:r>
            <w:r>
              <w:rPr>
                <w:rFonts w:cs="Arial"/>
                <w:bCs/>
                <w:color w:val="FFFFFF" w:themeColor="background1"/>
                <w:sz w:val="24"/>
                <w:szCs w:val="24"/>
              </w:rPr>
              <w:t xml:space="preserve"> (</w:t>
            </w:r>
            <w:r w:rsidRPr="000E4DE7">
              <w:rPr>
                <w:rFonts w:cs="Arial"/>
                <w:bCs/>
                <w:color w:val="FFFFFF" w:themeColor="background1"/>
                <w:sz w:val="24"/>
                <w:szCs w:val="24"/>
              </w:rPr>
              <w:t>μg/dL</w:t>
            </w:r>
            <w:r>
              <w:rPr>
                <w:rFonts w:cs="Arial"/>
                <w:bCs/>
                <w:color w:val="FFFFFF" w:themeColor="background1"/>
                <w:sz w:val="24"/>
                <w:szCs w:val="24"/>
              </w:rPr>
              <w:t>)</w:t>
            </w:r>
          </w:p>
        </w:tc>
        <w:tc>
          <w:tcPr>
            <w:tcW w:w="1780" w:type="dxa"/>
            <w:shd w:val="clear" w:color="auto" w:fill="002060"/>
          </w:tcPr>
          <w:p w14:paraId="63CAA6A9" w14:textId="77777777" w:rsidR="00442DC7" w:rsidRDefault="00442DC7" w:rsidP="00732672">
            <w:pPr>
              <w:spacing w:line="360" w:lineRule="auto"/>
              <w:jc w:val="center"/>
              <w:rPr>
                <w:rFonts w:cs="Arial"/>
                <w:bCs/>
                <w:color w:val="FFFFFF" w:themeColor="background1"/>
                <w:sz w:val="24"/>
                <w:szCs w:val="24"/>
              </w:rPr>
            </w:pPr>
            <w:r w:rsidRPr="00732672">
              <w:rPr>
                <w:rFonts w:cs="Arial"/>
                <w:bCs/>
                <w:color w:val="FFFFFF" w:themeColor="background1"/>
                <w:sz w:val="24"/>
                <w:szCs w:val="24"/>
              </w:rPr>
              <w:t xml:space="preserve">Median </w:t>
            </w:r>
            <w:r>
              <w:rPr>
                <w:rFonts w:cs="Arial"/>
                <w:bCs/>
                <w:color w:val="FFFFFF" w:themeColor="background1"/>
                <w:sz w:val="24"/>
                <w:szCs w:val="24"/>
              </w:rPr>
              <w:t>blood lead level</w:t>
            </w:r>
          </w:p>
          <w:p w14:paraId="7068959B" w14:textId="77777777" w:rsidR="00442DC7" w:rsidRPr="00732672" w:rsidRDefault="00442DC7" w:rsidP="00732672">
            <w:pPr>
              <w:spacing w:line="360" w:lineRule="auto"/>
              <w:jc w:val="center"/>
              <w:rPr>
                <w:rFonts w:cs="Arial"/>
                <w:bCs/>
                <w:color w:val="FFFFFF" w:themeColor="background1"/>
                <w:sz w:val="24"/>
                <w:szCs w:val="24"/>
              </w:rPr>
            </w:pPr>
            <w:r w:rsidRPr="007358A7">
              <w:rPr>
                <w:rFonts w:cs="Arial"/>
                <w:bCs/>
                <w:color w:val="FFFFFF" w:themeColor="background1"/>
                <w:sz w:val="24"/>
                <w:szCs w:val="24"/>
              </w:rPr>
              <w:t>(μg/dL)</w:t>
            </w:r>
          </w:p>
        </w:tc>
        <w:tc>
          <w:tcPr>
            <w:tcW w:w="1981" w:type="dxa"/>
            <w:shd w:val="clear" w:color="auto" w:fill="002060"/>
          </w:tcPr>
          <w:p w14:paraId="774050F1" w14:textId="77777777" w:rsidR="00442DC7" w:rsidRPr="00732672" w:rsidRDefault="00442DC7" w:rsidP="00732672">
            <w:pPr>
              <w:spacing w:line="360" w:lineRule="auto"/>
              <w:jc w:val="center"/>
              <w:rPr>
                <w:rFonts w:cs="Arial"/>
                <w:bCs/>
                <w:color w:val="FFFFFF" w:themeColor="background1"/>
                <w:sz w:val="24"/>
                <w:szCs w:val="24"/>
              </w:rPr>
            </w:pPr>
            <w:r>
              <w:rPr>
                <w:rFonts w:cs="Arial"/>
                <w:bCs/>
                <w:sz w:val="24"/>
                <w:szCs w:val="24"/>
              </w:rPr>
              <w:t xml:space="preserve">&gt; </w:t>
            </w:r>
            <w:r w:rsidRPr="00732672">
              <w:rPr>
                <w:rFonts w:cs="Arial"/>
                <w:bCs/>
                <w:sz w:val="24"/>
                <w:szCs w:val="24"/>
              </w:rPr>
              <w:t>5 μg/dL</w:t>
            </w:r>
          </w:p>
        </w:tc>
      </w:tr>
      <w:tr w:rsidR="00442DC7" w14:paraId="5AD13FA5" w14:textId="77777777" w:rsidTr="007F069A">
        <w:tc>
          <w:tcPr>
            <w:tcW w:w="1385" w:type="dxa"/>
          </w:tcPr>
          <w:p w14:paraId="13E68AF7" w14:textId="77777777" w:rsidR="00442DC7" w:rsidRPr="00732672" w:rsidRDefault="00442DC7" w:rsidP="00C0505C">
            <w:pPr>
              <w:spacing w:line="360" w:lineRule="auto"/>
              <w:jc w:val="center"/>
              <w:rPr>
                <w:rFonts w:cs="Arial"/>
                <w:bCs/>
                <w:color w:val="000000" w:themeColor="text1"/>
                <w:sz w:val="24"/>
                <w:szCs w:val="24"/>
              </w:rPr>
            </w:pPr>
            <w:r>
              <w:rPr>
                <w:rFonts w:cs="Arial"/>
                <w:bCs/>
                <w:color w:val="000000" w:themeColor="text1"/>
                <w:sz w:val="24"/>
                <w:szCs w:val="24"/>
              </w:rPr>
              <w:t>523</w:t>
            </w:r>
          </w:p>
        </w:tc>
        <w:tc>
          <w:tcPr>
            <w:tcW w:w="1934" w:type="dxa"/>
          </w:tcPr>
          <w:p w14:paraId="0E6DE44D" w14:textId="77777777" w:rsidR="00442DC7" w:rsidRPr="00732672" w:rsidRDefault="00442DC7" w:rsidP="00C0505C">
            <w:pPr>
              <w:spacing w:line="360" w:lineRule="auto"/>
              <w:jc w:val="center"/>
              <w:rPr>
                <w:rFonts w:cs="Arial"/>
                <w:bCs/>
                <w:color w:val="000000" w:themeColor="text1"/>
                <w:sz w:val="24"/>
                <w:szCs w:val="24"/>
              </w:rPr>
            </w:pPr>
            <w:r>
              <w:rPr>
                <w:rFonts w:cs="Arial"/>
                <w:bCs/>
                <w:color w:val="000000" w:themeColor="text1"/>
                <w:sz w:val="24"/>
                <w:szCs w:val="24"/>
              </w:rPr>
              <w:t>0.97</w:t>
            </w:r>
          </w:p>
        </w:tc>
        <w:tc>
          <w:tcPr>
            <w:tcW w:w="1780" w:type="dxa"/>
          </w:tcPr>
          <w:p w14:paraId="28DC04CA" w14:textId="77777777" w:rsidR="00442DC7" w:rsidRPr="00732672" w:rsidRDefault="00442DC7" w:rsidP="00C0505C">
            <w:pPr>
              <w:spacing w:line="360" w:lineRule="auto"/>
              <w:jc w:val="center"/>
              <w:rPr>
                <w:rFonts w:cs="Arial"/>
                <w:bCs/>
                <w:color w:val="000000" w:themeColor="text1"/>
                <w:sz w:val="24"/>
                <w:szCs w:val="24"/>
              </w:rPr>
            </w:pPr>
            <w:r>
              <w:rPr>
                <w:rFonts w:cs="Arial"/>
                <w:bCs/>
                <w:color w:val="000000" w:themeColor="text1"/>
                <w:sz w:val="24"/>
                <w:szCs w:val="24"/>
              </w:rPr>
              <w:t>0.8</w:t>
            </w:r>
          </w:p>
        </w:tc>
        <w:tc>
          <w:tcPr>
            <w:tcW w:w="1981" w:type="dxa"/>
          </w:tcPr>
          <w:p w14:paraId="1BB0704F" w14:textId="77777777" w:rsidR="00442DC7" w:rsidRPr="00732672" w:rsidRDefault="00442DC7" w:rsidP="00C0505C">
            <w:pPr>
              <w:spacing w:line="360" w:lineRule="auto"/>
              <w:jc w:val="center"/>
              <w:rPr>
                <w:rFonts w:cs="Arial"/>
                <w:bCs/>
                <w:color w:val="000000" w:themeColor="text1"/>
                <w:sz w:val="24"/>
                <w:szCs w:val="24"/>
              </w:rPr>
            </w:pPr>
            <w:r>
              <w:rPr>
                <w:rFonts w:cs="Arial"/>
                <w:bCs/>
                <w:color w:val="000000" w:themeColor="text1"/>
                <w:sz w:val="24"/>
                <w:szCs w:val="24"/>
              </w:rPr>
              <w:t>0%</w:t>
            </w:r>
          </w:p>
        </w:tc>
      </w:tr>
    </w:tbl>
    <w:bookmarkEnd w:id="199"/>
    <w:p w14:paraId="28837895" w14:textId="77777777" w:rsidR="00442DC7" w:rsidRPr="00770852" w:rsidRDefault="00442DC7" w:rsidP="007F069A">
      <w:pPr>
        <w:spacing w:after="240" w:line="360" w:lineRule="auto"/>
        <w:rPr>
          <w:rFonts w:cs="Arial"/>
          <w:color w:val="1C1D1E"/>
          <w:sz w:val="20"/>
          <w:szCs w:val="20"/>
          <w:shd w:val="clear" w:color="auto" w:fill="FFFFFF"/>
        </w:rPr>
      </w:pPr>
      <w:r w:rsidRPr="00770852">
        <w:rPr>
          <w:rFonts w:cs="Arial"/>
          <w:color w:val="1C1D1E"/>
          <w:sz w:val="20"/>
          <w:szCs w:val="20"/>
          <w:shd w:val="clear" w:color="auto" w:fill="FFFFFF"/>
        </w:rPr>
        <w:t>Source:</w:t>
      </w:r>
      <w:r w:rsidRPr="00770852">
        <w:rPr>
          <w:rFonts w:cs="Arial"/>
          <w:bCs/>
          <w:color w:val="002060"/>
          <w:sz w:val="20"/>
          <w:szCs w:val="20"/>
        </w:rPr>
        <w:t xml:space="preserve"> </w:t>
      </w:r>
      <w:r w:rsidRPr="00770852">
        <w:rPr>
          <w:rFonts w:cs="Arial"/>
          <w:color w:val="1C1D1E"/>
          <w:sz w:val="20"/>
          <w:szCs w:val="20"/>
          <w:shd w:val="clear" w:color="auto" w:fill="FFFFFF"/>
        </w:rPr>
        <w:t>Symeonides, C, et al. (2020)</w:t>
      </w:r>
    </w:p>
    <w:p w14:paraId="56B5A539" w14:textId="77777777" w:rsidR="00442DC7" w:rsidRPr="003C3171" w:rsidRDefault="00442DC7" w:rsidP="00712915">
      <w:pPr>
        <w:spacing w:after="120" w:line="360" w:lineRule="auto"/>
        <w:jc w:val="both"/>
        <w:rPr>
          <w:rFonts w:cs="Arial"/>
          <w:bCs/>
          <w:color w:val="002060"/>
          <w:sz w:val="24"/>
          <w:szCs w:val="24"/>
        </w:rPr>
      </w:pPr>
      <w:r w:rsidRPr="003C3171">
        <w:rPr>
          <w:rFonts w:cs="Arial"/>
          <w:bCs/>
          <w:color w:val="002060"/>
          <w:sz w:val="24"/>
          <w:szCs w:val="24"/>
        </w:rPr>
        <w:t>Additional studies</w:t>
      </w:r>
    </w:p>
    <w:p w14:paraId="11906549" w14:textId="77777777" w:rsidR="00442DC7" w:rsidRPr="00E03356" w:rsidRDefault="00442DC7" w:rsidP="00E03356">
      <w:pPr>
        <w:spacing w:line="360" w:lineRule="auto"/>
        <w:jc w:val="both"/>
        <w:rPr>
          <w:rFonts w:cs="Arial"/>
          <w:bCs/>
          <w:sz w:val="24"/>
          <w:szCs w:val="24"/>
        </w:rPr>
      </w:pPr>
      <w:r>
        <w:rPr>
          <w:rFonts w:cs="Arial"/>
          <w:bCs/>
          <w:sz w:val="24"/>
          <w:szCs w:val="24"/>
        </w:rPr>
        <w:t>One South Australian study</w:t>
      </w:r>
      <w:r>
        <w:rPr>
          <w:rStyle w:val="FootnoteReference"/>
          <w:rFonts w:cs="Arial"/>
          <w:bCs/>
          <w:sz w:val="24"/>
          <w:szCs w:val="24"/>
        </w:rPr>
        <w:footnoteReference w:id="89"/>
      </w:r>
      <w:r>
        <w:rPr>
          <w:rFonts w:cs="Arial"/>
          <w:bCs/>
          <w:sz w:val="24"/>
          <w:szCs w:val="24"/>
        </w:rPr>
        <w:t xml:space="preserve"> of blood lead levels of children in Port Pirie, the location of one of the world’s largest lead and zinc smelters, found that in 2018, </w:t>
      </w:r>
      <w:r w:rsidRPr="00F2244D">
        <w:rPr>
          <w:rFonts w:cs="Arial"/>
          <w:bCs/>
          <w:sz w:val="24"/>
          <w:szCs w:val="24"/>
        </w:rPr>
        <w:t xml:space="preserve">the </w:t>
      </w:r>
      <w:r>
        <w:rPr>
          <w:rFonts w:cs="Arial"/>
          <w:bCs/>
          <w:sz w:val="24"/>
          <w:szCs w:val="24"/>
        </w:rPr>
        <w:t xml:space="preserve">geometric mean of </w:t>
      </w:r>
      <w:r w:rsidRPr="00F2244D">
        <w:rPr>
          <w:rFonts w:cs="Arial"/>
          <w:bCs/>
          <w:sz w:val="24"/>
          <w:szCs w:val="24"/>
        </w:rPr>
        <w:t>blood lead level</w:t>
      </w:r>
      <w:r>
        <w:rPr>
          <w:rFonts w:cs="Arial"/>
          <w:bCs/>
          <w:sz w:val="24"/>
          <w:szCs w:val="24"/>
        </w:rPr>
        <w:t xml:space="preserve">s was </w:t>
      </w:r>
      <w:r w:rsidRPr="00F2244D">
        <w:rPr>
          <w:rFonts w:cs="Arial"/>
          <w:bCs/>
          <w:sz w:val="24"/>
          <w:szCs w:val="24"/>
        </w:rPr>
        <w:t>4.2 µg/dL. This average ha</w:t>
      </w:r>
      <w:r>
        <w:rPr>
          <w:rFonts w:cs="Arial"/>
          <w:bCs/>
          <w:sz w:val="24"/>
          <w:szCs w:val="24"/>
        </w:rPr>
        <w:t xml:space="preserve">d </w:t>
      </w:r>
      <w:r w:rsidRPr="00F2244D">
        <w:rPr>
          <w:rFonts w:cs="Arial"/>
          <w:bCs/>
          <w:sz w:val="24"/>
          <w:szCs w:val="24"/>
        </w:rPr>
        <w:t xml:space="preserve">decreased by 0.3 µg/dL compared to the same reporting period </w:t>
      </w:r>
      <w:r>
        <w:rPr>
          <w:rFonts w:cs="Arial"/>
          <w:bCs/>
          <w:sz w:val="24"/>
          <w:szCs w:val="24"/>
        </w:rPr>
        <w:t xml:space="preserve">in the previous </w:t>
      </w:r>
      <w:r w:rsidRPr="00F2244D">
        <w:rPr>
          <w:rFonts w:cs="Arial"/>
          <w:bCs/>
          <w:sz w:val="24"/>
          <w:szCs w:val="24"/>
        </w:rPr>
        <w:t xml:space="preserve">year. The average </w:t>
      </w:r>
      <w:r>
        <w:rPr>
          <w:rFonts w:cs="Arial"/>
          <w:bCs/>
          <w:sz w:val="24"/>
          <w:szCs w:val="24"/>
        </w:rPr>
        <w:t>blood lead level</w:t>
      </w:r>
      <w:r w:rsidRPr="00F2244D">
        <w:rPr>
          <w:rFonts w:cs="Arial"/>
          <w:bCs/>
          <w:sz w:val="24"/>
          <w:szCs w:val="24"/>
        </w:rPr>
        <w:t xml:space="preserve"> of children aged 24 months </w:t>
      </w:r>
      <w:r>
        <w:rPr>
          <w:rFonts w:cs="Arial"/>
          <w:bCs/>
          <w:sz w:val="24"/>
          <w:szCs w:val="24"/>
        </w:rPr>
        <w:t>wa</w:t>
      </w:r>
      <w:r w:rsidRPr="00F2244D">
        <w:rPr>
          <w:rFonts w:cs="Arial"/>
          <w:bCs/>
          <w:sz w:val="24"/>
          <w:szCs w:val="24"/>
        </w:rPr>
        <w:t>s 5.8 µg/dL, which increased by 0.4 µg/dL compared to the same reporting period</w:t>
      </w:r>
      <w:r>
        <w:rPr>
          <w:rFonts w:cs="Arial"/>
          <w:bCs/>
          <w:sz w:val="24"/>
          <w:szCs w:val="24"/>
        </w:rPr>
        <w:t xml:space="preserve"> in</w:t>
      </w:r>
      <w:r w:rsidRPr="00F2244D">
        <w:rPr>
          <w:rFonts w:cs="Arial"/>
          <w:bCs/>
          <w:sz w:val="24"/>
          <w:szCs w:val="24"/>
        </w:rPr>
        <w:t xml:space="preserve"> </w:t>
      </w:r>
      <w:r>
        <w:rPr>
          <w:rFonts w:cs="Arial"/>
          <w:bCs/>
          <w:sz w:val="24"/>
          <w:szCs w:val="24"/>
        </w:rPr>
        <w:t xml:space="preserve">the previous </w:t>
      </w:r>
      <w:r w:rsidRPr="00F2244D">
        <w:rPr>
          <w:rFonts w:cs="Arial"/>
          <w:bCs/>
          <w:sz w:val="24"/>
          <w:szCs w:val="24"/>
        </w:rPr>
        <w:t xml:space="preserve">year. The geometric mean </w:t>
      </w:r>
      <w:r>
        <w:rPr>
          <w:rFonts w:cs="Arial"/>
          <w:bCs/>
          <w:sz w:val="24"/>
          <w:szCs w:val="24"/>
        </w:rPr>
        <w:t>blood lead level</w:t>
      </w:r>
      <w:r w:rsidRPr="00F2244D">
        <w:rPr>
          <w:rFonts w:cs="Arial"/>
          <w:bCs/>
          <w:sz w:val="24"/>
          <w:szCs w:val="24"/>
        </w:rPr>
        <w:t xml:space="preserve"> for two-year-old children is considered to be a robust indicator of trends in lead exposure for the whole population </w:t>
      </w:r>
      <w:r>
        <w:rPr>
          <w:rFonts w:cs="Arial"/>
          <w:bCs/>
          <w:sz w:val="24"/>
          <w:szCs w:val="24"/>
        </w:rPr>
        <w:t xml:space="preserve">of Port Pirie.  </w:t>
      </w:r>
    </w:p>
    <w:p w14:paraId="6B8A525F" w14:textId="77777777" w:rsidR="00442DC7" w:rsidRPr="00E03356" w:rsidRDefault="00442DC7" w:rsidP="00E03356">
      <w:pPr>
        <w:spacing w:line="360" w:lineRule="auto"/>
        <w:jc w:val="both"/>
        <w:rPr>
          <w:sz w:val="24"/>
          <w:szCs w:val="24"/>
        </w:rPr>
      </w:pPr>
      <w:r w:rsidRPr="00720CA6">
        <w:rPr>
          <w:sz w:val="24"/>
          <w:szCs w:val="24"/>
        </w:rPr>
        <w:t xml:space="preserve">A similar study was conducted in 2006 by Queensland Health in Mount Isa of children between one and four years old. Children were recruited by invitation. The 400 recruited for the study were found to be representative of the general population of one to four-year old’s in Mount Isa in terms of age, sex and </w:t>
      </w:r>
      <w:r>
        <w:rPr>
          <w:sz w:val="24"/>
          <w:szCs w:val="24"/>
        </w:rPr>
        <w:t>i</w:t>
      </w:r>
      <w:r w:rsidRPr="00720CA6">
        <w:rPr>
          <w:sz w:val="24"/>
          <w:szCs w:val="24"/>
        </w:rPr>
        <w:t>ndigenous status. Results of the study indicate</w:t>
      </w:r>
      <w:r>
        <w:rPr>
          <w:sz w:val="24"/>
          <w:szCs w:val="24"/>
        </w:rPr>
        <w:t>d</w:t>
      </w:r>
      <w:r w:rsidRPr="00720CA6">
        <w:rPr>
          <w:sz w:val="24"/>
          <w:szCs w:val="24"/>
        </w:rPr>
        <w:t xml:space="preserve"> that the geometric mean</w:t>
      </w:r>
      <w:r>
        <w:rPr>
          <w:sz w:val="24"/>
          <w:szCs w:val="24"/>
        </w:rPr>
        <w:t xml:space="preserve"> blood lead level</w:t>
      </w:r>
      <w:r w:rsidRPr="00720CA6">
        <w:rPr>
          <w:sz w:val="24"/>
          <w:szCs w:val="24"/>
        </w:rPr>
        <w:t xml:space="preserve"> for the group of children sampled was 5.0 μg/dL, with a minimum value of 1.3 μg/dL and maximum value of 31.5 μg/dL. Forty-five children (11.3% of those in the study group) had </w:t>
      </w:r>
      <w:r>
        <w:rPr>
          <w:sz w:val="24"/>
          <w:szCs w:val="24"/>
        </w:rPr>
        <w:t xml:space="preserve">blood lead </w:t>
      </w:r>
      <w:r>
        <w:rPr>
          <w:sz w:val="24"/>
          <w:szCs w:val="24"/>
        </w:rPr>
        <w:lastRenderedPageBreak/>
        <w:t>levels</w:t>
      </w:r>
      <w:r w:rsidRPr="00720CA6">
        <w:rPr>
          <w:sz w:val="24"/>
          <w:szCs w:val="24"/>
        </w:rPr>
        <w:t xml:space="preserve"> greater than</w:t>
      </w:r>
      <w:r w:rsidRPr="00733682">
        <w:rPr>
          <w:sz w:val="24"/>
          <w:szCs w:val="24"/>
        </w:rPr>
        <w:t xml:space="preserve"> or equal to 10 μg/dL. Of these, two children had </w:t>
      </w:r>
      <w:r>
        <w:rPr>
          <w:sz w:val="24"/>
          <w:szCs w:val="24"/>
        </w:rPr>
        <w:t>blood lead levels</w:t>
      </w:r>
      <w:r w:rsidRPr="00733682">
        <w:rPr>
          <w:sz w:val="24"/>
          <w:szCs w:val="24"/>
        </w:rPr>
        <w:t xml:space="preserve"> greater than 20 μg/dL.</w:t>
      </w:r>
      <w:r w:rsidRPr="00733682">
        <w:rPr>
          <w:sz w:val="24"/>
          <w:szCs w:val="24"/>
          <w:vertAlign w:val="superscript"/>
        </w:rPr>
        <w:footnoteReference w:id="90"/>
      </w:r>
      <w:r>
        <w:rPr>
          <w:sz w:val="24"/>
          <w:szCs w:val="24"/>
        </w:rPr>
        <w:t xml:space="preserve"> </w:t>
      </w:r>
    </w:p>
    <w:p w14:paraId="3486F0D6" w14:textId="77777777" w:rsidR="00442DC7" w:rsidRPr="00EF4B25" w:rsidRDefault="00442DC7" w:rsidP="00712915">
      <w:pPr>
        <w:spacing w:after="120" w:line="360" w:lineRule="auto"/>
        <w:jc w:val="both"/>
        <w:rPr>
          <w:rFonts w:cs="Arial"/>
          <w:bCs/>
          <w:sz w:val="24"/>
          <w:szCs w:val="24"/>
        </w:rPr>
      </w:pPr>
      <w:r w:rsidRPr="00DD41A6">
        <w:rPr>
          <w:rFonts w:cs="Arial"/>
          <w:bCs/>
          <w:color w:val="002060"/>
          <w:sz w:val="24"/>
          <w:szCs w:val="24"/>
        </w:rPr>
        <w:t>Conclusions</w:t>
      </w:r>
      <w:r>
        <w:rPr>
          <w:rFonts w:cs="Arial"/>
          <w:bCs/>
          <w:color w:val="002060"/>
          <w:sz w:val="24"/>
          <w:szCs w:val="24"/>
        </w:rPr>
        <w:t xml:space="preserve"> on blood lead levels </w:t>
      </w:r>
    </w:p>
    <w:p w14:paraId="37D211FE" w14:textId="36EA0E5D" w:rsidR="00442DC7" w:rsidRDefault="00442DC7" w:rsidP="00AF698F">
      <w:pPr>
        <w:spacing w:line="360" w:lineRule="auto"/>
        <w:jc w:val="both"/>
        <w:rPr>
          <w:rFonts w:cs="Arial"/>
          <w:bCs/>
          <w:sz w:val="24"/>
          <w:szCs w:val="24"/>
        </w:rPr>
      </w:pPr>
      <w:r>
        <w:rPr>
          <w:rFonts w:cs="Arial"/>
          <w:bCs/>
          <w:sz w:val="24"/>
          <w:szCs w:val="24"/>
        </w:rPr>
        <w:t>There is continued research into t</w:t>
      </w:r>
      <w:r w:rsidRPr="000F113D">
        <w:rPr>
          <w:rFonts w:cs="Arial"/>
          <w:bCs/>
          <w:sz w:val="24"/>
          <w:szCs w:val="24"/>
        </w:rPr>
        <w:t xml:space="preserve">he effects of low lead levels on </w:t>
      </w:r>
      <w:r>
        <w:rPr>
          <w:rFonts w:cs="Arial"/>
          <w:bCs/>
          <w:sz w:val="24"/>
          <w:szCs w:val="24"/>
        </w:rPr>
        <w:t xml:space="preserve">population </w:t>
      </w:r>
      <w:r w:rsidRPr="000F113D">
        <w:rPr>
          <w:rFonts w:cs="Arial"/>
          <w:bCs/>
          <w:sz w:val="24"/>
          <w:szCs w:val="24"/>
        </w:rPr>
        <w:t>health outcomes</w:t>
      </w:r>
      <w:r>
        <w:rPr>
          <w:rFonts w:cs="Arial"/>
          <w:bCs/>
          <w:sz w:val="24"/>
          <w:szCs w:val="24"/>
        </w:rPr>
        <w:t xml:space="preserve"> in Australia.</w:t>
      </w:r>
      <w:r w:rsidRPr="000F113D">
        <w:rPr>
          <w:rFonts w:cs="Arial"/>
          <w:bCs/>
          <w:sz w:val="24"/>
          <w:szCs w:val="24"/>
        </w:rPr>
        <w:t xml:space="preserve"> </w:t>
      </w:r>
      <w:r>
        <w:rPr>
          <w:rFonts w:cs="Arial"/>
          <w:bCs/>
          <w:sz w:val="24"/>
          <w:szCs w:val="24"/>
        </w:rPr>
        <w:t xml:space="preserve">Although the </w:t>
      </w:r>
      <w:r w:rsidRPr="002E521F">
        <w:rPr>
          <w:rFonts w:cs="Arial"/>
          <w:bCs/>
          <w:sz w:val="24"/>
          <w:szCs w:val="24"/>
        </w:rPr>
        <w:t xml:space="preserve">average ‘background’ </w:t>
      </w:r>
      <w:r>
        <w:rPr>
          <w:rFonts w:cs="Arial"/>
          <w:bCs/>
          <w:sz w:val="24"/>
          <w:szCs w:val="24"/>
        </w:rPr>
        <w:t>blood lead level</w:t>
      </w:r>
      <w:r w:rsidRPr="002E521F">
        <w:rPr>
          <w:rFonts w:cs="Arial"/>
          <w:bCs/>
          <w:sz w:val="24"/>
          <w:szCs w:val="24"/>
        </w:rPr>
        <w:t xml:space="preserve"> among Australians is not known</w:t>
      </w:r>
      <w:r>
        <w:rPr>
          <w:rFonts w:cs="Arial"/>
          <w:bCs/>
          <w:sz w:val="24"/>
          <w:szCs w:val="24"/>
        </w:rPr>
        <w:t xml:space="preserve"> with certainty,</w:t>
      </w:r>
      <w:r w:rsidRPr="002E521F">
        <w:t xml:space="preserve"> </w:t>
      </w:r>
      <w:r>
        <w:rPr>
          <w:rFonts w:cs="Arial"/>
          <w:bCs/>
          <w:sz w:val="24"/>
          <w:szCs w:val="24"/>
        </w:rPr>
        <w:t>the average level</w:t>
      </w:r>
      <w:r w:rsidRPr="002E521F">
        <w:rPr>
          <w:rFonts w:cs="Arial"/>
          <w:bCs/>
          <w:sz w:val="24"/>
          <w:szCs w:val="24"/>
        </w:rPr>
        <w:t xml:space="preserve"> is estimated to be less than 5 </w:t>
      </w:r>
      <w:r w:rsidRPr="00F2244D">
        <w:rPr>
          <w:rFonts w:cs="Arial"/>
          <w:bCs/>
          <w:sz w:val="24"/>
          <w:szCs w:val="24"/>
        </w:rPr>
        <w:t xml:space="preserve">µg/dL </w:t>
      </w:r>
      <w:r>
        <w:rPr>
          <w:rFonts w:cs="Arial"/>
          <w:bCs/>
          <w:sz w:val="24"/>
          <w:szCs w:val="24"/>
        </w:rPr>
        <w:t>based on a comprehensive review of the evidence by the NRHMC in 2015</w:t>
      </w:r>
      <w:r w:rsidRPr="002E521F">
        <w:rPr>
          <w:rFonts w:cs="Arial"/>
          <w:bCs/>
          <w:sz w:val="24"/>
          <w:szCs w:val="24"/>
        </w:rPr>
        <w:t>. This level is lower than the level of exposure for previous generations as the presence of lead in the environment is slowly decreasing over time.</w:t>
      </w:r>
      <w:r>
        <w:rPr>
          <w:rStyle w:val="FootnoteReference"/>
          <w:rFonts w:cs="Arial"/>
          <w:bCs/>
          <w:sz w:val="24"/>
          <w:szCs w:val="24"/>
        </w:rPr>
        <w:footnoteReference w:id="91"/>
      </w:r>
      <w:r>
        <w:rPr>
          <w:rFonts w:cs="Arial"/>
          <w:bCs/>
          <w:sz w:val="24"/>
          <w:szCs w:val="24"/>
        </w:rPr>
        <w:t xml:space="preserve"> </w:t>
      </w:r>
      <w:r w:rsidRPr="00267B1B">
        <w:rPr>
          <w:rFonts w:cs="Arial"/>
          <w:bCs/>
          <w:sz w:val="24"/>
          <w:szCs w:val="24"/>
        </w:rPr>
        <w:t xml:space="preserve">A </w:t>
      </w:r>
      <w:r>
        <w:rPr>
          <w:rFonts w:cs="Arial"/>
          <w:bCs/>
          <w:sz w:val="24"/>
          <w:szCs w:val="24"/>
        </w:rPr>
        <w:t>blood lead level</w:t>
      </w:r>
      <w:r w:rsidRPr="00267B1B">
        <w:rPr>
          <w:rFonts w:cs="Arial"/>
          <w:bCs/>
          <w:sz w:val="24"/>
          <w:szCs w:val="24"/>
        </w:rPr>
        <w:t xml:space="preserve"> greater than 5 </w:t>
      </w:r>
      <w:bookmarkStart w:id="200" w:name="_Hlk45875639"/>
      <w:r w:rsidRPr="00267B1B">
        <w:rPr>
          <w:rFonts w:cs="Arial"/>
          <w:bCs/>
          <w:sz w:val="24"/>
          <w:szCs w:val="24"/>
        </w:rPr>
        <w:t xml:space="preserve">µg/dL </w:t>
      </w:r>
      <w:bookmarkEnd w:id="200"/>
      <w:r w:rsidRPr="00267B1B">
        <w:rPr>
          <w:rFonts w:cs="Arial"/>
          <w:bCs/>
          <w:sz w:val="24"/>
          <w:szCs w:val="24"/>
        </w:rPr>
        <w:t>suggests that a person has been, or continues to be, exposed to lead at a level that is above what is considered the average ‘background’ exposure</w:t>
      </w:r>
      <w:r>
        <w:rPr>
          <w:rFonts w:cs="Arial"/>
          <w:bCs/>
          <w:sz w:val="24"/>
          <w:szCs w:val="24"/>
        </w:rPr>
        <w:t>.</w:t>
      </w:r>
      <w:r w:rsidRPr="00EF4B25">
        <w:rPr>
          <w:vertAlign w:val="superscript"/>
        </w:rPr>
        <w:footnoteReference w:id="92"/>
      </w:r>
      <w:r>
        <w:rPr>
          <w:rFonts w:cs="Arial"/>
          <w:bCs/>
          <w:sz w:val="24"/>
          <w:szCs w:val="24"/>
        </w:rPr>
        <w:t xml:space="preserve"> At levels below 5 </w:t>
      </w:r>
      <w:bookmarkStart w:id="201" w:name="_Hlk50637583"/>
      <w:r w:rsidRPr="00267B1B">
        <w:rPr>
          <w:rFonts w:cs="Arial"/>
          <w:bCs/>
          <w:sz w:val="24"/>
          <w:szCs w:val="24"/>
        </w:rPr>
        <w:t>µg/dL</w:t>
      </w:r>
      <w:bookmarkEnd w:id="201"/>
      <w:r>
        <w:rPr>
          <w:rFonts w:cs="Arial"/>
          <w:bCs/>
          <w:sz w:val="24"/>
          <w:szCs w:val="24"/>
        </w:rPr>
        <w:t>, the health impacts of lead are not easily quantifiable</w:t>
      </w:r>
      <w:r w:rsidR="00B22235">
        <w:rPr>
          <w:rFonts w:cs="Arial"/>
          <w:bCs/>
          <w:sz w:val="24"/>
          <w:szCs w:val="24"/>
        </w:rPr>
        <w:t>,</w:t>
      </w:r>
      <w:r>
        <w:rPr>
          <w:rFonts w:cs="Arial"/>
          <w:bCs/>
          <w:sz w:val="24"/>
          <w:szCs w:val="24"/>
        </w:rPr>
        <w:t xml:space="preserve"> </w:t>
      </w:r>
      <w:r w:rsidR="00B22235">
        <w:rPr>
          <w:rFonts w:cs="Arial"/>
          <w:bCs/>
          <w:sz w:val="24"/>
          <w:szCs w:val="24"/>
        </w:rPr>
        <w:t>h</w:t>
      </w:r>
      <w:r>
        <w:rPr>
          <w:rFonts w:cs="Arial"/>
          <w:bCs/>
          <w:sz w:val="24"/>
          <w:szCs w:val="24"/>
        </w:rPr>
        <w:t>owever NHRMC in the submission contend:</w:t>
      </w:r>
    </w:p>
    <w:p w14:paraId="1109055C" w14:textId="77777777" w:rsidR="00442DC7" w:rsidRPr="00EC4DC4" w:rsidRDefault="00442DC7" w:rsidP="002D1E18">
      <w:pPr>
        <w:pStyle w:val="Quote"/>
        <w:spacing w:line="360" w:lineRule="auto"/>
        <w:ind w:left="862" w:right="862"/>
        <w:jc w:val="left"/>
        <w:rPr>
          <w:rFonts w:cs="Arial"/>
          <w:bCs/>
        </w:rPr>
      </w:pPr>
      <w:r w:rsidRPr="00EC4DC4">
        <w:t>“It is important to consider the cumulative and relatively short-term health effects of lead and the uncertainty around these at low levels as this demonstrates the need to minimise exposure to lead.”</w:t>
      </w:r>
    </w:p>
    <w:p w14:paraId="221F43DC" w14:textId="68565ECE" w:rsidR="00442DC7" w:rsidRDefault="00442DC7" w:rsidP="00D10CF8">
      <w:pPr>
        <w:spacing w:line="360" w:lineRule="auto"/>
        <w:jc w:val="both"/>
        <w:rPr>
          <w:rFonts w:cs="Arial"/>
          <w:bCs/>
          <w:sz w:val="24"/>
          <w:szCs w:val="24"/>
        </w:rPr>
      </w:pPr>
      <w:r w:rsidRPr="00294870">
        <w:rPr>
          <w:rFonts w:cs="Arial"/>
          <w:bCs/>
          <w:sz w:val="24"/>
          <w:szCs w:val="24"/>
        </w:rPr>
        <w:t xml:space="preserve">Data on </w:t>
      </w:r>
      <w:r>
        <w:rPr>
          <w:rFonts w:cs="Arial"/>
          <w:bCs/>
          <w:sz w:val="24"/>
          <w:szCs w:val="24"/>
        </w:rPr>
        <w:t>blood lead levels</w:t>
      </w:r>
      <w:r w:rsidRPr="00294870">
        <w:rPr>
          <w:rFonts w:cs="Arial"/>
          <w:bCs/>
          <w:sz w:val="24"/>
          <w:szCs w:val="24"/>
        </w:rPr>
        <w:t xml:space="preserve"> exceeding 5 µg/dL is not collected nationally</w:t>
      </w:r>
      <w:r>
        <w:rPr>
          <w:rFonts w:cs="Arial"/>
          <w:bCs/>
          <w:sz w:val="24"/>
          <w:szCs w:val="24"/>
        </w:rPr>
        <w:t xml:space="preserve"> and is instead collected separately by each state and territory</w:t>
      </w:r>
      <w:r w:rsidRPr="00294870">
        <w:rPr>
          <w:rFonts w:cs="Arial"/>
          <w:bCs/>
          <w:sz w:val="24"/>
          <w:szCs w:val="24"/>
        </w:rPr>
        <w:t xml:space="preserve">. </w:t>
      </w:r>
      <w:r>
        <w:rPr>
          <w:rFonts w:cs="Arial"/>
          <w:bCs/>
          <w:sz w:val="24"/>
          <w:szCs w:val="24"/>
        </w:rPr>
        <w:t xml:space="preserve">The </w:t>
      </w:r>
      <w:r w:rsidRPr="00294870">
        <w:rPr>
          <w:rFonts w:cs="Arial"/>
          <w:bCs/>
          <w:sz w:val="24"/>
          <w:szCs w:val="24"/>
        </w:rPr>
        <w:t xml:space="preserve">ABCB </w:t>
      </w:r>
      <w:r>
        <w:rPr>
          <w:rFonts w:cs="Arial"/>
          <w:bCs/>
          <w:sz w:val="24"/>
          <w:szCs w:val="24"/>
        </w:rPr>
        <w:t>approached</w:t>
      </w:r>
      <w:r w:rsidRPr="00294870">
        <w:rPr>
          <w:rFonts w:cs="Arial"/>
          <w:bCs/>
          <w:sz w:val="24"/>
          <w:szCs w:val="24"/>
        </w:rPr>
        <w:t xml:space="preserve"> </w:t>
      </w:r>
      <w:r>
        <w:rPr>
          <w:rFonts w:cs="Arial"/>
          <w:bCs/>
          <w:sz w:val="24"/>
          <w:szCs w:val="24"/>
        </w:rPr>
        <w:t xml:space="preserve">the </w:t>
      </w:r>
      <w:r w:rsidRPr="000118C0">
        <w:rPr>
          <w:rFonts w:cs="Arial"/>
          <w:bCs/>
          <w:sz w:val="24"/>
          <w:szCs w:val="24"/>
        </w:rPr>
        <w:t xml:space="preserve">enHealth to obtain data of elevated </w:t>
      </w:r>
      <w:r>
        <w:rPr>
          <w:rFonts w:cs="Arial"/>
          <w:bCs/>
          <w:sz w:val="24"/>
          <w:szCs w:val="24"/>
        </w:rPr>
        <w:t>blood lead levels</w:t>
      </w:r>
      <w:r w:rsidRPr="000118C0">
        <w:rPr>
          <w:rFonts w:cs="Arial"/>
          <w:bCs/>
          <w:sz w:val="24"/>
          <w:szCs w:val="24"/>
        </w:rPr>
        <w:t xml:space="preserve"> from state and territory health departments. </w:t>
      </w:r>
      <w:r>
        <w:rPr>
          <w:rFonts w:cs="Arial"/>
          <w:bCs/>
          <w:sz w:val="24"/>
          <w:szCs w:val="24"/>
        </w:rPr>
        <w:t xml:space="preserve">Queensland, </w:t>
      </w:r>
      <w:r w:rsidRPr="000118C0">
        <w:rPr>
          <w:rFonts w:cs="Arial"/>
          <w:bCs/>
          <w:sz w:val="24"/>
          <w:szCs w:val="24"/>
        </w:rPr>
        <w:t>Tasmania, Victoria and Western Australia were the only jurisdictions able to respond</w:t>
      </w:r>
      <w:r>
        <w:rPr>
          <w:rFonts w:cs="Arial"/>
          <w:bCs/>
          <w:sz w:val="24"/>
          <w:szCs w:val="24"/>
        </w:rPr>
        <w:t>.</w:t>
      </w:r>
      <w:r w:rsidRPr="000118C0">
        <w:rPr>
          <w:rFonts w:cs="Arial"/>
          <w:bCs/>
          <w:sz w:val="24"/>
          <w:szCs w:val="24"/>
        </w:rPr>
        <w:t xml:space="preserve"> </w:t>
      </w:r>
      <w:r>
        <w:rPr>
          <w:rFonts w:cs="Arial"/>
          <w:bCs/>
          <w:sz w:val="24"/>
          <w:szCs w:val="24"/>
        </w:rPr>
        <w:t>D</w:t>
      </w:r>
      <w:r w:rsidRPr="000118C0">
        <w:rPr>
          <w:rFonts w:cs="Arial"/>
          <w:bCs/>
          <w:sz w:val="24"/>
          <w:szCs w:val="24"/>
        </w:rPr>
        <w:t xml:space="preserve">ata from these jurisdictions is shown in </w:t>
      </w:r>
      <w:r>
        <w:rPr>
          <w:rFonts w:cs="Arial"/>
          <w:bCs/>
          <w:sz w:val="24"/>
          <w:szCs w:val="24"/>
        </w:rPr>
        <w:t xml:space="preserve">Tables 4 </w:t>
      </w:r>
      <w:r w:rsidRPr="000118C0">
        <w:rPr>
          <w:rFonts w:cs="Arial"/>
          <w:bCs/>
          <w:sz w:val="24"/>
          <w:szCs w:val="24"/>
        </w:rPr>
        <w:t xml:space="preserve">to </w:t>
      </w:r>
      <w:r>
        <w:rPr>
          <w:rFonts w:cs="Arial"/>
          <w:bCs/>
          <w:sz w:val="24"/>
          <w:szCs w:val="24"/>
        </w:rPr>
        <w:t>10</w:t>
      </w:r>
      <w:r w:rsidRPr="000118C0">
        <w:rPr>
          <w:rFonts w:cs="Arial"/>
          <w:bCs/>
          <w:sz w:val="24"/>
          <w:szCs w:val="24"/>
        </w:rPr>
        <w:t xml:space="preserve">. It should be noted that due to changes in reporting requirements, data on elevated </w:t>
      </w:r>
      <w:r>
        <w:rPr>
          <w:rFonts w:cs="Arial"/>
          <w:bCs/>
          <w:sz w:val="24"/>
          <w:szCs w:val="24"/>
        </w:rPr>
        <w:t>blood lead levels</w:t>
      </w:r>
      <w:r w:rsidRPr="000118C0">
        <w:rPr>
          <w:rFonts w:cs="Arial"/>
          <w:bCs/>
          <w:sz w:val="24"/>
          <w:szCs w:val="24"/>
        </w:rPr>
        <w:t xml:space="preserve"> exceeding 5 </w:t>
      </w:r>
      <w:r w:rsidRPr="000118C0">
        <w:rPr>
          <w:sz w:val="24"/>
          <w:szCs w:val="24"/>
        </w:rPr>
        <w:t>μg/dL</w:t>
      </w:r>
      <w:r w:rsidRPr="000118C0">
        <w:rPr>
          <w:rFonts w:cs="Arial"/>
          <w:bCs/>
          <w:sz w:val="24"/>
          <w:szCs w:val="24"/>
        </w:rPr>
        <w:t xml:space="preserve"> is only available from 2016.</w:t>
      </w:r>
      <w:r>
        <w:rPr>
          <w:rFonts w:cs="Arial"/>
          <w:bCs/>
          <w:sz w:val="24"/>
          <w:szCs w:val="24"/>
        </w:rPr>
        <w:t xml:space="preserve"> </w:t>
      </w:r>
    </w:p>
    <w:p w14:paraId="54800350" w14:textId="77777777" w:rsidR="00442DC7" w:rsidRDefault="00442DC7">
      <w:pPr>
        <w:rPr>
          <w:rFonts w:cs="Arial"/>
          <w:bCs/>
          <w:sz w:val="24"/>
          <w:szCs w:val="24"/>
        </w:rPr>
      </w:pPr>
      <w:r>
        <w:rPr>
          <w:rFonts w:cs="Arial"/>
          <w:bCs/>
          <w:sz w:val="24"/>
          <w:szCs w:val="24"/>
        </w:rPr>
        <w:br w:type="page"/>
      </w:r>
    </w:p>
    <w:p w14:paraId="143BEBD2" w14:textId="307F42A1" w:rsidR="00442DC7" w:rsidRDefault="00442DC7" w:rsidP="00DA119A">
      <w:pPr>
        <w:pStyle w:val="Caption"/>
      </w:pPr>
      <w:bookmarkStart w:id="202" w:name="_Toc73091862"/>
      <w:r>
        <w:lastRenderedPageBreak/>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4</w:t>
      </w:r>
      <w:r w:rsidR="00362D62">
        <w:rPr>
          <w:noProof/>
        </w:rPr>
        <w:fldChar w:fldCharType="end"/>
      </w:r>
      <w:r w:rsidRPr="009357C1">
        <w:t>: Blood lead levels exceeding 5 µg/dL in Victoria (new cases)</w:t>
      </w:r>
      <w:bookmarkEnd w:id="202"/>
    </w:p>
    <w:tbl>
      <w:tblPr>
        <w:tblStyle w:val="TableGrid"/>
        <w:tblW w:w="7566" w:type="dxa"/>
        <w:tblInd w:w="-5" w:type="dxa"/>
        <w:tblLayout w:type="fixed"/>
        <w:tblLook w:val="04A0" w:firstRow="1" w:lastRow="0" w:firstColumn="1" w:lastColumn="0" w:noHBand="0" w:noVBand="1"/>
        <w:tblCaption w:val="Table 4: Blood lead levels exceeding 5 micrograms in Victoria (new cases)"/>
        <w:tblDescription w:val="This table reports cases of blood lead levels exceeding 5 micrograms in Victoria between 2016 - 2018. "/>
      </w:tblPr>
      <w:tblGrid>
        <w:gridCol w:w="2853"/>
        <w:gridCol w:w="1571"/>
        <w:gridCol w:w="1571"/>
        <w:gridCol w:w="1571"/>
      </w:tblGrid>
      <w:tr w:rsidR="00442DC7" w:rsidRPr="007F069A" w14:paraId="7DDCB713" w14:textId="77777777" w:rsidTr="007F069A">
        <w:trPr>
          <w:trHeight w:val="263"/>
          <w:tblHeader/>
        </w:trPr>
        <w:tc>
          <w:tcPr>
            <w:tcW w:w="2853" w:type="dxa"/>
            <w:shd w:val="clear" w:color="auto" w:fill="002060"/>
            <w:noWrap/>
            <w:vAlign w:val="center"/>
          </w:tcPr>
          <w:p w14:paraId="4E570794" w14:textId="77777777" w:rsidR="00442DC7" w:rsidRPr="007F069A" w:rsidRDefault="00442DC7" w:rsidP="00DB1CE1">
            <w:pPr>
              <w:spacing w:after="200" w:line="360" w:lineRule="auto"/>
              <w:jc w:val="center"/>
              <w:rPr>
                <w:rFonts w:cs="Arial"/>
                <w:sz w:val="24"/>
                <w:szCs w:val="24"/>
              </w:rPr>
            </w:pPr>
            <w:r w:rsidRPr="007F069A">
              <w:rPr>
                <w:rFonts w:cs="Arial"/>
                <w:sz w:val="24"/>
                <w:szCs w:val="24"/>
              </w:rPr>
              <w:t>Exposure Type</w:t>
            </w:r>
          </w:p>
        </w:tc>
        <w:tc>
          <w:tcPr>
            <w:tcW w:w="1571" w:type="dxa"/>
            <w:shd w:val="clear" w:color="auto" w:fill="002060"/>
            <w:noWrap/>
            <w:vAlign w:val="center"/>
          </w:tcPr>
          <w:p w14:paraId="7BCA8929" w14:textId="77777777" w:rsidR="00442DC7" w:rsidRPr="007F069A" w:rsidRDefault="00442DC7" w:rsidP="00DB1CE1">
            <w:pPr>
              <w:spacing w:after="200" w:line="360" w:lineRule="auto"/>
              <w:jc w:val="center"/>
              <w:rPr>
                <w:rFonts w:cs="Arial"/>
                <w:sz w:val="24"/>
                <w:szCs w:val="24"/>
              </w:rPr>
            </w:pPr>
            <w:r w:rsidRPr="007F069A">
              <w:rPr>
                <w:rFonts w:cs="Arial"/>
                <w:sz w:val="24"/>
                <w:szCs w:val="24"/>
              </w:rPr>
              <w:t>2016*</w:t>
            </w:r>
          </w:p>
        </w:tc>
        <w:tc>
          <w:tcPr>
            <w:tcW w:w="1571" w:type="dxa"/>
            <w:shd w:val="clear" w:color="auto" w:fill="002060"/>
            <w:noWrap/>
            <w:vAlign w:val="center"/>
          </w:tcPr>
          <w:p w14:paraId="23FCE647" w14:textId="77777777" w:rsidR="00442DC7" w:rsidRPr="007F069A" w:rsidRDefault="00442DC7" w:rsidP="00DB1CE1">
            <w:pPr>
              <w:spacing w:after="200" w:line="360" w:lineRule="auto"/>
              <w:jc w:val="center"/>
              <w:rPr>
                <w:rFonts w:cs="Arial"/>
                <w:sz w:val="24"/>
                <w:szCs w:val="24"/>
              </w:rPr>
            </w:pPr>
            <w:r w:rsidRPr="007F069A">
              <w:rPr>
                <w:rFonts w:cs="Arial"/>
                <w:sz w:val="24"/>
                <w:szCs w:val="24"/>
              </w:rPr>
              <w:t>2017</w:t>
            </w:r>
          </w:p>
        </w:tc>
        <w:tc>
          <w:tcPr>
            <w:tcW w:w="1571" w:type="dxa"/>
            <w:shd w:val="clear" w:color="auto" w:fill="002060"/>
            <w:vAlign w:val="center"/>
          </w:tcPr>
          <w:p w14:paraId="381AF95A" w14:textId="77777777" w:rsidR="00442DC7" w:rsidRPr="007F069A" w:rsidRDefault="00442DC7" w:rsidP="00DB1CE1">
            <w:pPr>
              <w:spacing w:after="200" w:line="360" w:lineRule="auto"/>
              <w:jc w:val="center"/>
              <w:rPr>
                <w:rFonts w:cs="Arial"/>
                <w:sz w:val="24"/>
                <w:szCs w:val="24"/>
              </w:rPr>
            </w:pPr>
            <w:r w:rsidRPr="007F069A">
              <w:rPr>
                <w:rFonts w:cs="Arial"/>
                <w:sz w:val="24"/>
                <w:szCs w:val="24"/>
              </w:rPr>
              <w:t>2018</w:t>
            </w:r>
          </w:p>
        </w:tc>
      </w:tr>
      <w:tr w:rsidR="00442DC7" w:rsidRPr="007F069A" w14:paraId="7699F5A7" w14:textId="77777777" w:rsidTr="003C62B5">
        <w:trPr>
          <w:trHeight w:val="521"/>
        </w:trPr>
        <w:tc>
          <w:tcPr>
            <w:tcW w:w="2853" w:type="dxa"/>
            <w:shd w:val="clear" w:color="auto" w:fill="FFFFFF" w:themeFill="background1"/>
            <w:noWrap/>
            <w:vAlign w:val="center"/>
          </w:tcPr>
          <w:p w14:paraId="17685BC0" w14:textId="77777777" w:rsidR="00442DC7" w:rsidRPr="007F069A" w:rsidRDefault="00442DC7" w:rsidP="00DB1CE1">
            <w:pPr>
              <w:spacing w:after="200" w:line="360" w:lineRule="auto"/>
              <w:jc w:val="both"/>
              <w:rPr>
                <w:rFonts w:cs="Arial"/>
                <w:sz w:val="24"/>
                <w:szCs w:val="24"/>
              </w:rPr>
            </w:pPr>
            <w:r w:rsidRPr="007F069A">
              <w:rPr>
                <w:rFonts w:cs="Arial"/>
                <w:sz w:val="24"/>
                <w:szCs w:val="24"/>
              </w:rPr>
              <w:t>Non-occupational</w:t>
            </w:r>
          </w:p>
        </w:tc>
        <w:tc>
          <w:tcPr>
            <w:tcW w:w="1571" w:type="dxa"/>
            <w:shd w:val="clear" w:color="auto" w:fill="FFFFFF" w:themeFill="background1"/>
            <w:noWrap/>
            <w:vAlign w:val="center"/>
          </w:tcPr>
          <w:p w14:paraId="1994945E" w14:textId="77777777" w:rsidR="00442DC7" w:rsidRPr="007F069A" w:rsidRDefault="00442DC7" w:rsidP="00DB1CE1">
            <w:pPr>
              <w:spacing w:after="200" w:line="360" w:lineRule="auto"/>
              <w:jc w:val="center"/>
              <w:rPr>
                <w:rFonts w:cs="Arial"/>
                <w:sz w:val="24"/>
                <w:szCs w:val="24"/>
              </w:rPr>
            </w:pPr>
            <w:r w:rsidRPr="007F069A">
              <w:rPr>
                <w:rFonts w:cs="Arial"/>
                <w:sz w:val="24"/>
                <w:szCs w:val="24"/>
              </w:rPr>
              <w:t>35</w:t>
            </w:r>
          </w:p>
        </w:tc>
        <w:tc>
          <w:tcPr>
            <w:tcW w:w="1571" w:type="dxa"/>
            <w:shd w:val="clear" w:color="auto" w:fill="FFFFFF" w:themeFill="background1"/>
            <w:noWrap/>
            <w:vAlign w:val="center"/>
          </w:tcPr>
          <w:p w14:paraId="740C95CA" w14:textId="77777777" w:rsidR="00442DC7" w:rsidRPr="007F069A" w:rsidRDefault="00442DC7" w:rsidP="00DB1CE1">
            <w:pPr>
              <w:spacing w:after="200" w:line="360" w:lineRule="auto"/>
              <w:jc w:val="center"/>
              <w:rPr>
                <w:rFonts w:cs="Arial"/>
                <w:sz w:val="24"/>
                <w:szCs w:val="24"/>
              </w:rPr>
            </w:pPr>
            <w:r w:rsidRPr="007F069A">
              <w:rPr>
                <w:rFonts w:cs="Arial"/>
                <w:sz w:val="24"/>
                <w:szCs w:val="24"/>
              </w:rPr>
              <w:t>59</w:t>
            </w:r>
          </w:p>
        </w:tc>
        <w:tc>
          <w:tcPr>
            <w:tcW w:w="1571" w:type="dxa"/>
            <w:shd w:val="clear" w:color="auto" w:fill="FFFFFF" w:themeFill="background1"/>
            <w:vAlign w:val="center"/>
          </w:tcPr>
          <w:p w14:paraId="21DB56B4" w14:textId="77777777" w:rsidR="00442DC7" w:rsidRPr="007F069A" w:rsidRDefault="00442DC7" w:rsidP="00DB1CE1">
            <w:pPr>
              <w:spacing w:after="200" w:line="360" w:lineRule="auto"/>
              <w:jc w:val="center"/>
              <w:rPr>
                <w:rFonts w:cs="Arial"/>
                <w:sz w:val="24"/>
                <w:szCs w:val="24"/>
              </w:rPr>
            </w:pPr>
            <w:r w:rsidRPr="007F069A">
              <w:rPr>
                <w:rFonts w:cs="Arial"/>
                <w:sz w:val="24"/>
                <w:szCs w:val="24"/>
              </w:rPr>
              <w:t>70</w:t>
            </w:r>
          </w:p>
        </w:tc>
      </w:tr>
      <w:tr w:rsidR="00442DC7" w:rsidRPr="007F069A" w14:paraId="7357AF75" w14:textId="77777777" w:rsidTr="007F069A">
        <w:trPr>
          <w:trHeight w:val="263"/>
        </w:trPr>
        <w:tc>
          <w:tcPr>
            <w:tcW w:w="2853" w:type="dxa"/>
            <w:shd w:val="clear" w:color="auto" w:fill="FFFFFF" w:themeFill="background1"/>
            <w:noWrap/>
            <w:vAlign w:val="center"/>
          </w:tcPr>
          <w:p w14:paraId="0B7205B3" w14:textId="77777777" w:rsidR="00442DC7" w:rsidRPr="007F069A" w:rsidRDefault="00442DC7" w:rsidP="00DB1CE1">
            <w:pPr>
              <w:spacing w:after="200" w:line="360" w:lineRule="auto"/>
              <w:jc w:val="both"/>
              <w:rPr>
                <w:rFonts w:cs="Arial"/>
                <w:sz w:val="24"/>
                <w:szCs w:val="24"/>
              </w:rPr>
            </w:pPr>
            <w:r w:rsidRPr="007F069A">
              <w:rPr>
                <w:rFonts w:cs="Arial"/>
                <w:sz w:val="24"/>
                <w:szCs w:val="24"/>
              </w:rPr>
              <w:t xml:space="preserve">Occupational </w:t>
            </w:r>
          </w:p>
        </w:tc>
        <w:tc>
          <w:tcPr>
            <w:tcW w:w="1571" w:type="dxa"/>
            <w:shd w:val="clear" w:color="auto" w:fill="FFFFFF" w:themeFill="background1"/>
            <w:noWrap/>
            <w:vAlign w:val="center"/>
          </w:tcPr>
          <w:p w14:paraId="30516B96" w14:textId="77777777" w:rsidR="00442DC7" w:rsidRPr="007F069A" w:rsidRDefault="00442DC7" w:rsidP="00DB1CE1">
            <w:pPr>
              <w:spacing w:after="200" w:line="360" w:lineRule="auto"/>
              <w:jc w:val="center"/>
              <w:rPr>
                <w:rFonts w:cs="Arial"/>
                <w:sz w:val="24"/>
                <w:szCs w:val="24"/>
              </w:rPr>
            </w:pPr>
            <w:r w:rsidRPr="007F069A">
              <w:rPr>
                <w:rFonts w:cs="Arial"/>
                <w:sz w:val="24"/>
                <w:szCs w:val="24"/>
              </w:rPr>
              <w:t>103</w:t>
            </w:r>
          </w:p>
        </w:tc>
        <w:tc>
          <w:tcPr>
            <w:tcW w:w="1571" w:type="dxa"/>
            <w:shd w:val="clear" w:color="auto" w:fill="FFFFFF" w:themeFill="background1"/>
            <w:noWrap/>
            <w:vAlign w:val="center"/>
          </w:tcPr>
          <w:p w14:paraId="3E991EE0" w14:textId="77777777" w:rsidR="00442DC7" w:rsidRPr="007F069A" w:rsidRDefault="00442DC7" w:rsidP="00DB1CE1">
            <w:pPr>
              <w:spacing w:after="200" w:line="360" w:lineRule="auto"/>
              <w:jc w:val="center"/>
              <w:rPr>
                <w:rFonts w:cs="Arial"/>
                <w:sz w:val="24"/>
                <w:szCs w:val="24"/>
              </w:rPr>
            </w:pPr>
            <w:r w:rsidRPr="007F069A">
              <w:rPr>
                <w:rFonts w:cs="Arial"/>
                <w:sz w:val="24"/>
                <w:szCs w:val="24"/>
              </w:rPr>
              <w:t>135</w:t>
            </w:r>
          </w:p>
        </w:tc>
        <w:tc>
          <w:tcPr>
            <w:tcW w:w="1571" w:type="dxa"/>
            <w:shd w:val="clear" w:color="auto" w:fill="FFFFFF" w:themeFill="background1"/>
            <w:vAlign w:val="center"/>
          </w:tcPr>
          <w:p w14:paraId="134258DC" w14:textId="77777777" w:rsidR="00442DC7" w:rsidRPr="007F069A" w:rsidRDefault="00442DC7" w:rsidP="00DB1CE1">
            <w:pPr>
              <w:spacing w:after="200" w:line="360" w:lineRule="auto"/>
              <w:jc w:val="center"/>
              <w:rPr>
                <w:rFonts w:cs="Arial"/>
                <w:sz w:val="24"/>
                <w:szCs w:val="24"/>
              </w:rPr>
            </w:pPr>
            <w:r w:rsidRPr="007F069A">
              <w:rPr>
                <w:rFonts w:cs="Arial"/>
                <w:sz w:val="24"/>
                <w:szCs w:val="24"/>
              </w:rPr>
              <w:t>123</w:t>
            </w:r>
          </w:p>
        </w:tc>
      </w:tr>
      <w:tr w:rsidR="00442DC7" w:rsidRPr="007F069A" w14:paraId="026D8694" w14:textId="77777777" w:rsidTr="007F069A">
        <w:trPr>
          <w:trHeight w:val="263"/>
        </w:trPr>
        <w:tc>
          <w:tcPr>
            <w:tcW w:w="2853" w:type="dxa"/>
            <w:shd w:val="clear" w:color="auto" w:fill="FFFFFF" w:themeFill="background1"/>
            <w:noWrap/>
            <w:vAlign w:val="center"/>
          </w:tcPr>
          <w:p w14:paraId="05F31CE9" w14:textId="77777777" w:rsidR="00442DC7" w:rsidRPr="007F069A" w:rsidRDefault="00442DC7" w:rsidP="00DB1CE1">
            <w:pPr>
              <w:spacing w:after="200" w:line="360" w:lineRule="auto"/>
              <w:jc w:val="both"/>
              <w:rPr>
                <w:rFonts w:cs="Arial"/>
                <w:sz w:val="24"/>
                <w:szCs w:val="24"/>
              </w:rPr>
            </w:pPr>
            <w:r w:rsidRPr="007F069A">
              <w:rPr>
                <w:rFonts w:cs="Arial"/>
                <w:sz w:val="24"/>
                <w:szCs w:val="24"/>
              </w:rPr>
              <w:t>Unknown</w:t>
            </w:r>
          </w:p>
        </w:tc>
        <w:tc>
          <w:tcPr>
            <w:tcW w:w="1571" w:type="dxa"/>
            <w:shd w:val="clear" w:color="auto" w:fill="FFFFFF" w:themeFill="background1"/>
            <w:noWrap/>
            <w:vAlign w:val="center"/>
          </w:tcPr>
          <w:p w14:paraId="5AA8BE6E" w14:textId="77777777" w:rsidR="00442DC7" w:rsidRPr="007F069A" w:rsidRDefault="00442DC7" w:rsidP="00DB1CE1">
            <w:pPr>
              <w:spacing w:after="200" w:line="360" w:lineRule="auto"/>
              <w:jc w:val="center"/>
              <w:rPr>
                <w:rFonts w:cs="Arial"/>
                <w:sz w:val="24"/>
                <w:szCs w:val="24"/>
              </w:rPr>
            </w:pPr>
            <w:r w:rsidRPr="007F069A">
              <w:rPr>
                <w:rFonts w:cs="Arial"/>
                <w:sz w:val="24"/>
                <w:szCs w:val="24"/>
              </w:rPr>
              <w:t>35</w:t>
            </w:r>
          </w:p>
        </w:tc>
        <w:tc>
          <w:tcPr>
            <w:tcW w:w="1571" w:type="dxa"/>
            <w:shd w:val="clear" w:color="auto" w:fill="FFFFFF" w:themeFill="background1"/>
            <w:noWrap/>
            <w:vAlign w:val="center"/>
          </w:tcPr>
          <w:p w14:paraId="169E6D1C" w14:textId="77777777" w:rsidR="00442DC7" w:rsidRPr="007F069A" w:rsidRDefault="00442DC7" w:rsidP="00DB1CE1">
            <w:pPr>
              <w:spacing w:after="200" w:line="360" w:lineRule="auto"/>
              <w:jc w:val="center"/>
              <w:rPr>
                <w:rFonts w:cs="Arial"/>
                <w:sz w:val="24"/>
                <w:szCs w:val="24"/>
              </w:rPr>
            </w:pPr>
            <w:r w:rsidRPr="007F069A">
              <w:rPr>
                <w:rFonts w:cs="Arial"/>
                <w:sz w:val="24"/>
                <w:szCs w:val="24"/>
              </w:rPr>
              <w:t>40</w:t>
            </w:r>
          </w:p>
        </w:tc>
        <w:tc>
          <w:tcPr>
            <w:tcW w:w="1571" w:type="dxa"/>
            <w:shd w:val="clear" w:color="auto" w:fill="FFFFFF" w:themeFill="background1"/>
            <w:vAlign w:val="center"/>
          </w:tcPr>
          <w:p w14:paraId="56CC9B45" w14:textId="77777777" w:rsidR="00442DC7" w:rsidRPr="007F069A" w:rsidRDefault="00442DC7" w:rsidP="00DB1CE1">
            <w:pPr>
              <w:spacing w:after="200" w:line="360" w:lineRule="auto"/>
              <w:jc w:val="center"/>
              <w:rPr>
                <w:rFonts w:cs="Arial"/>
                <w:sz w:val="24"/>
                <w:szCs w:val="24"/>
              </w:rPr>
            </w:pPr>
            <w:r w:rsidRPr="007F069A">
              <w:rPr>
                <w:rFonts w:cs="Arial"/>
                <w:sz w:val="24"/>
                <w:szCs w:val="24"/>
              </w:rPr>
              <w:t>39</w:t>
            </w:r>
          </w:p>
        </w:tc>
      </w:tr>
      <w:tr w:rsidR="00442DC7" w:rsidRPr="00AD6FCF" w14:paraId="4857FDE4" w14:textId="77777777" w:rsidTr="007F069A">
        <w:trPr>
          <w:trHeight w:val="263"/>
        </w:trPr>
        <w:tc>
          <w:tcPr>
            <w:tcW w:w="2853" w:type="dxa"/>
            <w:shd w:val="clear" w:color="auto" w:fill="FFFFFF" w:themeFill="background1"/>
            <w:noWrap/>
            <w:vAlign w:val="center"/>
          </w:tcPr>
          <w:p w14:paraId="3ED08D72" w14:textId="77777777" w:rsidR="00442DC7" w:rsidRPr="007F069A" w:rsidRDefault="00442DC7" w:rsidP="002C323E">
            <w:pPr>
              <w:spacing w:after="200" w:line="360" w:lineRule="auto"/>
              <w:jc w:val="both"/>
              <w:rPr>
                <w:rFonts w:cs="Arial"/>
                <w:sz w:val="24"/>
                <w:szCs w:val="24"/>
              </w:rPr>
            </w:pPr>
            <w:r w:rsidRPr="007F069A">
              <w:rPr>
                <w:rFonts w:cs="Arial"/>
                <w:sz w:val="24"/>
                <w:szCs w:val="24"/>
              </w:rPr>
              <w:t xml:space="preserve">Total </w:t>
            </w:r>
          </w:p>
        </w:tc>
        <w:tc>
          <w:tcPr>
            <w:tcW w:w="1571" w:type="dxa"/>
            <w:shd w:val="clear" w:color="auto" w:fill="FFFFFF" w:themeFill="background1"/>
            <w:noWrap/>
            <w:vAlign w:val="center"/>
          </w:tcPr>
          <w:p w14:paraId="61CF124D" w14:textId="77777777" w:rsidR="00442DC7" w:rsidRPr="007F069A" w:rsidRDefault="00442DC7" w:rsidP="002C323E">
            <w:pPr>
              <w:spacing w:after="200" w:line="360" w:lineRule="auto"/>
              <w:jc w:val="center"/>
              <w:rPr>
                <w:rFonts w:cs="Arial"/>
                <w:sz w:val="24"/>
                <w:szCs w:val="24"/>
              </w:rPr>
            </w:pPr>
            <w:r w:rsidRPr="007F069A">
              <w:rPr>
                <w:rFonts w:cs="Arial"/>
                <w:color w:val="000000"/>
                <w:sz w:val="24"/>
                <w:szCs w:val="24"/>
              </w:rPr>
              <w:t>173</w:t>
            </w:r>
          </w:p>
        </w:tc>
        <w:tc>
          <w:tcPr>
            <w:tcW w:w="1571" w:type="dxa"/>
            <w:shd w:val="clear" w:color="auto" w:fill="FFFFFF" w:themeFill="background1"/>
            <w:noWrap/>
            <w:vAlign w:val="center"/>
          </w:tcPr>
          <w:p w14:paraId="5FFDF42E" w14:textId="77777777" w:rsidR="00442DC7" w:rsidRPr="007F069A" w:rsidRDefault="00442DC7" w:rsidP="002C323E">
            <w:pPr>
              <w:spacing w:after="200" w:line="360" w:lineRule="auto"/>
              <w:jc w:val="center"/>
              <w:rPr>
                <w:rFonts w:cs="Arial"/>
                <w:sz w:val="24"/>
                <w:szCs w:val="24"/>
              </w:rPr>
            </w:pPr>
            <w:r w:rsidRPr="007F069A">
              <w:rPr>
                <w:rFonts w:cs="Arial"/>
                <w:color w:val="000000"/>
                <w:sz w:val="24"/>
                <w:szCs w:val="24"/>
              </w:rPr>
              <w:t>234</w:t>
            </w:r>
          </w:p>
        </w:tc>
        <w:tc>
          <w:tcPr>
            <w:tcW w:w="1571" w:type="dxa"/>
            <w:shd w:val="clear" w:color="auto" w:fill="FFFFFF" w:themeFill="background1"/>
            <w:vAlign w:val="center"/>
          </w:tcPr>
          <w:p w14:paraId="2C8D6B3E" w14:textId="77777777" w:rsidR="00442DC7" w:rsidRPr="007F069A" w:rsidRDefault="00442DC7" w:rsidP="002C323E">
            <w:pPr>
              <w:spacing w:after="200" w:line="360" w:lineRule="auto"/>
              <w:jc w:val="center"/>
              <w:rPr>
                <w:rFonts w:cs="Arial"/>
                <w:sz w:val="24"/>
                <w:szCs w:val="24"/>
              </w:rPr>
            </w:pPr>
            <w:r w:rsidRPr="007F069A">
              <w:rPr>
                <w:rFonts w:cs="Arial"/>
                <w:color w:val="000000"/>
                <w:sz w:val="24"/>
                <w:szCs w:val="24"/>
              </w:rPr>
              <w:t>232</w:t>
            </w:r>
          </w:p>
        </w:tc>
      </w:tr>
    </w:tbl>
    <w:p w14:paraId="72B401E5" w14:textId="77777777" w:rsidR="00442DC7" w:rsidRPr="007F069A" w:rsidRDefault="00442DC7" w:rsidP="007F069A">
      <w:pPr>
        <w:spacing w:after="240" w:line="360" w:lineRule="auto"/>
        <w:rPr>
          <w:rFonts w:cs="Arial"/>
          <w:color w:val="1C1D1E"/>
          <w:sz w:val="20"/>
          <w:szCs w:val="20"/>
          <w:shd w:val="clear" w:color="auto" w:fill="FFFFFF"/>
        </w:rPr>
      </w:pPr>
      <w:r w:rsidRPr="007F069A">
        <w:rPr>
          <w:rFonts w:cs="Arial"/>
          <w:color w:val="1C1D1E"/>
          <w:sz w:val="20"/>
          <w:szCs w:val="20"/>
          <w:shd w:val="clear" w:color="auto" w:fill="FFFFFF"/>
        </w:rPr>
        <w:t>Source: Department of Health and Human Services (Victoria)</w:t>
      </w:r>
    </w:p>
    <w:p w14:paraId="7EB9A7DF" w14:textId="77777777" w:rsidR="00442DC7" w:rsidRPr="00BC6477" w:rsidRDefault="00442DC7" w:rsidP="00BC6477">
      <w:pPr>
        <w:spacing w:line="360" w:lineRule="auto"/>
        <w:rPr>
          <w:rFonts w:cs="Arial"/>
          <w:bCs/>
          <w:color w:val="000000" w:themeColor="text1"/>
          <w:sz w:val="20"/>
          <w:szCs w:val="20"/>
        </w:rPr>
      </w:pPr>
      <w:r w:rsidRPr="007F069A">
        <w:rPr>
          <w:rFonts w:cs="Arial"/>
          <w:bCs/>
          <w:color w:val="000000" w:themeColor="text1"/>
          <w:sz w:val="20"/>
          <w:szCs w:val="20"/>
        </w:rPr>
        <w:t>Note: * Part year from 4 April 2016.</w:t>
      </w:r>
      <w:r w:rsidRPr="00BC6477">
        <w:rPr>
          <w:rFonts w:cs="Arial"/>
          <w:bCs/>
          <w:color w:val="000000" w:themeColor="text1"/>
          <w:sz w:val="20"/>
          <w:szCs w:val="20"/>
        </w:rPr>
        <w:t xml:space="preserve"> </w:t>
      </w:r>
    </w:p>
    <w:p w14:paraId="38ECC340" w14:textId="66A42A16" w:rsidR="00442DC7" w:rsidRDefault="00442DC7" w:rsidP="00DA119A">
      <w:pPr>
        <w:pStyle w:val="Caption"/>
      </w:pPr>
      <w:bookmarkStart w:id="203" w:name="_Toc73091863"/>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5</w:t>
      </w:r>
      <w:r w:rsidR="00362D62">
        <w:rPr>
          <w:noProof/>
        </w:rPr>
        <w:fldChar w:fldCharType="end"/>
      </w:r>
      <w:r w:rsidRPr="003B22DB">
        <w:t>: Blood lead levels exceeding 5 µg/dL in Victoria 2016* to 2018 (non-occupational only)</w:t>
      </w:r>
      <w:bookmarkEnd w:id="203"/>
    </w:p>
    <w:tbl>
      <w:tblPr>
        <w:tblStyle w:val="TableGrid"/>
        <w:tblW w:w="0" w:type="auto"/>
        <w:jc w:val="center"/>
        <w:tblLook w:val="04A0" w:firstRow="1" w:lastRow="0" w:firstColumn="1" w:lastColumn="0" w:noHBand="0" w:noVBand="1"/>
        <w:tblCaption w:val="Table 5: Blood lead levels exceeding 5 micrograms in Victoria between 2016 - 2018 (non-occupational only)"/>
        <w:tblDescription w:val="This table reports cases of non-occupational  blood lead levels exceeding 5 micrograms in Victoria between 2016 - 2018. "/>
      </w:tblPr>
      <w:tblGrid>
        <w:gridCol w:w="4508"/>
        <w:gridCol w:w="4508"/>
      </w:tblGrid>
      <w:tr w:rsidR="00442DC7" w:rsidRPr="007F069A" w14:paraId="6FD38AF1" w14:textId="77777777" w:rsidTr="00C21D51">
        <w:trPr>
          <w:tblHeader/>
          <w:jc w:val="center"/>
        </w:trPr>
        <w:tc>
          <w:tcPr>
            <w:tcW w:w="4508" w:type="dxa"/>
            <w:shd w:val="clear" w:color="auto" w:fill="002060"/>
          </w:tcPr>
          <w:p w14:paraId="07CC0EC4" w14:textId="77777777" w:rsidR="00442DC7" w:rsidRPr="007F069A" w:rsidRDefault="00442DC7" w:rsidP="002C0F7C">
            <w:pPr>
              <w:spacing w:line="360" w:lineRule="auto"/>
              <w:jc w:val="center"/>
              <w:rPr>
                <w:rFonts w:cs="Arial"/>
                <w:bCs/>
                <w:color w:val="FFFFFF" w:themeColor="background1"/>
                <w:sz w:val="24"/>
                <w:szCs w:val="24"/>
              </w:rPr>
            </w:pPr>
            <w:r w:rsidRPr="007F069A">
              <w:rPr>
                <w:rFonts w:cs="Arial"/>
                <w:bCs/>
                <w:color w:val="FFFFFF" w:themeColor="background1"/>
                <w:sz w:val="24"/>
                <w:szCs w:val="24"/>
              </w:rPr>
              <w:t>Blood Lead Level (µg/dL)</w:t>
            </w:r>
          </w:p>
        </w:tc>
        <w:tc>
          <w:tcPr>
            <w:tcW w:w="4508" w:type="dxa"/>
            <w:shd w:val="clear" w:color="auto" w:fill="002060"/>
          </w:tcPr>
          <w:p w14:paraId="3A5F29CE" w14:textId="77777777" w:rsidR="00442DC7" w:rsidRPr="007F069A" w:rsidRDefault="00442DC7" w:rsidP="002C0F7C">
            <w:pPr>
              <w:spacing w:line="360" w:lineRule="auto"/>
              <w:jc w:val="center"/>
              <w:rPr>
                <w:rFonts w:cs="Arial"/>
                <w:bCs/>
                <w:color w:val="FFFFFF" w:themeColor="background1"/>
                <w:sz w:val="24"/>
                <w:szCs w:val="24"/>
              </w:rPr>
            </w:pPr>
            <w:r w:rsidRPr="007F069A">
              <w:rPr>
                <w:rFonts w:cs="Arial"/>
                <w:bCs/>
                <w:color w:val="FFFFFF" w:themeColor="background1"/>
                <w:sz w:val="24"/>
                <w:szCs w:val="24"/>
              </w:rPr>
              <w:t>Number of non-occupational cases</w:t>
            </w:r>
          </w:p>
        </w:tc>
      </w:tr>
      <w:tr w:rsidR="00442DC7" w:rsidRPr="007F069A" w14:paraId="318F254A" w14:textId="77777777" w:rsidTr="005A65ED">
        <w:trPr>
          <w:jc w:val="center"/>
        </w:trPr>
        <w:tc>
          <w:tcPr>
            <w:tcW w:w="4508" w:type="dxa"/>
          </w:tcPr>
          <w:p w14:paraId="218627DA" w14:textId="77777777" w:rsidR="00442DC7" w:rsidRPr="007F069A" w:rsidRDefault="00442DC7" w:rsidP="002C0F7C">
            <w:pPr>
              <w:spacing w:line="360" w:lineRule="auto"/>
              <w:jc w:val="center"/>
              <w:rPr>
                <w:rFonts w:cs="Arial"/>
                <w:bCs/>
                <w:color w:val="000000" w:themeColor="text1"/>
                <w:sz w:val="24"/>
                <w:szCs w:val="24"/>
              </w:rPr>
            </w:pPr>
            <w:r w:rsidRPr="007F069A">
              <w:rPr>
                <w:color w:val="000000" w:themeColor="text1"/>
                <w:sz w:val="24"/>
                <w:szCs w:val="24"/>
              </w:rPr>
              <w:t xml:space="preserve">5-9 </w:t>
            </w:r>
            <w:r w:rsidRPr="007F069A">
              <w:rPr>
                <w:rFonts w:cs="Arial"/>
                <w:bCs/>
                <w:color w:val="000000" w:themeColor="text1"/>
                <w:sz w:val="24"/>
                <w:szCs w:val="24"/>
              </w:rPr>
              <w:t>µg/dL</w:t>
            </w:r>
          </w:p>
        </w:tc>
        <w:tc>
          <w:tcPr>
            <w:tcW w:w="4508" w:type="dxa"/>
          </w:tcPr>
          <w:p w14:paraId="32B3AA0B"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90</w:t>
            </w:r>
          </w:p>
        </w:tc>
      </w:tr>
      <w:tr w:rsidR="00442DC7" w:rsidRPr="007F069A" w14:paraId="1C375787" w14:textId="77777777" w:rsidTr="005A65ED">
        <w:trPr>
          <w:jc w:val="center"/>
        </w:trPr>
        <w:tc>
          <w:tcPr>
            <w:tcW w:w="4508" w:type="dxa"/>
          </w:tcPr>
          <w:p w14:paraId="5B9651B0"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10-14 µg/dL</w:t>
            </w:r>
          </w:p>
        </w:tc>
        <w:tc>
          <w:tcPr>
            <w:tcW w:w="4508" w:type="dxa"/>
          </w:tcPr>
          <w:p w14:paraId="30C8A38E"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35</w:t>
            </w:r>
          </w:p>
        </w:tc>
      </w:tr>
      <w:tr w:rsidR="00442DC7" w:rsidRPr="007F069A" w14:paraId="769A5B4B" w14:textId="77777777" w:rsidTr="005A65ED">
        <w:trPr>
          <w:jc w:val="center"/>
        </w:trPr>
        <w:tc>
          <w:tcPr>
            <w:tcW w:w="4508" w:type="dxa"/>
          </w:tcPr>
          <w:p w14:paraId="1225A0D3"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15-19 µg/dL</w:t>
            </w:r>
          </w:p>
        </w:tc>
        <w:tc>
          <w:tcPr>
            <w:tcW w:w="4508" w:type="dxa"/>
          </w:tcPr>
          <w:p w14:paraId="48977CC5"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15</w:t>
            </w:r>
          </w:p>
        </w:tc>
      </w:tr>
      <w:tr w:rsidR="00442DC7" w:rsidRPr="007F069A" w14:paraId="6CBE18E8" w14:textId="77777777" w:rsidTr="005A65ED">
        <w:trPr>
          <w:jc w:val="center"/>
        </w:trPr>
        <w:tc>
          <w:tcPr>
            <w:tcW w:w="4508" w:type="dxa"/>
          </w:tcPr>
          <w:p w14:paraId="1AAD4243"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20-24 µg/dL</w:t>
            </w:r>
          </w:p>
        </w:tc>
        <w:tc>
          <w:tcPr>
            <w:tcW w:w="4508" w:type="dxa"/>
          </w:tcPr>
          <w:p w14:paraId="03D3BB1E"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9</w:t>
            </w:r>
          </w:p>
        </w:tc>
      </w:tr>
      <w:tr w:rsidR="00442DC7" w:rsidRPr="007F069A" w14:paraId="0D6A5B70" w14:textId="77777777" w:rsidTr="005A65ED">
        <w:trPr>
          <w:jc w:val="center"/>
        </w:trPr>
        <w:tc>
          <w:tcPr>
            <w:tcW w:w="4508" w:type="dxa"/>
          </w:tcPr>
          <w:p w14:paraId="53CE6029"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 xml:space="preserve">25-29 </w:t>
            </w:r>
            <w:r w:rsidRPr="007F069A">
              <w:rPr>
                <w:rFonts w:cs="Arial"/>
                <w:bCs/>
                <w:sz w:val="24"/>
                <w:szCs w:val="24"/>
              </w:rPr>
              <w:t>µg/dL</w:t>
            </w:r>
          </w:p>
        </w:tc>
        <w:tc>
          <w:tcPr>
            <w:tcW w:w="4508" w:type="dxa"/>
          </w:tcPr>
          <w:p w14:paraId="2F4BE3AE"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3</w:t>
            </w:r>
          </w:p>
        </w:tc>
      </w:tr>
      <w:tr w:rsidR="00442DC7" w:rsidRPr="007F069A" w14:paraId="4EDA5089" w14:textId="77777777" w:rsidTr="005A65ED">
        <w:trPr>
          <w:jc w:val="center"/>
        </w:trPr>
        <w:tc>
          <w:tcPr>
            <w:tcW w:w="4508" w:type="dxa"/>
          </w:tcPr>
          <w:p w14:paraId="44428744"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 xml:space="preserve">30-34 </w:t>
            </w:r>
            <w:r w:rsidRPr="007F069A">
              <w:rPr>
                <w:rFonts w:cs="Arial"/>
                <w:bCs/>
                <w:sz w:val="24"/>
                <w:szCs w:val="24"/>
              </w:rPr>
              <w:t>µg/dL</w:t>
            </w:r>
          </w:p>
        </w:tc>
        <w:tc>
          <w:tcPr>
            <w:tcW w:w="4508" w:type="dxa"/>
          </w:tcPr>
          <w:p w14:paraId="474C22A8"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2</w:t>
            </w:r>
          </w:p>
        </w:tc>
      </w:tr>
      <w:tr w:rsidR="00442DC7" w:rsidRPr="007F069A" w14:paraId="78F00BC0" w14:textId="77777777" w:rsidTr="005A65ED">
        <w:trPr>
          <w:jc w:val="center"/>
        </w:trPr>
        <w:tc>
          <w:tcPr>
            <w:tcW w:w="4508" w:type="dxa"/>
          </w:tcPr>
          <w:p w14:paraId="285078E1"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 xml:space="preserve">35-39 </w:t>
            </w:r>
            <w:r w:rsidRPr="007F069A">
              <w:rPr>
                <w:rFonts w:cs="Arial"/>
                <w:bCs/>
                <w:sz w:val="24"/>
                <w:szCs w:val="24"/>
              </w:rPr>
              <w:t>µg/dL</w:t>
            </w:r>
          </w:p>
        </w:tc>
        <w:tc>
          <w:tcPr>
            <w:tcW w:w="4508" w:type="dxa"/>
          </w:tcPr>
          <w:p w14:paraId="323A12CD"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1</w:t>
            </w:r>
          </w:p>
        </w:tc>
      </w:tr>
      <w:tr w:rsidR="00442DC7" w:rsidRPr="007F069A" w14:paraId="060DEC3A" w14:textId="77777777" w:rsidTr="005A65ED">
        <w:trPr>
          <w:jc w:val="center"/>
        </w:trPr>
        <w:tc>
          <w:tcPr>
            <w:tcW w:w="4508" w:type="dxa"/>
          </w:tcPr>
          <w:p w14:paraId="2BFFB751"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 xml:space="preserve">40-44 </w:t>
            </w:r>
            <w:r w:rsidRPr="007F069A">
              <w:rPr>
                <w:rFonts w:cs="Arial"/>
                <w:bCs/>
                <w:sz w:val="24"/>
                <w:szCs w:val="24"/>
              </w:rPr>
              <w:t>µg/dL</w:t>
            </w:r>
          </w:p>
        </w:tc>
        <w:tc>
          <w:tcPr>
            <w:tcW w:w="4508" w:type="dxa"/>
          </w:tcPr>
          <w:p w14:paraId="0C286DEE"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1</w:t>
            </w:r>
          </w:p>
        </w:tc>
      </w:tr>
      <w:tr w:rsidR="00442DC7" w:rsidRPr="007F069A" w14:paraId="4D8DC14B" w14:textId="77777777" w:rsidTr="007700E5">
        <w:trPr>
          <w:trHeight w:val="40"/>
          <w:jc w:val="center"/>
        </w:trPr>
        <w:tc>
          <w:tcPr>
            <w:tcW w:w="4508" w:type="dxa"/>
          </w:tcPr>
          <w:p w14:paraId="5F2C195A"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45-50</w:t>
            </w:r>
            <w:r w:rsidRPr="007F069A">
              <w:rPr>
                <w:rFonts w:cs="Arial"/>
                <w:bCs/>
                <w:sz w:val="24"/>
                <w:szCs w:val="24"/>
              </w:rPr>
              <w:t xml:space="preserve"> µg/dL</w:t>
            </w:r>
          </w:p>
        </w:tc>
        <w:tc>
          <w:tcPr>
            <w:tcW w:w="4508" w:type="dxa"/>
          </w:tcPr>
          <w:p w14:paraId="39D578F2"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0</w:t>
            </w:r>
          </w:p>
        </w:tc>
      </w:tr>
      <w:tr w:rsidR="00442DC7" w:rsidRPr="007F069A" w14:paraId="65EBCF98" w14:textId="77777777" w:rsidTr="005A65ED">
        <w:trPr>
          <w:jc w:val="center"/>
        </w:trPr>
        <w:tc>
          <w:tcPr>
            <w:tcW w:w="4508" w:type="dxa"/>
          </w:tcPr>
          <w:p w14:paraId="523D2ADE"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 xml:space="preserve">&gt; 50 </w:t>
            </w:r>
            <w:r w:rsidRPr="007F069A">
              <w:rPr>
                <w:rFonts w:cs="Arial"/>
                <w:bCs/>
                <w:sz w:val="24"/>
                <w:szCs w:val="24"/>
              </w:rPr>
              <w:t>µg/dL</w:t>
            </w:r>
          </w:p>
        </w:tc>
        <w:tc>
          <w:tcPr>
            <w:tcW w:w="4508" w:type="dxa"/>
          </w:tcPr>
          <w:p w14:paraId="0FA27193"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8</w:t>
            </w:r>
          </w:p>
        </w:tc>
      </w:tr>
      <w:tr w:rsidR="00442DC7" w:rsidRPr="007F069A" w14:paraId="26172FE2" w14:textId="77777777" w:rsidTr="005A65ED">
        <w:trPr>
          <w:jc w:val="center"/>
        </w:trPr>
        <w:tc>
          <w:tcPr>
            <w:tcW w:w="4508" w:type="dxa"/>
          </w:tcPr>
          <w:p w14:paraId="2287E717"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 xml:space="preserve">Total </w:t>
            </w:r>
          </w:p>
        </w:tc>
        <w:tc>
          <w:tcPr>
            <w:tcW w:w="4508" w:type="dxa"/>
          </w:tcPr>
          <w:p w14:paraId="52B93445" w14:textId="77777777" w:rsidR="00442DC7" w:rsidRPr="007F069A" w:rsidRDefault="00442DC7" w:rsidP="002C0F7C">
            <w:pPr>
              <w:spacing w:line="360" w:lineRule="auto"/>
              <w:jc w:val="center"/>
              <w:rPr>
                <w:rFonts w:cs="Arial"/>
                <w:bCs/>
                <w:color w:val="000000" w:themeColor="text1"/>
                <w:sz w:val="24"/>
                <w:szCs w:val="24"/>
              </w:rPr>
            </w:pPr>
            <w:r w:rsidRPr="007F069A">
              <w:rPr>
                <w:rFonts w:cs="Arial"/>
                <w:bCs/>
                <w:color w:val="000000" w:themeColor="text1"/>
                <w:sz w:val="24"/>
                <w:szCs w:val="24"/>
              </w:rPr>
              <w:t>164</w:t>
            </w:r>
          </w:p>
        </w:tc>
      </w:tr>
    </w:tbl>
    <w:p w14:paraId="6294AB65" w14:textId="77777777" w:rsidR="00442DC7" w:rsidRPr="007F069A" w:rsidRDefault="00442DC7" w:rsidP="007F069A">
      <w:pPr>
        <w:spacing w:line="360" w:lineRule="auto"/>
        <w:rPr>
          <w:rFonts w:cs="Arial"/>
          <w:bCs/>
          <w:color w:val="000000" w:themeColor="text1"/>
          <w:sz w:val="20"/>
          <w:szCs w:val="20"/>
        </w:rPr>
      </w:pPr>
      <w:r w:rsidRPr="007F069A">
        <w:rPr>
          <w:rFonts w:cs="Arial"/>
          <w:bCs/>
          <w:color w:val="000000" w:themeColor="text1"/>
          <w:sz w:val="20"/>
          <w:szCs w:val="20"/>
        </w:rPr>
        <w:t>Source: Department of Health and Human Services (Victoria)</w:t>
      </w:r>
    </w:p>
    <w:p w14:paraId="54D845E6" w14:textId="77777777" w:rsidR="00442DC7" w:rsidRDefault="00442DC7" w:rsidP="004C6304">
      <w:pPr>
        <w:pStyle w:val="Caption"/>
        <w:rPr>
          <w:rFonts w:cs="Arial"/>
          <w:bCs/>
          <w:color w:val="000000" w:themeColor="text1"/>
          <w:sz w:val="20"/>
          <w:szCs w:val="20"/>
        </w:rPr>
      </w:pPr>
      <w:bookmarkStart w:id="204" w:name="_Hlk56353535"/>
      <w:r w:rsidRPr="007F069A">
        <w:rPr>
          <w:rFonts w:cs="Arial"/>
          <w:bCs/>
          <w:color w:val="000000" w:themeColor="text1"/>
          <w:sz w:val="20"/>
          <w:szCs w:val="20"/>
        </w:rPr>
        <w:t>Note: * Part year from 4 April 2016.</w:t>
      </w:r>
      <w:bookmarkEnd w:id="204"/>
    </w:p>
    <w:p w14:paraId="491F3FAD" w14:textId="77777777" w:rsidR="00442DC7" w:rsidRDefault="00442DC7">
      <w:pPr>
        <w:rPr>
          <w:rFonts w:cs="Arial"/>
          <w:bCs/>
          <w:color w:val="000000" w:themeColor="text1"/>
          <w:sz w:val="20"/>
          <w:szCs w:val="20"/>
        </w:rPr>
      </w:pPr>
      <w:r>
        <w:rPr>
          <w:rFonts w:cs="Arial"/>
          <w:bCs/>
          <w:color w:val="000000" w:themeColor="text1"/>
          <w:sz w:val="20"/>
          <w:szCs w:val="20"/>
        </w:rPr>
        <w:br w:type="page"/>
      </w:r>
    </w:p>
    <w:p w14:paraId="5B5B7CCE" w14:textId="488519F6" w:rsidR="00442DC7" w:rsidRDefault="00442DC7" w:rsidP="00DA119A">
      <w:pPr>
        <w:pStyle w:val="Caption"/>
      </w:pPr>
      <w:bookmarkStart w:id="205" w:name="_Toc73091864"/>
      <w:r>
        <w:lastRenderedPageBreak/>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6</w:t>
      </w:r>
      <w:r w:rsidR="00362D62">
        <w:rPr>
          <w:noProof/>
        </w:rPr>
        <w:fldChar w:fldCharType="end"/>
      </w:r>
      <w:r w:rsidRPr="00A80232">
        <w:t>: Blood lead levels exceeding 5 µg/dL in Queensland</w:t>
      </w:r>
      <w:bookmarkEnd w:id="205"/>
    </w:p>
    <w:tbl>
      <w:tblPr>
        <w:tblStyle w:val="TableGrid"/>
        <w:tblW w:w="9137" w:type="dxa"/>
        <w:tblLayout w:type="fixed"/>
        <w:tblLook w:val="04A0" w:firstRow="1" w:lastRow="0" w:firstColumn="1" w:lastColumn="0" w:noHBand="0" w:noVBand="1"/>
        <w:tblCaption w:val="Table 6: Blood lead levels exceeding 5 micrograms in Queensland"/>
        <w:tblDescription w:val="This table reports cases of blood lead levels exceeding 5 micrograms in Queensland between 2016 - 2019. "/>
      </w:tblPr>
      <w:tblGrid>
        <w:gridCol w:w="2853"/>
        <w:gridCol w:w="1571"/>
        <w:gridCol w:w="1571"/>
        <w:gridCol w:w="1571"/>
        <w:gridCol w:w="1571"/>
      </w:tblGrid>
      <w:tr w:rsidR="00442DC7" w:rsidRPr="001B36F1" w14:paraId="52DC2A53" w14:textId="77777777" w:rsidTr="00C21D51">
        <w:trPr>
          <w:trHeight w:val="263"/>
          <w:tblHeader/>
        </w:trPr>
        <w:tc>
          <w:tcPr>
            <w:tcW w:w="2853" w:type="dxa"/>
            <w:shd w:val="clear" w:color="auto" w:fill="002060"/>
            <w:noWrap/>
            <w:vAlign w:val="center"/>
          </w:tcPr>
          <w:p w14:paraId="76C6CA81" w14:textId="77777777" w:rsidR="00442DC7" w:rsidRPr="001B36F1" w:rsidRDefault="00442DC7" w:rsidP="00463383">
            <w:pPr>
              <w:spacing w:after="200" w:line="360" w:lineRule="auto"/>
              <w:jc w:val="center"/>
              <w:rPr>
                <w:rFonts w:cs="Arial"/>
                <w:sz w:val="24"/>
                <w:szCs w:val="24"/>
              </w:rPr>
            </w:pPr>
            <w:r w:rsidRPr="001B36F1">
              <w:rPr>
                <w:rFonts w:cs="Arial"/>
                <w:sz w:val="24"/>
                <w:szCs w:val="24"/>
              </w:rPr>
              <w:t>Exposure Type</w:t>
            </w:r>
          </w:p>
        </w:tc>
        <w:tc>
          <w:tcPr>
            <w:tcW w:w="1571" w:type="dxa"/>
            <w:shd w:val="clear" w:color="auto" w:fill="002060"/>
            <w:noWrap/>
            <w:vAlign w:val="center"/>
          </w:tcPr>
          <w:p w14:paraId="4353A8C1" w14:textId="77777777" w:rsidR="00442DC7" w:rsidRPr="001B36F1" w:rsidRDefault="00442DC7" w:rsidP="00463383">
            <w:pPr>
              <w:spacing w:after="200" w:line="360" w:lineRule="auto"/>
              <w:jc w:val="center"/>
              <w:rPr>
                <w:rFonts w:cs="Arial"/>
                <w:sz w:val="24"/>
                <w:szCs w:val="24"/>
              </w:rPr>
            </w:pPr>
            <w:r w:rsidRPr="001B36F1">
              <w:rPr>
                <w:rFonts w:cs="Arial"/>
                <w:sz w:val="24"/>
                <w:szCs w:val="24"/>
              </w:rPr>
              <w:t>2016</w:t>
            </w:r>
          </w:p>
        </w:tc>
        <w:tc>
          <w:tcPr>
            <w:tcW w:w="1571" w:type="dxa"/>
            <w:shd w:val="clear" w:color="auto" w:fill="002060"/>
            <w:noWrap/>
            <w:vAlign w:val="center"/>
          </w:tcPr>
          <w:p w14:paraId="7B7DDD16" w14:textId="77777777" w:rsidR="00442DC7" w:rsidRPr="001B36F1" w:rsidRDefault="00442DC7" w:rsidP="00463383">
            <w:pPr>
              <w:spacing w:after="200" w:line="360" w:lineRule="auto"/>
              <w:jc w:val="center"/>
              <w:rPr>
                <w:rFonts w:cs="Arial"/>
                <w:sz w:val="24"/>
                <w:szCs w:val="24"/>
              </w:rPr>
            </w:pPr>
            <w:r w:rsidRPr="001B36F1">
              <w:rPr>
                <w:rFonts w:cs="Arial"/>
                <w:sz w:val="24"/>
                <w:szCs w:val="24"/>
              </w:rPr>
              <w:t>2017</w:t>
            </w:r>
          </w:p>
        </w:tc>
        <w:tc>
          <w:tcPr>
            <w:tcW w:w="1571" w:type="dxa"/>
            <w:shd w:val="clear" w:color="auto" w:fill="002060"/>
            <w:vAlign w:val="center"/>
          </w:tcPr>
          <w:p w14:paraId="26978131" w14:textId="77777777" w:rsidR="00442DC7" w:rsidRPr="001B36F1" w:rsidRDefault="00442DC7" w:rsidP="00463383">
            <w:pPr>
              <w:spacing w:after="200" w:line="360" w:lineRule="auto"/>
              <w:jc w:val="center"/>
              <w:rPr>
                <w:rFonts w:cs="Arial"/>
                <w:sz w:val="24"/>
                <w:szCs w:val="24"/>
              </w:rPr>
            </w:pPr>
            <w:r w:rsidRPr="001B36F1">
              <w:rPr>
                <w:rFonts w:cs="Arial"/>
                <w:sz w:val="24"/>
                <w:szCs w:val="24"/>
              </w:rPr>
              <w:t>2018</w:t>
            </w:r>
          </w:p>
        </w:tc>
        <w:tc>
          <w:tcPr>
            <w:tcW w:w="1571" w:type="dxa"/>
            <w:shd w:val="clear" w:color="auto" w:fill="002060"/>
            <w:vAlign w:val="center"/>
          </w:tcPr>
          <w:p w14:paraId="1D43F35E" w14:textId="77777777" w:rsidR="00442DC7" w:rsidRPr="001B36F1" w:rsidRDefault="00442DC7" w:rsidP="00463383">
            <w:pPr>
              <w:spacing w:after="200" w:line="360" w:lineRule="auto"/>
              <w:jc w:val="center"/>
              <w:rPr>
                <w:rFonts w:cs="Arial"/>
                <w:sz w:val="24"/>
                <w:szCs w:val="24"/>
              </w:rPr>
            </w:pPr>
            <w:r w:rsidRPr="001B36F1">
              <w:rPr>
                <w:rFonts w:cs="Arial"/>
                <w:sz w:val="24"/>
                <w:szCs w:val="24"/>
              </w:rPr>
              <w:t>2019</w:t>
            </w:r>
            <w:r>
              <w:rPr>
                <w:rFonts w:cs="Arial"/>
                <w:sz w:val="24"/>
                <w:szCs w:val="24"/>
              </w:rPr>
              <w:t>*</w:t>
            </w:r>
          </w:p>
        </w:tc>
      </w:tr>
      <w:tr w:rsidR="00442DC7" w:rsidRPr="001B36F1" w14:paraId="1CC0285A" w14:textId="77777777" w:rsidTr="00463383">
        <w:trPr>
          <w:trHeight w:hRule="exact" w:val="454"/>
        </w:trPr>
        <w:tc>
          <w:tcPr>
            <w:tcW w:w="2853" w:type="dxa"/>
            <w:shd w:val="clear" w:color="auto" w:fill="FFFFFF" w:themeFill="background1"/>
            <w:noWrap/>
            <w:vAlign w:val="center"/>
          </w:tcPr>
          <w:p w14:paraId="63508F70" w14:textId="77777777" w:rsidR="00442DC7" w:rsidRPr="00832F09" w:rsidRDefault="00442DC7" w:rsidP="00463383">
            <w:pPr>
              <w:spacing w:after="200" w:line="360" w:lineRule="auto"/>
              <w:rPr>
                <w:rFonts w:cs="Arial"/>
                <w:sz w:val="24"/>
                <w:szCs w:val="24"/>
              </w:rPr>
            </w:pPr>
            <w:r w:rsidRPr="00832F09">
              <w:rPr>
                <w:rFonts w:cs="Arial"/>
                <w:sz w:val="24"/>
                <w:szCs w:val="24"/>
              </w:rPr>
              <w:t>Non-occupational</w:t>
            </w:r>
          </w:p>
        </w:tc>
        <w:tc>
          <w:tcPr>
            <w:tcW w:w="1571" w:type="dxa"/>
            <w:shd w:val="clear" w:color="auto" w:fill="FFFFFF" w:themeFill="background1"/>
            <w:noWrap/>
            <w:vAlign w:val="center"/>
          </w:tcPr>
          <w:p w14:paraId="249B9B00" w14:textId="77777777" w:rsidR="00442DC7" w:rsidRPr="00832F09" w:rsidRDefault="00442DC7" w:rsidP="00055070">
            <w:pPr>
              <w:spacing w:after="200" w:line="360" w:lineRule="auto"/>
              <w:jc w:val="center"/>
              <w:rPr>
                <w:rFonts w:cs="Arial"/>
                <w:sz w:val="24"/>
                <w:szCs w:val="24"/>
              </w:rPr>
            </w:pPr>
            <w:r>
              <w:rPr>
                <w:rFonts w:cs="Arial"/>
                <w:sz w:val="24"/>
                <w:szCs w:val="24"/>
              </w:rPr>
              <w:t>228</w:t>
            </w:r>
          </w:p>
        </w:tc>
        <w:tc>
          <w:tcPr>
            <w:tcW w:w="1571" w:type="dxa"/>
            <w:shd w:val="clear" w:color="auto" w:fill="FFFFFF" w:themeFill="background1"/>
            <w:noWrap/>
            <w:vAlign w:val="center"/>
          </w:tcPr>
          <w:p w14:paraId="00960447" w14:textId="77777777" w:rsidR="00442DC7" w:rsidRPr="00832F09" w:rsidRDefault="00442DC7" w:rsidP="00055070">
            <w:pPr>
              <w:spacing w:after="200" w:line="360" w:lineRule="auto"/>
              <w:jc w:val="center"/>
              <w:rPr>
                <w:rFonts w:cs="Arial"/>
                <w:sz w:val="24"/>
                <w:szCs w:val="24"/>
              </w:rPr>
            </w:pPr>
            <w:r>
              <w:rPr>
                <w:rFonts w:cs="Arial"/>
                <w:sz w:val="24"/>
                <w:szCs w:val="24"/>
              </w:rPr>
              <w:t>237</w:t>
            </w:r>
          </w:p>
        </w:tc>
        <w:tc>
          <w:tcPr>
            <w:tcW w:w="1571" w:type="dxa"/>
            <w:shd w:val="clear" w:color="auto" w:fill="FFFFFF" w:themeFill="background1"/>
            <w:vAlign w:val="center"/>
          </w:tcPr>
          <w:p w14:paraId="162ED0E4" w14:textId="77777777" w:rsidR="00442DC7" w:rsidRPr="00832F09" w:rsidRDefault="00442DC7" w:rsidP="00055070">
            <w:pPr>
              <w:spacing w:after="200" w:line="360" w:lineRule="auto"/>
              <w:jc w:val="center"/>
              <w:rPr>
                <w:rFonts w:cs="Arial"/>
                <w:sz w:val="24"/>
                <w:szCs w:val="24"/>
              </w:rPr>
            </w:pPr>
            <w:r>
              <w:rPr>
                <w:rFonts w:cs="Arial"/>
                <w:sz w:val="24"/>
                <w:szCs w:val="24"/>
              </w:rPr>
              <w:t>223</w:t>
            </w:r>
          </w:p>
        </w:tc>
        <w:tc>
          <w:tcPr>
            <w:tcW w:w="1571" w:type="dxa"/>
            <w:shd w:val="clear" w:color="auto" w:fill="FFFFFF" w:themeFill="background1"/>
            <w:vAlign w:val="center"/>
          </w:tcPr>
          <w:p w14:paraId="1D107E0B" w14:textId="77777777" w:rsidR="00442DC7" w:rsidRPr="00832F09" w:rsidRDefault="00442DC7" w:rsidP="00055070">
            <w:pPr>
              <w:spacing w:after="200" w:line="360" w:lineRule="auto"/>
              <w:jc w:val="center"/>
              <w:rPr>
                <w:rFonts w:cs="Arial"/>
                <w:sz w:val="24"/>
                <w:szCs w:val="24"/>
              </w:rPr>
            </w:pPr>
            <w:r>
              <w:rPr>
                <w:rFonts w:cs="Arial"/>
                <w:sz w:val="24"/>
                <w:szCs w:val="24"/>
              </w:rPr>
              <w:t>187</w:t>
            </w:r>
          </w:p>
        </w:tc>
      </w:tr>
      <w:tr w:rsidR="00442DC7" w:rsidRPr="001B36F1" w14:paraId="531EED94" w14:textId="77777777" w:rsidTr="00463383">
        <w:trPr>
          <w:trHeight w:hRule="exact" w:val="454"/>
        </w:trPr>
        <w:tc>
          <w:tcPr>
            <w:tcW w:w="2853" w:type="dxa"/>
            <w:shd w:val="clear" w:color="auto" w:fill="FFFFFF" w:themeFill="background1"/>
            <w:noWrap/>
            <w:vAlign w:val="center"/>
          </w:tcPr>
          <w:p w14:paraId="12D8D74F" w14:textId="77777777" w:rsidR="00442DC7" w:rsidRPr="00832F09" w:rsidRDefault="00442DC7" w:rsidP="00463383">
            <w:pPr>
              <w:spacing w:after="200" w:line="360" w:lineRule="auto"/>
              <w:rPr>
                <w:rFonts w:cs="Arial"/>
                <w:sz w:val="24"/>
                <w:szCs w:val="24"/>
              </w:rPr>
            </w:pPr>
            <w:r w:rsidRPr="00832F09">
              <w:rPr>
                <w:rFonts w:cs="Arial"/>
                <w:sz w:val="24"/>
                <w:szCs w:val="24"/>
              </w:rPr>
              <w:t>Occupational</w:t>
            </w:r>
          </w:p>
        </w:tc>
        <w:tc>
          <w:tcPr>
            <w:tcW w:w="1571" w:type="dxa"/>
            <w:shd w:val="clear" w:color="auto" w:fill="FFFFFF" w:themeFill="background1"/>
            <w:noWrap/>
            <w:vAlign w:val="center"/>
          </w:tcPr>
          <w:p w14:paraId="23C89BEC" w14:textId="77777777" w:rsidR="00442DC7" w:rsidRPr="00832F09" w:rsidRDefault="00442DC7" w:rsidP="00055070">
            <w:pPr>
              <w:spacing w:after="200" w:line="360" w:lineRule="auto"/>
              <w:jc w:val="center"/>
              <w:rPr>
                <w:rFonts w:cs="Arial"/>
                <w:sz w:val="24"/>
                <w:szCs w:val="24"/>
              </w:rPr>
            </w:pPr>
            <w:r>
              <w:rPr>
                <w:rFonts w:cs="Arial"/>
                <w:sz w:val="24"/>
                <w:szCs w:val="24"/>
              </w:rPr>
              <w:t>1,103</w:t>
            </w:r>
          </w:p>
        </w:tc>
        <w:tc>
          <w:tcPr>
            <w:tcW w:w="1571" w:type="dxa"/>
            <w:shd w:val="clear" w:color="auto" w:fill="FFFFFF" w:themeFill="background1"/>
            <w:noWrap/>
            <w:vAlign w:val="center"/>
          </w:tcPr>
          <w:p w14:paraId="621280FD" w14:textId="77777777" w:rsidR="00442DC7" w:rsidRPr="00832F09" w:rsidRDefault="00442DC7" w:rsidP="00055070">
            <w:pPr>
              <w:spacing w:after="200" w:line="360" w:lineRule="auto"/>
              <w:jc w:val="center"/>
              <w:rPr>
                <w:rFonts w:cs="Arial"/>
                <w:sz w:val="24"/>
                <w:szCs w:val="24"/>
              </w:rPr>
            </w:pPr>
            <w:r>
              <w:rPr>
                <w:rFonts w:cs="Arial"/>
                <w:sz w:val="24"/>
                <w:szCs w:val="24"/>
              </w:rPr>
              <w:t>3,144</w:t>
            </w:r>
          </w:p>
        </w:tc>
        <w:tc>
          <w:tcPr>
            <w:tcW w:w="1571" w:type="dxa"/>
            <w:shd w:val="clear" w:color="auto" w:fill="FFFFFF" w:themeFill="background1"/>
            <w:vAlign w:val="center"/>
          </w:tcPr>
          <w:p w14:paraId="7AEB60B5" w14:textId="77777777" w:rsidR="00442DC7" w:rsidRPr="00832F09" w:rsidRDefault="00442DC7" w:rsidP="00055070">
            <w:pPr>
              <w:spacing w:after="200" w:line="360" w:lineRule="auto"/>
              <w:jc w:val="center"/>
              <w:rPr>
                <w:rFonts w:cs="Arial"/>
                <w:sz w:val="24"/>
                <w:szCs w:val="24"/>
              </w:rPr>
            </w:pPr>
            <w:r>
              <w:rPr>
                <w:rFonts w:cs="Arial"/>
                <w:sz w:val="24"/>
                <w:szCs w:val="24"/>
              </w:rPr>
              <w:t>3,601</w:t>
            </w:r>
          </w:p>
        </w:tc>
        <w:tc>
          <w:tcPr>
            <w:tcW w:w="1571" w:type="dxa"/>
            <w:shd w:val="clear" w:color="auto" w:fill="FFFFFF" w:themeFill="background1"/>
            <w:vAlign w:val="center"/>
          </w:tcPr>
          <w:p w14:paraId="32E9EC67" w14:textId="77777777" w:rsidR="00442DC7" w:rsidRPr="00832F09" w:rsidRDefault="00442DC7" w:rsidP="00055070">
            <w:pPr>
              <w:spacing w:after="200" w:line="360" w:lineRule="auto"/>
              <w:jc w:val="center"/>
              <w:rPr>
                <w:rFonts w:cs="Arial"/>
                <w:sz w:val="24"/>
                <w:szCs w:val="24"/>
              </w:rPr>
            </w:pPr>
            <w:r>
              <w:rPr>
                <w:rFonts w:cs="Arial"/>
                <w:sz w:val="24"/>
                <w:szCs w:val="24"/>
              </w:rPr>
              <w:t>4,036</w:t>
            </w:r>
          </w:p>
        </w:tc>
      </w:tr>
      <w:tr w:rsidR="00442DC7" w:rsidRPr="001B36F1" w14:paraId="63CCFAE1" w14:textId="77777777" w:rsidTr="00463383">
        <w:trPr>
          <w:trHeight w:hRule="exact" w:val="454"/>
        </w:trPr>
        <w:tc>
          <w:tcPr>
            <w:tcW w:w="2853" w:type="dxa"/>
            <w:shd w:val="clear" w:color="auto" w:fill="FFFFFF" w:themeFill="background1"/>
            <w:noWrap/>
            <w:vAlign w:val="center"/>
          </w:tcPr>
          <w:p w14:paraId="648D2F83" w14:textId="77777777" w:rsidR="00442DC7" w:rsidRPr="00832F09" w:rsidRDefault="00442DC7" w:rsidP="00463383">
            <w:pPr>
              <w:spacing w:after="200" w:line="360" w:lineRule="auto"/>
              <w:rPr>
                <w:rFonts w:cs="Arial"/>
                <w:sz w:val="24"/>
                <w:szCs w:val="24"/>
              </w:rPr>
            </w:pPr>
            <w:r w:rsidRPr="00832F09">
              <w:rPr>
                <w:rFonts w:cs="Arial"/>
                <w:sz w:val="24"/>
                <w:szCs w:val="24"/>
              </w:rPr>
              <w:t>Unknown</w:t>
            </w:r>
          </w:p>
        </w:tc>
        <w:tc>
          <w:tcPr>
            <w:tcW w:w="1571" w:type="dxa"/>
            <w:shd w:val="clear" w:color="auto" w:fill="FFFFFF" w:themeFill="background1"/>
            <w:noWrap/>
            <w:vAlign w:val="center"/>
          </w:tcPr>
          <w:p w14:paraId="1764B23F" w14:textId="77777777" w:rsidR="00442DC7" w:rsidRPr="00832F09" w:rsidRDefault="00442DC7" w:rsidP="00055070">
            <w:pPr>
              <w:spacing w:after="200" w:line="360" w:lineRule="auto"/>
              <w:jc w:val="center"/>
              <w:rPr>
                <w:rFonts w:cs="Arial"/>
                <w:sz w:val="24"/>
                <w:szCs w:val="24"/>
              </w:rPr>
            </w:pPr>
            <w:r>
              <w:rPr>
                <w:rFonts w:cs="Arial"/>
                <w:sz w:val="24"/>
                <w:szCs w:val="24"/>
              </w:rPr>
              <w:t>1</w:t>
            </w:r>
            <w:r w:rsidRPr="00832F09">
              <w:rPr>
                <w:rFonts w:cs="Arial"/>
                <w:sz w:val="24"/>
                <w:szCs w:val="24"/>
              </w:rPr>
              <w:t>3</w:t>
            </w:r>
          </w:p>
        </w:tc>
        <w:tc>
          <w:tcPr>
            <w:tcW w:w="1571" w:type="dxa"/>
            <w:shd w:val="clear" w:color="auto" w:fill="FFFFFF" w:themeFill="background1"/>
            <w:noWrap/>
            <w:vAlign w:val="center"/>
          </w:tcPr>
          <w:p w14:paraId="0D16E5D2" w14:textId="77777777" w:rsidR="00442DC7" w:rsidRPr="00832F09" w:rsidRDefault="00442DC7" w:rsidP="00055070">
            <w:pPr>
              <w:spacing w:after="200" w:line="360" w:lineRule="auto"/>
              <w:jc w:val="center"/>
              <w:rPr>
                <w:rFonts w:cs="Arial"/>
                <w:sz w:val="24"/>
                <w:szCs w:val="24"/>
              </w:rPr>
            </w:pPr>
            <w:r>
              <w:rPr>
                <w:rFonts w:cs="Arial"/>
                <w:sz w:val="24"/>
                <w:szCs w:val="24"/>
              </w:rPr>
              <w:t>21</w:t>
            </w:r>
          </w:p>
        </w:tc>
        <w:tc>
          <w:tcPr>
            <w:tcW w:w="1571" w:type="dxa"/>
            <w:shd w:val="clear" w:color="auto" w:fill="FFFFFF" w:themeFill="background1"/>
            <w:vAlign w:val="center"/>
          </w:tcPr>
          <w:p w14:paraId="427B4EFA" w14:textId="77777777" w:rsidR="00442DC7" w:rsidRPr="00832F09" w:rsidRDefault="00442DC7" w:rsidP="00055070">
            <w:pPr>
              <w:spacing w:after="200" w:line="360" w:lineRule="auto"/>
              <w:jc w:val="center"/>
              <w:rPr>
                <w:rFonts w:cs="Arial"/>
                <w:sz w:val="24"/>
                <w:szCs w:val="24"/>
              </w:rPr>
            </w:pPr>
            <w:r>
              <w:rPr>
                <w:rFonts w:cs="Arial"/>
                <w:sz w:val="24"/>
                <w:szCs w:val="24"/>
              </w:rPr>
              <w:t>28</w:t>
            </w:r>
          </w:p>
        </w:tc>
        <w:tc>
          <w:tcPr>
            <w:tcW w:w="1571" w:type="dxa"/>
            <w:shd w:val="clear" w:color="auto" w:fill="FFFFFF" w:themeFill="background1"/>
            <w:vAlign w:val="center"/>
          </w:tcPr>
          <w:p w14:paraId="0F91B4AD" w14:textId="77777777" w:rsidR="00442DC7" w:rsidRPr="00832F09" w:rsidRDefault="00442DC7" w:rsidP="00055070">
            <w:pPr>
              <w:spacing w:after="200" w:line="360" w:lineRule="auto"/>
              <w:jc w:val="center"/>
              <w:rPr>
                <w:rFonts w:cs="Arial"/>
                <w:sz w:val="24"/>
                <w:szCs w:val="24"/>
              </w:rPr>
            </w:pPr>
            <w:r>
              <w:rPr>
                <w:rFonts w:cs="Arial"/>
                <w:sz w:val="24"/>
                <w:szCs w:val="24"/>
              </w:rPr>
              <w:t>75</w:t>
            </w:r>
          </w:p>
        </w:tc>
      </w:tr>
      <w:tr w:rsidR="00442DC7" w:rsidRPr="001B36F1" w14:paraId="4D4450E4" w14:textId="77777777" w:rsidTr="00463383">
        <w:trPr>
          <w:trHeight w:hRule="exact" w:val="454"/>
        </w:trPr>
        <w:tc>
          <w:tcPr>
            <w:tcW w:w="2853" w:type="dxa"/>
            <w:shd w:val="clear" w:color="auto" w:fill="FFFFFF" w:themeFill="background1"/>
            <w:noWrap/>
            <w:vAlign w:val="center"/>
          </w:tcPr>
          <w:p w14:paraId="49C1861E" w14:textId="77777777" w:rsidR="00442DC7" w:rsidRPr="00832F09" w:rsidRDefault="00442DC7" w:rsidP="00463383">
            <w:pPr>
              <w:spacing w:after="200" w:line="360" w:lineRule="auto"/>
              <w:rPr>
                <w:rFonts w:cs="Arial"/>
                <w:sz w:val="24"/>
                <w:szCs w:val="24"/>
              </w:rPr>
            </w:pPr>
            <w:r w:rsidRPr="00832F09">
              <w:rPr>
                <w:rFonts w:cs="Arial"/>
                <w:sz w:val="24"/>
                <w:szCs w:val="24"/>
              </w:rPr>
              <w:t>Total</w:t>
            </w:r>
          </w:p>
        </w:tc>
        <w:tc>
          <w:tcPr>
            <w:tcW w:w="1571" w:type="dxa"/>
            <w:shd w:val="clear" w:color="auto" w:fill="FFFFFF" w:themeFill="background1"/>
            <w:noWrap/>
            <w:vAlign w:val="center"/>
          </w:tcPr>
          <w:p w14:paraId="20431AD2" w14:textId="77777777" w:rsidR="00442DC7" w:rsidRPr="00832F09" w:rsidRDefault="00442DC7" w:rsidP="00055070">
            <w:pPr>
              <w:spacing w:after="200" w:line="360" w:lineRule="auto"/>
              <w:jc w:val="center"/>
              <w:rPr>
                <w:rFonts w:cs="Arial"/>
                <w:sz w:val="24"/>
                <w:szCs w:val="24"/>
              </w:rPr>
            </w:pPr>
            <w:r>
              <w:rPr>
                <w:rFonts w:cs="Arial"/>
                <w:sz w:val="24"/>
                <w:szCs w:val="24"/>
              </w:rPr>
              <w:t>1,344</w:t>
            </w:r>
          </w:p>
        </w:tc>
        <w:tc>
          <w:tcPr>
            <w:tcW w:w="1571" w:type="dxa"/>
            <w:shd w:val="clear" w:color="auto" w:fill="FFFFFF" w:themeFill="background1"/>
            <w:noWrap/>
            <w:vAlign w:val="center"/>
          </w:tcPr>
          <w:p w14:paraId="4968AFAC" w14:textId="77777777" w:rsidR="00442DC7" w:rsidRPr="00832F09" w:rsidRDefault="00442DC7" w:rsidP="00055070">
            <w:pPr>
              <w:spacing w:after="200" w:line="360" w:lineRule="auto"/>
              <w:jc w:val="center"/>
              <w:rPr>
                <w:rFonts w:cs="Arial"/>
                <w:sz w:val="24"/>
                <w:szCs w:val="24"/>
              </w:rPr>
            </w:pPr>
            <w:r>
              <w:rPr>
                <w:rFonts w:cs="Arial"/>
                <w:sz w:val="24"/>
                <w:szCs w:val="24"/>
              </w:rPr>
              <w:t>3,402</w:t>
            </w:r>
          </w:p>
        </w:tc>
        <w:tc>
          <w:tcPr>
            <w:tcW w:w="1571" w:type="dxa"/>
            <w:shd w:val="clear" w:color="auto" w:fill="FFFFFF" w:themeFill="background1"/>
            <w:vAlign w:val="center"/>
          </w:tcPr>
          <w:p w14:paraId="50283AF7" w14:textId="77777777" w:rsidR="00442DC7" w:rsidRPr="00832F09" w:rsidRDefault="00442DC7" w:rsidP="00055070">
            <w:pPr>
              <w:spacing w:after="200" w:line="360" w:lineRule="auto"/>
              <w:jc w:val="center"/>
              <w:rPr>
                <w:rFonts w:cs="Arial"/>
                <w:sz w:val="24"/>
                <w:szCs w:val="24"/>
              </w:rPr>
            </w:pPr>
            <w:r>
              <w:rPr>
                <w:rFonts w:cs="Arial"/>
                <w:sz w:val="24"/>
                <w:szCs w:val="24"/>
              </w:rPr>
              <w:t>3,852</w:t>
            </w:r>
          </w:p>
        </w:tc>
        <w:tc>
          <w:tcPr>
            <w:tcW w:w="1571" w:type="dxa"/>
            <w:shd w:val="clear" w:color="auto" w:fill="FFFFFF" w:themeFill="background1"/>
            <w:vAlign w:val="center"/>
          </w:tcPr>
          <w:p w14:paraId="326AFBA2" w14:textId="77777777" w:rsidR="00442DC7" w:rsidRPr="00832F09" w:rsidRDefault="00442DC7" w:rsidP="00055070">
            <w:pPr>
              <w:spacing w:after="200" w:line="360" w:lineRule="auto"/>
              <w:jc w:val="center"/>
              <w:rPr>
                <w:rFonts w:cs="Arial"/>
                <w:sz w:val="24"/>
                <w:szCs w:val="24"/>
              </w:rPr>
            </w:pPr>
            <w:r>
              <w:rPr>
                <w:rFonts w:cs="Arial"/>
                <w:sz w:val="24"/>
                <w:szCs w:val="24"/>
              </w:rPr>
              <w:t>4,298</w:t>
            </w:r>
          </w:p>
        </w:tc>
      </w:tr>
    </w:tbl>
    <w:p w14:paraId="50E008E7" w14:textId="77777777" w:rsidR="00442DC7" w:rsidRPr="00770852" w:rsidRDefault="00442DC7" w:rsidP="007F069A">
      <w:pPr>
        <w:spacing w:after="0" w:line="360" w:lineRule="auto"/>
        <w:rPr>
          <w:rFonts w:cs="Arial"/>
          <w:bCs/>
          <w:color w:val="000000" w:themeColor="text1"/>
          <w:sz w:val="20"/>
          <w:szCs w:val="20"/>
        </w:rPr>
      </w:pPr>
      <w:r w:rsidRPr="00770852">
        <w:rPr>
          <w:rFonts w:cs="Arial"/>
          <w:bCs/>
          <w:color w:val="000000" w:themeColor="text1"/>
          <w:sz w:val="20"/>
          <w:szCs w:val="20"/>
        </w:rPr>
        <w:t xml:space="preserve">Source: </w:t>
      </w:r>
      <w:r>
        <w:rPr>
          <w:rFonts w:cs="Arial"/>
          <w:bCs/>
          <w:color w:val="000000" w:themeColor="text1"/>
          <w:sz w:val="20"/>
          <w:szCs w:val="20"/>
        </w:rPr>
        <w:t>Queensland Health</w:t>
      </w:r>
    </w:p>
    <w:p w14:paraId="3DC26A19" w14:textId="77777777" w:rsidR="00442DC7" w:rsidRPr="00CB510C" w:rsidRDefault="00442DC7" w:rsidP="00CB510C">
      <w:pPr>
        <w:spacing w:after="120" w:line="360" w:lineRule="auto"/>
        <w:rPr>
          <w:rFonts w:cs="Arial"/>
          <w:bCs/>
          <w:color w:val="000000" w:themeColor="text1"/>
          <w:sz w:val="20"/>
          <w:szCs w:val="20"/>
        </w:rPr>
      </w:pPr>
      <w:r w:rsidRPr="00770852">
        <w:rPr>
          <w:rFonts w:cs="Arial"/>
          <w:bCs/>
          <w:color w:val="000000" w:themeColor="text1"/>
          <w:sz w:val="20"/>
          <w:szCs w:val="20"/>
        </w:rPr>
        <w:t xml:space="preserve">Note: * Part year </w:t>
      </w:r>
      <w:r>
        <w:rPr>
          <w:rFonts w:cs="Arial"/>
          <w:bCs/>
          <w:color w:val="000000" w:themeColor="text1"/>
          <w:sz w:val="20"/>
          <w:szCs w:val="20"/>
        </w:rPr>
        <w:t>to August 2019</w:t>
      </w:r>
      <w:r w:rsidRPr="00770852">
        <w:rPr>
          <w:rFonts w:cs="Arial"/>
          <w:bCs/>
          <w:color w:val="000000" w:themeColor="text1"/>
          <w:sz w:val="20"/>
          <w:szCs w:val="20"/>
        </w:rPr>
        <w:t>.</w:t>
      </w:r>
    </w:p>
    <w:p w14:paraId="05D70F1F" w14:textId="3B15DB6A" w:rsidR="00442DC7" w:rsidRDefault="00442DC7" w:rsidP="00DA119A">
      <w:pPr>
        <w:pStyle w:val="Caption"/>
      </w:pPr>
      <w:bookmarkStart w:id="206" w:name="_Toc73091865"/>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7</w:t>
      </w:r>
      <w:r w:rsidR="00362D62">
        <w:rPr>
          <w:noProof/>
        </w:rPr>
        <w:fldChar w:fldCharType="end"/>
      </w:r>
      <w:r w:rsidRPr="00E811F0">
        <w:t>: Blood lead levels exceeding 5 µg/dL in Queensland 2016 to 2019 (non-occupational only)</w:t>
      </w:r>
      <w:bookmarkEnd w:id="206"/>
    </w:p>
    <w:tbl>
      <w:tblPr>
        <w:tblStyle w:val="TableGrid"/>
        <w:tblW w:w="9137" w:type="dxa"/>
        <w:jc w:val="center"/>
        <w:tblLayout w:type="fixed"/>
        <w:tblLook w:val="04A0" w:firstRow="1" w:lastRow="0" w:firstColumn="1" w:lastColumn="0" w:noHBand="0" w:noVBand="1"/>
        <w:tblCaption w:val="Table 7: Blood lead levels exceeding 5 micrograms in Queensland 2016 to 2019 (non-occupational only)"/>
        <w:tblDescription w:val="This table reports cases of blood lead levels exceeding 5 micrograms in Queensland between 2016 - 2019. "/>
      </w:tblPr>
      <w:tblGrid>
        <w:gridCol w:w="4568"/>
        <w:gridCol w:w="4569"/>
      </w:tblGrid>
      <w:tr w:rsidR="00442DC7" w:rsidRPr="005A65ED" w14:paraId="5C7FA301" w14:textId="77777777" w:rsidTr="00DA119A">
        <w:trPr>
          <w:tblHeader/>
          <w:jc w:val="center"/>
        </w:trPr>
        <w:tc>
          <w:tcPr>
            <w:tcW w:w="4568" w:type="dxa"/>
            <w:shd w:val="clear" w:color="auto" w:fill="002060"/>
          </w:tcPr>
          <w:p w14:paraId="01D70B1C" w14:textId="77777777" w:rsidR="00442DC7" w:rsidRPr="005A65ED" w:rsidRDefault="00442DC7" w:rsidP="00463383">
            <w:pPr>
              <w:spacing w:line="360" w:lineRule="auto"/>
              <w:jc w:val="center"/>
              <w:rPr>
                <w:rFonts w:cs="Arial"/>
                <w:bCs/>
                <w:color w:val="FFFFFF" w:themeColor="background1"/>
                <w:sz w:val="24"/>
                <w:szCs w:val="24"/>
              </w:rPr>
            </w:pPr>
            <w:r w:rsidRPr="005A65ED">
              <w:rPr>
                <w:rFonts w:cs="Arial"/>
                <w:bCs/>
                <w:color w:val="FFFFFF" w:themeColor="background1"/>
                <w:sz w:val="24"/>
                <w:szCs w:val="24"/>
              </w:rPr>
              <w:t>Blood Lead Level (µg/dL)</w:t>
            </w:r>
          </w:p>
        </w:tc>
        <w:tc>
          <w:tcPr>
            <w:tcW w:w="4569" w:type="dxa"/>
            <w:shd w:val="clear" w:color="auto" w:fill="002060"/>
          </w:tcPr>
          <w:p w14:paraId="31D1E65F" w14:textId="77777777" w:rsidR="00442DC7" w:rsidRPr="005A65ED" w:rsidRDefault="00442DC7" w:rsidP="00463383">
            <w:pPr>
              <w:spacing w:line="360" w:lineRule="auto"/>
              <w:jc w:val="center"/>
              <w:rPr>
                <w:rFonts w:cs="Arial"/>
                <w:bCs/>
                <w:color w:val="FFFFFF" w:themeColor="background1"/>
                <w:sz w:val="24"/>
                <w:szCs w:val="24"/>
              </w:rPr>
            </w:pPr>
            <w:r w:rsidRPr="005A65ED">
              <w:rPr>
                <w:rFonts w:cs="Arial"/>
                <w:bCs/>
                <w:color w:val="FFFFFF" w:themeColor="background1"/>
                <w:sz w:val="24"/>
                <w:szCs w:val="24"/>
              </w:rPr>
              <w:t>Number of non-occupational cases</w:t>
            </w:r>
          </w:p>
        </w:tc>
      </w:tr>
      <w:tr w:rsidR="00442DC7" w:rsidRPr="007700E5" w14:paraId="0E531A25" w14:textId="77777777" w:rsidTr="00DA119A">
        <w:trPr>
          <w:jc w:val="center"/>
        </w:trPr>
        <w:tc>
          <w:tcPr>
            <w:tcW w:w="4568" w:type="dxa"/>
          </w:tcPr>
          <w:p w14:paraId="279D3BB3" w14:textId="77777777" w:rsidR="00442DC7" w:rsidRPr="007700E5" w:rsidRDefault="00442DC7" w:rsidP="00463383">
            <w:pPr>
              <w:spacing w:line="360" w:lineRule="auto"/>
              <w:jc w:val="center"/>
              <w:rPr>
                <w:rFonts w:cs="Arial"/>
                <w:bCs/>
                <w:color w:val="000000" w:themeColor="text1"/>
                <w:sz w:val="24"/>
                <w:szCs w:val="24"/>
              </w:rPr>
            </w:pPr>
            <w:r w:rsidRPr="007700E5">
              <w:rPr>
                <w:color w:val="000000" w:themeColor="text1"/>
                <w:sz w:val="24"/>
                <w:szCs w:val="24"/>
              </w:rPr>
              <w:t xml:space="preserve">5-9 </w:t>
            </w:r>
            <w:r w:rsidRPr="007700E5">
              <w:rPr>
                <w:rFonts w:cs="Arial"/>
                <w:bCs/>
                <w:color w:val="000000" w:themeColor="text1"/>
                <w:sz w:val="24"/>
                <w:szCs w:val="24"/>
              </w:rPr>
              <w:t>µg/dL</w:t>
            </w:r>
          </w:p>
        </w:tc>
        <w:tc>
          <w:tcPr>
            <w:tcW w:w="4569" w:type="dxa"/>
          </w:tcPr>
          <w:p w14:paraId="56080FCD" w14:textId="77777777" w:rsidR="00442DC7" w:rsidRPr="007700E5" w:rsidRDefault="00442DC7" w:rsidP="00463383">
            <w:pPr>
              <w:spacing w:line="360" w:lineRule="auto"/>
              <w:jc w:val="center"/>
              <w:rPr>
                <w:rFonts w:cs="Arial"/>
                <w:bCs/>
                <w:color w:val="000000" w:themeColor="text1"/>
                <w:sz w:val="24"/>
                <w:szCs w:val="24"/>
              </w:rPr>
            </w:pPr>
            <w:r>
              <w:rPr>
                <w:rFonts w:cs="Arial"/>
                <w:bCs/>
                <w:color w:val="000000" w:themeColor="text1"/>
                <w:sz w:val="24"/>
                <w:szCs w:val="24"/>
              </w:rPr>
              <w:t>560</w:t>
            </w:r>
          </w:p>
        </w:tc>
      </w:tr>
      <w:tr w:rsidR="00442DC7" w:rsidRPr="007700E5" w14:paraId="2FC1EE88" w14:textId="77777777" w:rsidTr="00DA119A">
        <w:trPr>
          <w:jc w:val="center"/>
        </w:trPr>
        <w:tc>
          <w:tcPr>
            <w:tcW w:w="4568" w:type="dxa"/>
          </w:tcPr>
          <w:p w14:paraId="251EBBC9" w14:textId="77777777" w:rsidR="00442DC7" w:rsidRPr="007700E5" w:rsidRDefault="00442DC7" w:rsidP="00463383">
            <w:pPr>
              <w:spacing w:line="360" w:lineRule="auto"/>
              <w:jc w:val="center"/>
              <w:rPr>
                <w:rFonts w:cs="Arial"/>
                <w:bCs/>
                <w:color w:val="000000" w:themeColor="text1"/>
                <w:sz w:val="24"/>
                <w:szCs w:val="24"/>
              </w:rPr>
            </w:pPr>
            <w:r w:rsidRPr="007700E5">
              <w:rPr>
                <w:rFonts w:cs="Arial"/>
                <w:bCs/>
                <w:color w:val="000000" w:themeColor="text1"/>
                <w:sz w:val="24"/>
                <w:szCs w:val="24"/>
              </w:rPr>
              <w:t>10-1</w:t>
            </w:r>
            <w:r>
              <w:rPr>
                <w:rFonts w:cs="Arial"/>
                <w:bCs/>
                <w:color w:val="000000" w:themeColor="text1"/>
                <w:sz w:val="24"/>
                <w:szCs w:val="24"/>
              </w:rPr>
              <w:t>9</w:t>
            </w:r>
            <w:r w:rsidRPr="007700E5">
              <w:rPr>
                <w:rFonts w:cs="Arial"/>
                <w:bCs/>
                <w:color w:val="000000" w:themeColor="text1"/>
                <w:sz w:val="24"/>
                <w:szCs w:val="24"/>
              </w:rPr>
              <w:t xml:space="preserve"> µg/dL</w:t>
            </w:r>
          </w:p>
        </w:tc>
        <w:tc>
          <w:tcPr>
            <w:tcW w:w="4569" w:type="dxa"/>
          </w:tcPr>
          <w:p w14:paraId="2716C64B" w14:textId="77777777" w:rsidR="00442DC7" w:rsidRPr="007700E5" w:rsidRDefault="00442DC7" w:rsidP="00463383">
            <w:pPr>
              <w:spacing w:line="360" w:lineRule="auto"/>
              <w:jc w:val="center"/>
              <w:rPr>
                <w:rFonts w:cs="Arial"/>
                <w:bCs/>
                <w:color w:val="000000" w:themeColor="text1"/>
                <w:sz w:val="24"/>
                <w:szCs w:val="24"/>
              </w:rPr>
            </w:pPr>
            <w:r>
              <w:rPr>
                <w:rFonts w:cs="Arial"/>
                <w:bCs/>
                <w:color w:val="000000" w:themeColor="text1"/>
                <w:sz w:val="24"/>
                <w:szCs w:val="24"/>
              </w:rPr>
              <w:t>231</w:t>
            </w:r>
          </w:p>
        </w:tc>
      </w:tr>
      <w:tr w:rsidR="00442DC7" w:rsidRPr="007700E5" w14:paraId="31583800" w14:textId="77777777" w:rsidTr="00DA119A">
        <w:trPr>
          <w:jc w:val="center"/>
        </w:trPr>
        <w:tc>
          <w:tcPr>
            <w:tcW w:w="4568" w:type="dxa"/>
          </w:tcPr>
          <w:p w14:paraId="3DE8B597" w14:textId="77777777" w:rsidR="00442DC7" w:rsidRPr="007700E5" w:rsidRDefault="00442DC7" w:rsidP="00463383">
            <w:pPr>
              <w:spacing w:line="360" w:lineRule="auto"/>
              <w:jc w:val="center"/>
              <w:rPr>
                <w:rFonts w:cs="Arial"/>
                <w:bCs/>
                <w:color w:val="000000" w:themeColor="text1"/>
                <w:sz w:val="24"/>
                <w:szCs w:val="24"/>
              </w:rPr>
            </w:pPr>
            <w:r>
              <w:rPr>
                <w:rFonts w:cs="Arial"/>
                <w:bCs/>
                <w:color w:val="000000" w:themeColor="text1"/>
                <w:sz w:val="24"/>
                <w:szCs w:val="24"/>
              </w:rPr>
              <w:t xml:space="preserve">≥ 20 </w:t>
            </w:r>
            <w:r w:rsidRPr="007700E5">
              <w:rPr>
                <w:rFonts w:cs="Arial"/>
                <w:bCs/>
                <w:color w:val="000000" w:themeColor="text1"/>
                <w:sz w:val="24"/>
                <w:szCs w:val="24"/>
              </w:rPr>
              <w:t>µg/dL</w:t>
            </w:r>
          </w:p>
        </w:tc>
        <w:tc>
          <w:tcPr>
            <w:tcW w:w="4569" w:type="dxa"/>
          </w:tcPr>
          <w:p w14:paraId="238B480F" w14:textId="77777777" w:rsidR="00442DC7" w:rsidRPr="007700E5" w:rsidRDefault="00442DC7" w:rsidP="00463383">
            <w:pPr>
              <w:spacing w:line="360" w:lineRule="auto"/>
              <w:jc w:val="center"/>
              <w:rPr>
                <w:rFonts w:cs="Arial"/>
                <w:bCs/>
                <w:color w:val="000000" w:themeColor="text1"/>
                <w:sz w:val="24"/>
                <w:szCs w:val="24"/>
              </w:rPr>
            </w:pPr>
            <w:r>
              <w:rPr>
                <w:rFonts w:cs="Arial"/>
                <w:bCs/>
                <w:color w:val="000000" w:themeColor="text1"/>
                <w:sz w:val="24"/>
                <w:szCs w:val="24"/>
              </w:rPr>
              <w:t>84</w:t>
            </w:r>
          </w:p>
        </w:tc>
      </w:tr>
      <w:tr w:rsidR="00442DC7" w:rsidRPr="007700E5" w14:paraId="6EEF78E6" w14:textId="77777777" w:rsidTr="00DA119A">
        <w:trPr>
          <w:jc w:val="center"/>
        </w:trPr>
        <w:tc>
          <w:tcPr>
            <w:tcW w:w="4568" w:type="dxa"/>
          </w:tcPr>
          <w:p w14:paraId="20691598" w14:textId="77777777" w:rsidR="00442DC7" w:rsidRDefault="00442DC7" w:rsidP="00463383">
            <w:pPr>
              <w:spacing w:line="360" w:lineRule="auto"/>
              <w:jc w:val="center"/>
              <w:rPr>
                <w:rFonts w:cs="Arial"/>
                <w:bCs/>
                <w:color w:val="000000" w:themeColor="text1"/>
                <w:sz w:val="24"/>
                <w:szCs w:val="24"/>
              </w:rPr>
            </w:pPr>
            <w:r>
              <w:rPr>
                <w:rFonts w:cs="Arial"/>
                <w:bCs/>
                <w:color w:val="000000" w:themeColor="text1"/>
                <w:sz w:val="24"/>
                <w:szCs w:val="24"/>
              </w:rPr>
              <w:t>Total</w:t>
            </w:r>
          </w:p>
        </w:tc>
        <w:tc>
          <w:tcPr>
            <w:tcW w:w="4569" w:type="dxa"/>
          </w:tcPr>
          <w:p w14:paraId="7A6E2788" w14:textId="77777777" w:rsidR="00442DC7" w:rsidRDefault="00442DC7" w:rsidP="00463383">
            <w:pPr>
              <w:spacing w:line="360" w:lineRule="auto"/>
              <w:jc w:val="center"/>
              <w:rPr>
                <w:rFonts w:cs="Arial"/>
                <w:bCs/>
                <w:color w:val="000000" w:themeColor="text1"/>
                <w:sz w:val="24"/>
                <w:szCs w:val="24"/>
              </w:rPr>
            </w:pPr>
            <w:r>
              <w:rPr>
                <w:rFonts w:cs="Arial"/>
                <w:bCs/>
                <w:color w:val="000000" w:themeColor="text1"/>
                <w:sz w:val="24"/>
                <w:szCs w:val="24"/>
              </w:rPr>
              <w:t>875</w:t>
            </w:r>
          </w:p>
        </w:tc>
      </w:tr>
    </w:tbl>
    <w:p w14:paraId="73FE105B" w14:textId="77777777" w:rsidR="00442DC7" w:rsidRPr="00CB510C" w:rsidRDefault="00442DC7" w:rsidP="007F069A">
      <w:pPr>
        <w:spacing w:line="360" w:lineRule="auto"/>
        <w:rPr>
          <w:rFonts w:cs="Arial"/>
          <w:bCs/>
          <w:color w:val="000000" w:themeColor="text1"/>
          <w:sz w:val="20"/>
          <w:szCs w:val="20"/>
        </w:rPr>
      </w:pPr>
      <w:r w:rsidRPr="00770852">
        <w:rPr>
          <w:rFonts w:cs="Arial"/>
          <w:bCs/>
          <w:color w:val="000000" w:themeColor="text1"/>
          <w:sz w:val="20"/>
          <w:szCs w:val="20"/>
        </w:rPr>
        <w:t xml:space="preserve">Source: </w:t>
      </w:r>
      <w:r>
        <w:rPr>
          <w:rFonts w:cs="Arial"/>
          <w:bCs/>
          <w:color w:val="000000" w:themeColor="text1"/>
          <w:sz w:val="20"/>
          <w:szCs w:val="20"/>
        </w:rPr>
        <w:t>Queensland Health</w:t>
      </w:r>
    </w:p>
    <w:p w14:paraId="23F4CD64" w14:textId="1CD2427F" w:rsidR="00442DC7" w:rsidRDefault="00442DC7" w:rsidP="00DA119A">
      <w:pPr>
        <w:pStyle w:val="Caption"/>
      </w:pPr>
      <w:bookmarkStart w:id="207" w:name="_Toc73091866"/>
      <w:bookmarkStart w:id="208" w:name="_Hlk56346754"/>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8</w:t>
      </w:r>
      <w:r w:rsidR="00362D62">
        <w:rPr>
          <w:noProof/>
        </w:rPr>
        <w:fldChar w:fldCharType="end"/>
      </w:r>
      <w:r w:rsidRPr="00EF3FB7">
        <w:t>: Blood lead levels exceeding 5 µg/dL in Tasmania</w:t>
      </w:r>
      <w:bookmarkEnd w:id="207"/>
    </w:p>
    <w:tbl>
      <w:tblPr>
        <w:tblStyle w:val="TableGrid"/>
        <w:tblW w:w="9137" w:type="dxa"/>
        <w:tblLayout w:type="fixed"/>
        <w:tblLook w:val="04A0" w:firstRow="1" w:lastRow="0" w:firstColumn="1" w:lastColumn="0" w:noHBand="0" w:noVBand="1"/>
        <w:tblCaption w:val="Table 8: Blood lead levels exceeding 5 micrograms in Tasmania"/>
        <w:tblDescription w:val="This table reports cases of blood lead levels exceeding 5 micrograms in Tasmania between 2016 - 2019. "/>
      </w:tblPr>
      <w:tblGrid>
        <w:gridCol w:w="2853"/>
        <w:gridCol w:w="1571"/>
        <w:gridCol w:w="1571"/>
        <w:gridCol w:w="1571"/>
        <w:gridCol w:w="1571"/>
      </w:tblGrid>
      <w:tr w:rsidR="00442DC7" w:rsidRPr="001B36F1" w14:paraId="5D89E856" w14:textId="77777777" w:rsidTr="00C21D51">
        <w:trPr>
          <w:trHeight w:val="263"/>
          <w:tblHeader/>
        </w:trPr>
        <w:tc>
          <w:tcPr>
            <w:tcW w:w="2853" w:type="dxa"/>
            <w:shd w:val="clear" w:color="auto" w:fill="002060"/>
            <w:noWrap/>
            <w:vAlign w:val="center"/>
          </w:tcPr>
          <w:p w14:paraId="77E55543" w14:textId="77777777" w:rsidR="00442DC7" w:rsidRPr="001B36F1" w:rsidRDefault="00442DC7" w:rsidP="001B36F1">
            <w:pPr>
              <w:spacing w:after="200" w:line="360" w:lineRule="auto"/>
              <w:jc w:val="center"/>
              <w:rPr>
                <w:rFonts w:cs="Arial"/>
                <w:sz w:val="24"/>
                <w:szCs w:val="24"/>
              </w:rPr>
            </w:pPr>
            <w:bookmarkStart w:id="209" w:name="_Hlk49332898"/>
            <w:r w:rsidRPr="001B36F1">
              <w:rPr>
                <w:rFonts w:cs="Arial"/>
                <w:sz w:val="24"/>
                <w:szCs w:val="24"/>
              </w:rPr>
              <w:t>Exposure Type</w:t>
            </w:r>
          </w:p>
        </w:tc>
        <w:tc>
          <w:tcPr>
            <w:tcW w:w="1571" w:type="dxa"/>
            <w:shd w:val="clear" w:color="auto" w:fill="002060"/>
            <w:noWrap/>
            <w:vAlign w:val="center"/>
          </w:tcPr>
          <w:p w14:paraId="3404E5D9" w14:textId="77777777" w:rsidR="00442DC7" w:rsidRPr="001B36F1" w:rsidRDefault="00442DC7" w:rsidP="001B36F1">
            <w:pPr>
              <w:spacing w:after="200" w:line="360" w:lineRule="auto"/>
              <w:jc w:val="center"/>
              <w:rPr>
                <w:rFonts w:cs="Arial"/>
                <w:sz w:val="24"/>
                <w:szCs w:val="24"/>
              </w:rPr>
            </w:pPr>
            <w:r w:rsidRPr="001B36F1">
              <w:rPr>
                <w:rFonts w:cs="Arial"/>
                <w:sz w:val="24"/>
                <w:szCs w:val="24"/>
              </w:rPr>
              <w:t>2016</w:t>
            </w:r>
          </w:p>
        </w:tc>
        <w:tc>
          <w:tcPr>
            <w:tcW w:w="1571" w:type="dxa"/>
            <w:shd w:val="clear" w:color="auto" w:fill="002060"/>
            <w:noWrap/>
            <w:vAlign w:val="center"/>
          </w:tcPr>
          <w:p w14:paraId="3AF28F12" w14:textId="77777777" w:rsidR="00442DC7" w:rsidRPr="001B36F1" w:rsidRDefault="00442DC7" w:rsidP="001B36F1">
            <w:pPr>
              <w:spacing w:after="200" w:line="360" w:lineRule="auto"/>
              <w:jc w:val="center"/>
              <w:rPr>
                <w:rFonts w:cs="Arial"/>
                <w:sz w:val="24"/>
                <w:szCs w:val="24"/>
              </w:rPr>
            </w:pPr>
            <w:r w:rsidRPr="001B36F1">
              <w:rPr>
                <w:rFonts w:cs="Arial"/>
                <w:sz w:val="24"/>
                <w:szCs w:val="24"/>
              </w:rPr>
              <w:t>2017</w:t>
            </w:r>
          </w:p>
        </w:tc>
        <w:tc>
          <w:tcPr>
            <w:tcW w:w="1571" w:type="dxa"/>
            <w:shd w:val="clear" w:color="auto" w:fill="002060"/>
            <w:vAlign w:val="center"/>
          </w:tcPr>
          <w:p w14:paraId="06678C32" w14:textId="77777777" w:rsidR="00442DC7" w:rsidRPr="001B36F1" w:rsidRDefault="00442DC7" w:rsidP="001B36F1">
            <w:pPr>
              <w:spacing w:after="200" w:line="360" w:lineRule="auto"/>
              <w:jc w:val="center"/>
              <w:rPr>
                <w:rFonts w:cs="Arial"/>
                <w:sz w:val="24"/>
                <w:szCs w:val="24"/>
              </w:rPr>
            </w:pPr>
            <w:r w:rsidRPr="001B36F1">
              <w:rPr>
                <w:rFonts w:cs="Arial"/>
                <w:sz w:val="24"/>
                <w:szCs w:val="24"/>
              </w:rPr>
              <w:t>2018</w:t>
            </w:r>
          </w:p>
        </w:tc>
        <w:tc>
          <w:tcPr>
            <w:tcW w:w="1571" w:type="dxa"/>
            <w:shd w:val="clear" w:color="auto" w:fill="002060"/>
            <w:vAlign w:val="center"/>
          </w:tcPr>
          <w:p w14:paraId="4D7A07CB" w14:textId="77777777" w:rsidR="00442DC7" w:rsidRPr="001B36F1" w:rsidRDefault="00442DC7" w:rsidP="001B36F1">
            <w:pPr>
              <w:spacing w:after="200" w:line="360" w:lineRule="auto"/>
              <w:jc w:val="center"/>
              <w:rPr>
                <w:rFonts w:cs="Arial"/>
                <w:sz w:val="24"/>
                <w:szCs w:val="24"/>
              </w:rPr>
            </w:pPr>
            <w:r w:rsidRPr="001B36F1">
              <w:rPr>
                <w:rFonts w:cs="Arial"/>
                <w:sz w:val="24"/>
                <w:szCs w:val="24"/>
              </w:rPr>
              <w:t>2019</w:t>
            </w:r>
          </w:p>
        </w:tc>
      </w:tr>
      <w:tr w:rsidR="00442DC7" w:rsidRPr="001B36F1" w14:paraId="166237DC" w14:textId="77777777" w:rsidTr="00F04B35">
        <w:trPr>
          <w:trHeight w:hRule="exact" w:val="454"/>
        </w:trPr>
        <w:tc>
          <w:tcPr>
            <w:tcW w:w="2853" w:type="dxa"/>
            <w:shd w:val="clear" w:color="auto" w:fill="FFFFFF" w:themeFill="background1"/>
            <w:noWrap/>
            <w:vAlign w:val="center"/>
          </w:tcPr>
          <w:p w14:paraId="0EA3132C" w14:textId="77777777" w:rsidR="00442DC7" w:rsidRPr="00832F09" w:rsidRDefault="00442DC7" w:rsidP="00832F09">
            <w:pPr>
              <w:spacing w:after="200" w:line="360" w:lineRule="auto"/>
              <w:rPr>
                <w:rFonts w:cs="Arial"/>
                <w:sz w:val="24"/>
                <w:szCs w:val="24"/>
              </w:rPr>
            </w:pPr>
            <w:r w:rsidRPr="00832F09">
              <w:rPr>
                <w:rFonts w:cs="Arial"/>
                <w:sz w:val="24"/>
                <w:szCs w:val="24"/>
              </w:rPr>
              <w:t>Non-occupational</w:t>
            </w:r>
          </w:p>
        </w:tc>
        <w:tc>
          <w:tcPr>
            <w:tcW w:w="1571" w:type="dxa"/>
            <w:shd w:val="clear" w:color="auto" w:fill="FFFFFF" w:themeFill="background1"/>
            <w:noWrap/>
            <w:vAlign w:val="center"/>
          </w:tcPr>
          <w:p w14:paraId="21232FFD" w14:textId="77777777" w:rsidR="00442DC7" w:rsidRPr="00832F09" w:rsidRDefault="00442DC7" w:rsidP="003C62B5">
            <w:pPr>
              <w:spacing w:after="200" w:line="360" w:lineRule="auto"/>
              <w:jc w:val="center"/>
              <w:rPr>
                <w:rFonts w:cs="Arial"/>
                <w:sz w:val="24"/>
                <w:szCs w:val="24"/>
              </w:rPr>
            </w:pPr>
            <w:r w:rsidRPr="00832F09">
              <w:rPr>
                <w:rFonts w:cs="Arial"/>
                <w:sz w:val="24"/>
                <w:szCs w:val="24"/>
              </w:rPr>
              <w:t>16</w:t>
            </w:r>
          </w:p>
        </w:tc>
        <w:tc>
          <w:tcPr>
            <w:tcW w:w="1571" w:type="dxa"/>
            <w:shd w:val="clear" w:color="auto" w:fill="FFFFFF" w:themeFill="background1"/>
            <w:noWrap/>
            <w:vAlign w:val="center"/>
          </w:tcPr>
          <w:p w14:paraId="5DF4CECE" w14:textId="77777777" w:rsidR="00442DC7" w:rsidRPr="00832F09" w:rsidRDefault="00442DC7" w:rsidP="003C62B5">
            <w:pPr>
              <w:spacing w:after="200" w:line="360" w:lineRule="auto"/>
              <w:jc w:val="center"/>
              <w:rPr>
                <w:rFonts w:cs="Arial"/>
                <w:sz w:val="24"/>
                <w:szCs w:val="24"/>
              </w:rPr>
            </w:pPr>
            <w:r w:rsidRPr="00832F09">
              <w:rPr>
                <w:rFonts w:cs="Arial"/>
                <w:sz w:val="24"/>
                <w:szCs w:val="24"/>
              </w:rPr>
              <w:t>12</w:t>
            </w:r>
          </w:p>
        </w:tc>
        <w:tc>
          <w:tcPr>
            <w:tcW w:w="1571" w:type="dxa"/>
            <w:shd w:val="clear" w:color="auto" w:fill="FFFFFF" w:themeFill="background1"/>
            <w:vAlign w:val="center"/>
          </w:tcPr>
          <w:p w14:paraId="13AEA322" w14:textId="77777777" w:rsidR="00442DC7" w:rsidRPr="00832F09" w:rsidRDefault="00442DC7" w:rsidP="003C62B5">
            <w:pPr>
              <w:spacing w:after="200" w:line="360" w:lineRule="auto"/>
              <w:jc w:val="center"/>
              <w:rPr>
                <w:rFonts w:cs="Arial"/>
                <w:sz w:val="24"/>
                <w:szCs w:val="24"/>
              </w:rPr>
            </w:pPr>
            <w:r w:rsidRPr="00832F09">
              <w:rPr>
                <w:rFonts w:cs="Arial"/>
                <w:sz w:val="24"/>
                <w:szCs w:val="24"/>
              </w:rPr>
              <w:t>13</w:t>
            </w:r>
          </w:p>
        </w:tc>
        <w:tc>
          <w:tcPr>
            <w:tcW w:w="1571" w:type="dxa"/>
            <w:shd w:val="clear" w:color="auto" w:fill="FFFFFF" w:themeFill="background1"/>
            <w:vAlign w:val="center"/>
          </w:tcPr>
          <w:p w14:paraId="2DB51137" w14:textId="77777777" w:rsidR="00442DC7" w:rsidRPr="00832F09" w:rsidRDefault="00442DC7" w:rsidP="003C62B5">
            <w:pPr>
              <w:spacing w:after="200" w:line="360" w:lineRule="auto"/>
              <w:jc w:val="center"/>
              <w:rPr>
                <w:rFonts w:cs="Arial"/>
                <w:sz w:val="24"/>
                <w:szCs w:val="24"/>
              </w:rPr>
            </w:pPr>
            <w:r w:rsidRPr="00832F09">
              <w:rPr>
                <w:rFonts w:cs="Arial"/>
                <w:sz w:val="24"/>
                <w:szCs w:val="24"/>
              </w:rPr>
              <w:t>8</w:t>
            </w:r>
          </w:p>
        </w:tc>
      </w:tr>
      <w:tr w:rsidR="00442DC7" w:rsidRPr="001B36F1" w14:paraId="1F6A8609" w14:textId="77777777" w:rsidTr="00F04B35">
        <w:trPr>
          <w:trHeight w:hRule="exact" w:val="454"/>
        </w:trPr>
        <w:tc>
          <w:tcPr>
            <w:tcW w:w="2853" w:type="dxa"/>
            <w:shd w:val="clear" w:color="auto" w:fill="FFFFFF" w:themeFill="background1"/>
            <w:noWrap/>
            <w:vAlign w:val="center"/>
          </w:tcPr>
          <w:p w14:paraId="5105B455" w14:textId="77777777" w:rsidR="00442DC7" w:rsidRPr="00832F09" w:rsidRDefault="00442DC7" w:rsidP="00832F09">
            <w:pPr>
              <w:spacing w:after="200" w:line="360" w:lineRule="auto"/>
              <w:rPr>
                <w:rFonts w:cs="Arial"/>
                <w:sz w:val="24"/>
                <w:szCs w:val="24"/>
              </w:rPr>
            </w:pPr>
            <w:r w:rsidRPr="00832F09">
              <w:rPr>
                <w:rFonts w:cs="Arial"/>
                <w:sz w:val="24"/>
                <w:szCs w:val="24"/>
              </w:rPr>
              <w:t>Occupational</w:t>
            </w:r>
          </w:p>
        </w:tc>
        <w:tc>
          <w:tcPr>
            <w:tcW w:w="1571" w:type="dxa"/>
            <w:shd w:val="clear" w:color="auto" w:fill="FFFFFF" w:themeFill="background1"/>
            <w:noWrap/>
            <w:vAlign w:val="center"/>
          </w:tcPr>
          <w:p w14:paraId="62E410AC" w14:textId="77777777" w:rsidR="00442DC7" w:rsidRPr="00832F09" w:rsidRDefault="00442DC7" w:rsidP="003C62B5">
            <w:pPr>
              <w:spacing w:after="200" w:line="360" w:lineRule="auto"/>
              <w:jc w:val="center"/>
              <w:rPr>
                <w:rFonts w:cs="Arial"/>
                <w:sz w:val="24"/>
                <w:szCs w:val="24"/>
              </w:rPr>
            </w:pPr>
            <w:r w:rsidRPr="00832F09">
              <w:rPr>
                <w:rFonts w:cs="Arial"/>
                <w:sz w:val="24"/>
                <w:szCs w:val="24"/>
              </w:rPr>
              <w:t>47</w:t>
            </w:r>
          </w:p>
        </w:tc>
        <w:tc>
          <w:tcPr>
            <w:tcW w:w="1571" w:type="dxa"/>
            <w:shd w:val="clear" w:color="auto" w:fill="FFFFFF" w:themeFill="background1"/>
            <w:noWrap/>
            <w:vAlign w:val="center"/>
          </w:tcPr>
          <w:p w14:paraId="6260709F" w14:textId="77777777" w:rsidR="00442DC7" w:rsidRPr="00832F09" w:rsidRDefault="00442DC7" w:rsidP="003C62B5">
            <w:pPr>
              <w:spacing w:after="200" w:line="360" w:lineRule="auto"/>
              <w:jc w:val="center"/>
              <w:rPr>
                <w:rFonts w:cs="Arial"/>
                <w:sz w:val="24"/>
                <w:szCs w:val="24"/>
              </w:rPr>
            </w:pPr>
            <w:r w:rsidRPr="00832F09">
              <w:rPr>
                <w:rFonts w:cs="Arial"/>
                <w:sz w:val="24"/>
                <w:szCs w:val="24"/>
              </w:rPr>
              <w:t>65</w:t>
            </w:r>
          </w:p>
        </w:tc>
        <w:tc>
          <w:tcPr>
            <w:tcW w:w="1571" w:type="dxa"/>
            <w:shd w:val="clear" w:color="auto" w:fill="FFFFFF" w:themeFill="background1"/>
            <w:vAlign w:val="center"/>
          </w:tcPr>
          <w:p w14:paraId="28CD714F" w14:textId="77777777" w:rsidR="00442DC7" w:rsidRPr="00832F09" w:rsidRDefault="00442DC7" w:rsidP="003C62B5">
            <w:pPr>
              <w:spacing w:after="200" w:line="360" w:lineRule="auto"/>
              <w:jc w:val="center"/>
              <w:rPr>
                <w:rFonts w:cs="Arial"/>
                <w:sz w:val="24"/>
                <w:szCs w:val="24"/>
              </w:rPr>
            </w:pPr>
            <w:r w:rsidRPr="00832F09">
              <w:rPr>
                <w:rFonts w:cs="Arial"/>
                <w:sz w:val="24"/>
                <w:szCs w:val="24"/>
              </w:rPr>
              <w:t>65</w:t>
            </w:r>
          </w:p>
        </w:tc>
        <w:tc>
          <w:tcPr>
            <w:tcW w:w="1571" w:type="dxa"/>
            <w:shd w:val="clear" w:color="auto" w:fill="FFFFFF" w:themeFill="background1"/>
            <w:vAlign w:val="center"/>
          </w:tcPr>
          <w:p w14:paraId="6C80AC9A" w14:textId="77777777" w:rsidR="00442DC7" w:rsidRPr="00832F09" w:rsidRDefault="00442DC7" w:rsidP="003C62B5">
            <w:pPr>
              <w:spacing w:after="200" w:line="360" w:lineRule="auto"/>
              <w:jc w:val="center"/>
              <w:rPr>
                <w:rFonts w:cs="Arial"/>
                <w:sz w:val="24"/>
                <w:szCs w:val="24"/>
              </w:rPr>
            </w:pPr>
            <w:r w:rsidRPr="00832F09">
              <w:rPr>
                <w:rFonts w:cs="Arial"/>
                <w:sz w:val="24"/>
                <w:szCs w:val="24"/>
              </w:rPr>
              <w:t>39</w:t>
            </w:r>
          </w:p>
        </w:tc>
      </w:tr>
      <w:tr w:rsidR="00442DC7" w:rsidRPr="001B36F1" w14:paraId="1626A71C" w14:textId="77777777" w:rsidTr="00F04B35">
        <w:trPr>
          <w:trHeight w:hRule="exact" w:val="454"/>
        </w:trPr>
        <w:tc>
          <w:tcPr>
            <w:tcW w:w="2853" w:type="dxa"/>
            <w:shd w:val="clear" w:color="auto" w:fill="FFFFFF" w:themeFill="background1"/>
            <w:noWrap/>
            <w:vAlign w:val="center"/>
          </w:tcPr>
          <w:p w14:paraId="54A4C4EF" w14:textId="77777777" w:rsidR="00442DC7" w:rsidRPr="00832F09" w:rsidRDefault="00442DC7" w:rsidP="00832F09">
            <w:pPr>
              <w:spacing w:after="200" w:line="360" w:lineRule="auto"/>
              <w:rPr>
                <w:rFonts w:cs="Arial"/>
                <w:sz w:val="24"/>
                <w:szCs w:val="24"/>
              </w:rPr>
            </w:pPr>
            <w:r w:rsidRPr="00832F09">
              <w:rPr>
                <w:rFonts w:cs="Arial"/>
                <w:sz w:val="24"/>
                <w:szCs w:val="24"/>
              </w:rPr>
              <w:t>Unknown</w:t>
            </w:r>
          </w:p>
        </w:tc>
        <w:tc>
          <w:tcPr>
            <w:tcW w:w="1571" w:type="dxa"/>
            <w:shd w:val="clear" w:color="auto" w:fill="FFFFFF" w:themeFill="background1"/>
            <w:noWrap/>
            <w:vAlign w:val="center"/>
          </w:tcPr>
          <w:p w14:paraId="5023F178" w14:textId="77777777" w:rsidR="00442DC7" w:rsidRPr="00832F09" w:rsidRDefault="00442DC7" w:rsidP="003C62B5">
            <w:pPr>
              <w:spacing w:after="200" w:line="360" w:lineRule="auto"/>
              <w:jc w:val="center"/>
              <w:rPr>
                <w:rFonts w:cs="Arial"/>
                <w:sz w:val="24"/>
                <w:szCs w:val="24"/>
              </w:rPr>
            </w:pPr>
            <w:r w:rsidRPr="00832F09">
              <w:rPr>
                <w:rFonts w:cs="Arial"/>
                <w:sz w:val="24"/>
                <w:szCs w:val="24"/>
              </w:rPr>
              <w:t>3</w:t>
            </w:r>
          </w:p>
        </w:tc>
        <w:tc>
          <w:tcPr>
            <w:tcW w:w="1571" w:type="dxa"/>
            <w:shd w:val="clear" w:color="auto" w:fill="FFFFFF" w:themeFill="background1"/>
            <w:noWrap/>
            <w:vAlign w:val="center"/>
          </w:tcPr>
          <w:p w14:paraId="0DF370F9" w14:textId="77777777" w:rsidR="00442DC7" w:rsidRPr="00832F09" w:rsidRDefault="00442DC7" w:rsidP="003C62B5">
            <w:pPr>
              <w:spacing w:after="200" w:line="360" w:lineRule="auto"/>
              <w:jc w:val="center"/>
              <w:rPr>
                <w:rFonts w:cs="Arial"/>
                <w:sz w:val="24"/>
                <w:szCs w:val="24"/>
              </w:rPr>
            </w:pPr>
            <w:r w:rsidRPr="00832F09">
              <w:rPr>
                <w:rFonts w:cs="Arial"/>
                <w:sz w:val="24"/>
                <w:szCs w:val="24"/>
              </w:rPr>
              <w:t>4</w:t>
            </w:r>
          </w:p>
        </w:tc>
        <w:tc>
          <w:tcPr>
            <w:tcW w:w="1571" w:type="dxa"/>
            <w:shd w:val="clear" w:color="auto" w:fill="FFFFFF" w:themeFill="background1"/>
            <w:vAlign w:val="center"/>
          </w:tcPr>
          <w:p w14:paraId="4F41B4E8" w14:textId="77777777" w:rsidR="00442DC7" w:rsidRPr="00832F09" w:rsidRDefault="00442DC7" w:rsidP="003C62B5">
            <w:pPr>
              <w:spacing w:after="200" w:line="360" w:lineRule="auto"/>
              <w:jc w:val="center"/>
              <w:rPr>
                <w:rFonts w:cs="Arial"/>
                <w:sz w:val="24"/>
                <w:szCs w:val="24"/>
              </w:rPr>
            </w:pPr>
            <w:r w:rsidRPr="00832F09">
              <w:rPr>
                <w:rFonts w:cs="Arial"/>
                <w:sz w:val="24"/>
                <w:szCs w:val="24"/>
              </w:rPr>
              <w:t>5</w:t>
            </w:r>
          </w:p>
        </w:tc>
        <w:tc>
          <w:tcPr>
            <w:tcW w:w="1571" w:type="dxa"/>
            <w:shd w:val="clear" w:color="auto" w:fill="FFFFFF" w:themeFill="background1"/>
            <w:vAlign w:val="center"/>
          </w:tcPr>
          <w:p w14:paraId="26C607D1" w14:textId="77777777" w:rsidR="00442DC7" w:rsidRPr="00832F09" w:rsidRDefault="00442DC7" w:rsidP="003C62B5">
            <w:pPr>
              <w:spacing w:after="200" w:line="360" w:lineRule="auto"/>
              <w:jc w:val="center"/>
              <w:rPr>
                <w:rFonts w:cs="Arial"/>
                <w:sz w:val="24"/>
                <w:szCs w:val="24"/>
              </w:rPr>
            </w:pPr>
            <w:r w:rsidRPr="00832F09">
              <w:rPr>
                <w:rFonts w:cs="Arial"/>
                <w:sz w:val="24"/>
                <w:szCs w:val="24"/>
              </w:rPr>
              <w:t>14</w:t>
            </w:r>
          </w:p>
        </w:tc>
      </w:tr>
      <w:tr w:rsidR="00442DC7" w:rsidRPr="001B36F1" w14:paraId="6043AB25" w14:textId="77777777" w:rsidTr="00F04B35">
        <w:trPr>
          <w:trHeight w:hRule="exact" w:val="454"/>
        </w:trPr>
        <w:tc>
          <w:tcPr>
            <w:tcW w:w="2853" w:type="dxa"/>
            <w:shd w:val="clear" w:color="auto" w:fill="FFFFFF" w:themeFill="background1"/>
            <w:noWrap/>
            <w:vAlign w:val="center"/>
          </w:tcPr>
          <w:p w14:paraId="63E589E7" w14:textId="77777777" w:rsidR="00442DC7" w:rsidRPr="00832F09" w:rsidRDefault="00442DC7" w:rsidP="00832F09">
            <w:pPr>
              <w:spacing w:after="200" w:line="360" w:lineRule="auto"/>
              <w:rPr>
                <w:rFonts w:cs="Arial"/>
                <w:sz w:val="24"/>
                <w:szCs w:val="24"/>
              </w:rPr>
            </w:pPr>
            <w:r w:rsidRPr="00832F09">
              <w:rPr>
                <w:rFonts w:cs="Arial"/>
                <w:sz w:val="24"/>
                <w:szCs w:val="24"/>
              </w:rPr>
              <w:t>Total</w:t>
            </w:r>
          </w:p>
        </w:tc>
        <w:tc>
          <w:tcPr>
            <w:tcW w:w="1571" w:type="dxa"/>
            <w:shd w:val="clear" w:color="auto" w:fill="FFFFFF" w:themeFill="background1"/>
            <w:noWrap/>
            <w:vAlign w:val="center"/>
          </w:tcPr>
          <w:p w14:paraId="77E84D9D" w14:textId="77777777" w:rsidR="00442DC7" w:rsidRPr="00832F09" w:rsidRDefault="00442DC7" w:rsidP="003C62B5">
            <w:pPr>
              <w:spacing w:after="200" w:line="360" w:lineRule="auto"/>
              <w:jc w:val="center"/>
              <w:rPr>
                <w:rFonts w:cs="Arial"/>
                <w:sz w:val="24"/>
                <w:szCs w:val="24"/>
              </w:rPr>
            </w:pPr>
            <w:r w:rsidRPr="00832F09">
              <w:rPr>
                <w:rFonts w:cs="Arial"/>
                <w:sz w:val="24"/>
                <w:szCs w:val="24"/>
              </w:rPr>
              <w:t>66</w:t>
            </w:r>
          </w:p>
        </w:tc>
        <w:tc>
          <w:tcPr>
            <w:tcW w:w="1571" w:type="dxa"/>
            <w:shd w:val="clear" w:color="auto" w:fill="FFFFFF" w:themeFill="background1"/>
            <w:noWrap/>
            <w:vAlign w:val="center"/>
          </w:tcPr>
          <w:p w14:paraId="25F6730D" w14:textId="77777777" w:rsidR="00442DC7" w:rsidRPr="00832F09" w:rsidRDefault="00442DC7" w:rsidP="003C62B5">
            <w:pPr>
              <w:spacing w:after="200" w:line="360" w:lineRule="auto"/>
              <w:jc w:val="center"/>
              <w:rPr>
                <w:rFonts w:cs="Arial"/>
                <w:sz w:val="24"/>
                <w:szCs w:val="24"/>
              </w:rPr>
            </w:pPr>
            <w:r w:rsidRPr="00832F09">
              <w:rPr>
                <w:rFonts w:cs="Arial"/>
                <w:sz w:val="24"/>
                <w:szCs w:val="24"/>
              </w:rPr>
              <w:t>81</w:t>
            </w:r>
          </w:p>
        </w:tc>
        <w:tc>
          <w:tcPr>
            <w:tcW w:w="1571" w:type="dxa"/>
            <w:shd w:val="clear" w:color="auto" w:fill="FFFFFF" w:themeFill="background1"/>
            <w:vAlign w:val="center"/>
          </w:tcPr>
          <w:p w14:paraId="7AA88CAA" w14:textId="77777777" w:rsidR="00442DC7" w:rsidRPr="00832F09" w:rsidRDefault="00442DC7" w:rsidP="003C62B5">
            <w:pPr>
              <w:spacing w:after="200" w:line="360" w:lineRule="auto"/>
              <w:jc w:val="center"/>
              <w:rPr>
                <w:rFonts w:cs="Arial"/>
                <w:sz w:val="24"/>
                <w:szCs w:val="24"/>
              </w:rPr>
            </w:pPr>
            <w:r w:rsidRPr="00832F09">
              <w:rPr>
                <w:rFonts w:cs="Arial"/>
                <w:sz w:val="24"/>
                <w:szCs w:val="24"/>
              </w:rPr>
              <w:t>83</w:t>
            </w:r>
          </w:p>
        </w:tc>
        <w:tc>
          <w:tcPr>
            <w:tcW w:w="1571" w:type="dxa"/>
            <w:shd w:val="clear" w:color="auto" w:fill="FFFFFF" w:themeFill="background1"/>
            <w:vAlign w:val="center"/>
          </w:tcPr>
          <w:p w14:paraId="2F2958E2" w14:textId="77777777" w:rsidR="00442DC7" w:rsidRPr="00832F09" w:rsidRDefault="00442DC7" w:rsidP="003C62B5">
            <w:pPr>
              <w:spacing w:after="200" w:line="360" w:lineRule="auto"/>
              <w:jc w:val="center"/>
              <w:rPr>
                <w:rFonts w:cs="Arial"/>
                <w:sz w:val="24"/>
                <w:szCs w:val="24"/>
              </w:rPr>
            </w:pPr>
            <w:r w:rsidRPr="00832F09">
              <w:rPr>
                <w:rFonts w:cs="Arial"/>
                <w:sz w:val="24"/>
                <w:szCs w:val="24"/>
              </w:rPr>
              <w:t>61</w:t>
            </w:r>
          </w:p>
        </w:tc>
      </w:tr>
    </w:tbl>
    <w:bookmarkEnd w:id="209"/>
    <w:p w14:paraId="1F098A80" w14:textId="77777777" w:rsidR="00442DC7" w:rsidRPr="00770852" w:rsidRDefault="00442DC7" w:rsidP="007F069A">
      <w:pPr>
        <w:spacing w:after="120" w:line="360" w:lineRule="auto"/>
        <w:rPr>
          <w:rFonts w:cs="Arial"/>
          <w:bCs/>
          <w:color w:val="000000" w:themeColor="text1"/>
          <w:sz w:val="20"/>
          <w:szCs w:val="20"/>
        </w:rPr>
      </w:pPr>
      <w:r w:rsidRPr="00770852">
        <w:rPr>
          <w:rFonts w:cs="Arial"/>
          <w:bCs/>
          <w:color w:val="000000" w:themeColor="text1"/>
          <w:sz w:val="20"/>
          <w:szCs w:val="20"/>
        </w:rPr>
        <w:t>Source: Department of Health (Tasmania)</w:t>
      </w:r>
    </w:p>
    <w:p w14:paraId="2167DB16" w14:textId="20BED8BC" w:rsidR="00442DC7" w:rsidRDefault="00442DC7" w:rsidP="00DA119A">
      <w:pPr>
        <w:pStyle w:val="Caption"/>
      </w:pPr>
      <w:bookmarkStart w:id="210" w:name="_Toc73091867"/>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9</w:t>
      </w:r>
      <w:r w:rsidR="00362D62">
        <w:rPr>
          <w:noProof/>
        </w:rPr>
        <w:fldChar w:fldCharType="end"/>
      </w:r>
      <w:r w:rsidRPr="005B33A4">
        <w:t>: Blood lead levels exceeding 5 µg/dL in Tasmania 2016 to 2019 (non-occupational only)</w:t>
      </w:r>
      <w:bookmarkEnd w:id="210"/>
    </w:p>
    <w:tbl>
      <w:tblPr>
        <w:tblStyle w:val="TableGrid"/>
        <w:tblW w:w="9137" w:type="dxa"/>
        <w:jc w:val="center"/>
        <w:tblLayout w:type="fixed"/>
        <w:tblLook w:val="04A0" w:firstRow="1" w:lastRow="0" w:firstColumn="1" w:lastColumn="0" w:noHBand="0" w:noVBand="1"/>
        <w:tblCaption w:val="Table 9: Blood lead levels exceeding 5 micrograms in Tasmania 2016 to 2019 (non-occupational only)"/>
        <w:tblDescription w:val="This table reports cases of non-occupational blood lead levels exceeding 5 micrograms in Tasmania between 2016 - 2019. "/>
      </w:tblPr>
      <w:tblGrid>
        <w:gridCol w:w="4568"/>
        <w:gridCol w:w="4569"/>
      </w:tblGrid>
      <w:tr w:rsidR="00442DC7" w:rsidRPr="005A65ED" w14:paraId="5E78191B" w14:textId="77777777" w:rsidTr="00750A44">
        <w:trPr>
          <w:tblHeader/>
          <w:jc w:val="center"/>
        </w:trPr>
        <w:tc>
          <w:tcPr>
            <w:tcW w:w="4568" w:type="dxa"/>
            <w:shd w:val="clear" w:color="auto" w:fill="002060"/>
          </w:tcPr>
          <w:p w14:paraId="1582E655" w14:textId="77777777" w:rsidR="00442DC7" w:rsidRPr="005A65ED" w:rsidRDefault="00442DC7" w:rsidP="00C755FF">
            <w:pPr>
              <w:spacing w:line="360" w:lineRule="auto"/>
              <w:jc w:val="center"/>
              <w:rPr>
                <w:rFonts w:cs="Arial"/>
                <w:bCs/>
                <w:color w:val="FFFFFF" w:themeColor="background1"/>
                <w:sz w:val="24"/>
                <w:szCs w:val="24"/>
              </w:rPr>
            </w:pPr>
            <w:r w:rsidRPr="005A65ED">
              <w:rPr>
                <w:rFonts w:cs="Arial"/>
                <w:bCs/>
                <w:color w:val="FFFFFF" w:themeColor="background1"/>
                <w:sz w:val="24"/>
                <w:szCs w:val="24"/>
              </w:rPr>
              <w:t>Blood Lead Level (µg/dL)</w:t>
            </w:r>
          </w:p>
        </w:tc>
        <w:tc>
          <w:tcPr>
            <w:tcW w:w="4569" w:type="dxa"/>
            <w:shd w:val="clear" w:color="auto" w:fill="002060"/>
          </w:tcPr>
          <w:p w14:paraId="59CB11D6" w14:textId="77777777" w:rsidR="00442DC7" w:rsidRPr="005A65ED" w:rsidRDefault="00442DC7" w:rsidP="00C755FF">
            <w:pPr>
              <w:spacing w:line="360" w:lineRule="auto"/>
              <w:jc w:val="center"/>
              <w:rPr>
                <w:rFonts w:cs="Arial"/>
                <w:bCs/>
                <w:color w:val="FFFFFF" w:themeColor="background1"/>
                <w:sz w:val="24"/>
                <w:szCs w:val="24"/>
              </w:rPr>
            </w:pPr>
            <w:r w:rsidRPr="005A65ED">
              <w:rPr>
                <w:rFonts w:cs="Arial"/>
                <w:bCs/>
                <w:color w:val="FFFFFF" w:themeColor="background1"/>
                <w:sz w:val="24"/>
                <w:szCs w:val="24"/>
              </w:rPr>
              <w:t>Number of non-occupational cases</w:t>
            </w:r>
          </w:p>
        </w:tc>
      </w:tr>
      <w:tr w:rsidR="00442DC7" w:rsidRPr="007700E5" w14:paraId="579F4FEE" w14:textId="77777777" w:rsidTr="00750A44">
        <w:trPr>
          <w:jc w:val="center"/>
        </w:trPr>
        <w:tc>
          <w:tcPr>
            <w:tcW w:w="4568" w:type="dxa"/>
          </w:tcPr>
          <w:p w14:paraId="4067FCE5" w14:textId="77777777" w:rsidR="00442DC7" w:rsidRPr="007700E5" w:rsidRDefault="00442DC7" w:rsidP="00C755FF">
            <w:pPr>
              <w:spacing w:line="360" w:lineRule="auto"/>
              <w:jc w:val="center"/>
              <w:rPr>
                <w:rFonts w:cs="Arial"/>
                <w:bCs/>
                <w:color w:val="000000" w:themeColor="text1"/>
                <w:sz w:val="24"/>
                <w:szCs w:val="24"/>
              </w:rPr>
            </w:pPr>
            <w:r w:rsidRPr="007700E5">
              <w:rPr>
                <w:color w:val="000000" w:themeColor="text1"/>
                <w:sz w:val="24"/>
                <w:szCs w:val="24"/>
              </w:rPr>
              <w:t xml:space="preserve">5-9 </w:t>
            </w:r>
            <w:r w:rsidRPr="007700E5">
              <w:rPr>
                <w:rFonts w:cs="Arial"/>
                <w:bCs/>
                <w:color w:val="000000" w:themeColor="text1"/>
                <w:sz w:val="24"/>
                <w:szCs w:val="24"/>
              </w:rPr>
              <w:t>µg/dL</w:t>
            </w:r>
          </w:p>
        </w:tc>
        <w:tc>
          <w:tcPr>
            <w:tcW w:w="4569" w:type="dxa"/>
          </w:tcPr>
          <w:p w14:paraId="705DC018" w14:textId="77777777" w:rsidR="00442DC7" w:rsidRPr="007700E5" w:rsidRDefault="00442DC7" w:rsidP="00C755FF">
            <w:pPr>
              <w:spacing w:line="360" w:lineRule="auto"/>
              <w:jc w:val="center"/>
              <w:rPr>
                <w:rFonts w:cs="Arial"/>
                <w:bCs/>
                <w:color w:val="000000" w:themeColor="text1"/>
                <w:sz w:val="24"/>
                <w:szCs w:val="24"/>
              </w:rPr>
            </w:pPr>
            <w:r>
              <w:rPr>
                <w:rFonts w:cs="Arial"/>
                <w:bCs/>
                <w:color w:val="000000" w:themeColor="text1"/>
                <w:sz w:val="24"/>
                <w:szCs w:val="24"/>
              </w:rPr>
              <w:t>38</w:t>
            </w:r>
          </w:p>
        </w:tc>
      </w:tr>
      <w:tr w:rsidR="00442DC7" w:rsidRPr="007700E5" w14:paraId="46C729C5" w14:textId="77777777" w:rsidTr="00750A44">
        <w:trPr>
          <w:jc w:val="center"/>
        </w:trPr>
        <w:tc>
          <w:tcPr>
            <w:tcW w:w="4568" w:type="dxa"/>
          </w:tcPr>
          <w:p w14:paraId="15CA3701" w14:textId="77777777" w:rsidR="00442DC7" w:rsidRPr="007700E5" w:rsidRDefault="00442DC7" w:rsidP="00C755FF">
            <w:pPr>
              <w:spacing w:line="360" w:lineRule="auto"/>
              <w:jc w:val="center"/>
              <w:rPr>
                <w:rFonts w:cs="Arial"/>
                <w:bCs/>
                <w:color w:val="000000" w:themeColor="text1"/>
                <w:sz w:val="24"/>
                <w:szCs w:val="24"/>
              </w:rPr>
            </w:pPr>
            <w:r w:rsidRPr="007700E5">
              <w:rPr>
                <w:rFonts w:cs="Arial"/>
                <w:bCs/>
                <w:color w:val="000000" w:themeColor="text1"/>
                <w:sz w:val="24"/>
                <w:szCs w:val="24"/>
              </w:rPr>
              <w:t>10-1</w:t>
            </w:r>
            <w:r>
              <w:rPr>
                <w:rFonts w:cs="Arial"/>
                <w:bCs/>
                <w:color w:val="000000" w:themeColor="text1"/>
                <w:sz w:val="24"/>
                <w:szCs w:val="24"/>
              </w:rPr>
              <w:t>9</w:t>
            </w:r>
            <w:r w:rsidRPr="007700E5">
              <w:rPr>
                <w:rFonts w:cs="Arial"/>
                <w:bCs/>
                <w:color w:val="000000" w:themeColor="text1"/>
                <w:sz w:val="24"/>
                <w:szCs w:val="24"/>
              </w:rPr>
              <w:t xml:space="preserve"> µg/dL</w:t>
            </w:r>
          </w:p>
        </w:tc>
        <w:tc>
          <w:tcPr>
            <w:tcW w:w="4569" w:type="dxa"/>
          </w:tcPr>
          <w:p w14:paraId="09ACD72A" w14:textId="77777777" w:rsidR="00442DC7" w:rsidRPr="007700E5" w:rsidRDefault="00442DC7" w:rsidP="00C755FF">
            <w:pPr>
              <w:spacing w:line="360" w:lineRule="auto"/>
              <w:jc w:val="center"/>
              <w:rPr>
                <w:rFonts w:cs="Arial"/>
                <w:bCs/>
                <w:color w:val="000000" w:themeColor="text1"/>
                <w:sz w:val="24"/>
                <w:szCs w:val="24"/>
              </w:rPr>
            </w:pPr>
            <w:r>
              <w:rPr>
                <w:rFonts w:cs="Arial"/>
                <w:bCs/>
                <w:color w:val="000000" w:themeColor="text1"/>
                <w:sz w:val="24"/>
                <w:szCs w:val="24"/>
              </w:rPr>
              <w:t>9</w:t>
            </w:r>
          </w:p>
        </w:tc>
      </w:tr>
      <w:tr w:rsidR="00442DC7" w:rsidRPr="007700E5" w14:paraId="0BEAA7AB" w14:textId="77777777" w:rsidTr="00750A44">
        <w:trPr>
          <w:jc w:val="center"/>
        </w:trPr>
        <w:tc>
          <w:tcPr>
            <w:tcW w:w="4568" w:type="dxa"/>
          </w:tcPr>
          <w:p w14:paraId="619A374B" w14:textId="77777777" w:rsidR="00442DC7" w:rsidRPr="007700E5" w:rsidRDefault="00442DC7" w:rsidP="00C755FF">
            <w:pPr>
              <w:spacing w:line="360" w:lineRule="auto"/>
              <w:jc w:val="center"/>
              <w:rPr>
                <w:rFonts w:cs="Arial"/>
                <w:bCs/>
                <w:color w:val="000000" w:themeColor="text1"/>
                <w:sz w:val="24"/>
                <w:szCs w:val="24"/>
              </w:rPr>
            </w:pPr>
            <w:r>
              <w:rPr>
                <w:rFonts w:cs="Arial"/>
                <w:bCs/>
                <w:color w:val="000000" w:themeColor="text1"/>
                <w:sz w:val="24"/>
                <w:szCs w:val="24"/>
              </w:rPr>
              <w:t xml:space="preserve">≥ 20 </w:t>
            </w:r>
            <w:r w:rsidRPr="007700E5">
              <w:rPr>
                <w:rFonts w:cs="Arial"/>
                <w:bCs/>
                <w:color w:val="000000" w:themeColor="text1"/>
                <w:sz w:val="24"/>
                <w:szCs w:val="24"/>
              </w:rPr>
              <w:t>µg/dL</w:t>
            </w:r>
          </w:p>
        </w:tc>
        <w:tc>
          <w:tcPr>
            <w:tcW w:w="4569" w:type="dxa"/>
          </w:tcPr>
          <w:p w14:paraId="74481215" w14:textId="77777777" w:rsidR="00442DC7" w:rsidRPr="007700E5" w:rsidRDefault="00442DC7" w:rsidP="00C755FF">
            <w:pPr>
              <w:spacing w:line="360" w:lineRule="auto"/>
              <w:jc w:val="center"/>
              <w:rPr>
                <w:rFonts w:cs="Arial"/>
                <w:bCs/>
                <w:color w:val="000000" w:themeColor="text1"/>
                <w:sz w:val="24"/>
                <w:szCs w:val="24"/>
              </w:rPr>
            </w:pPr>
            <w:r>
              <w:rPr>
                <w:rFonts w:cs="Arial"/>
                <w:bCs/>
                <w:color w:val="000000" w:themeColor="text1"/>
                <w:sz w:val="24"/>
                <w:szCs w:val="24"/>
              </w:rPr>
              <w:t>2</w:t>
            </w:r>
          </w:p>
        </w:tc>
      </w:tr>
      <w:tr w:rsidR="00442DC7" w:rsidRPr="007700E5" w14:paraId="48BEC071" w14:textId="77777777" w:rsidTr="00750A44">
        <w:trPr>
          <w:jc w:val="center"/>
        </w:trPr>
        <w:tc>
          <w:tcPr>
            <w:tcW w:w="4568" w:type="dxa"/>
          </w:tcPr>
          <w:p w14:paraId="442EFE4C" w14:textId="77777777" w:rsidR="00442DC7" w:rsidRDefault="00442DC7" w:rsidP="00C755FF">
            <w:pPr>
              <w:spacing w:line="360" w:lineRule="auto"/>
              <w:jc w:val="center"/>
              <w:rPr>
                <w:rFonts w:cs="Arial"/>
                <w:bCs/>
                <w:color w:val="000000" w:themeColor="text1"/>
                <w:sz w:val="24"/>
                <w:szCs w:val="24"/>
              </w:rPr>
            </w:pPr>
            <w:r>
              <w:rPr>
                <w:rFonts w:cs="Arial"/>
                <w:bCs/>
                <w:color w:val="000000" w:themeColor="text1"/>
                <w:sz w:val="24"/>
                <w:szCs w:val="24"/>
              </w:rPr>
              <w:t>Total</w:t>
            </w:r>
          </w:p>
        </w:tc>
        <w:tc>
          <w:tcPr>
            <w:tcW w:w="4569" w:type="dxa"/>
          </w:tcPr>
          <w:p w14:paraId="59DE85C5" w14:textId="77777777" w:rsidR="00442DC7" w:rsidRDefault="00442DC7" w:rsidP="00C755FF">
            <w:pPr>
              <w:spacing w:line="360" w:lineRule="auto"/>
              <w:jc w:val="center"/>
              <w:rPr>
                <w:rFonts w:cs="Arial"/>
                <w:bCs/>
                <w:color w:val="000000" w:themeColor="text1"/>
                <w:sz w:val="24"/>
                <w:szCs w:val="24"/>
              </w:rPr>
            </w:pPr>
            <w:r>
              <w:rPr>
                <w:rFonts w:cs="Arial"/>
                <w:bCs/>
                <w:color w:val="000000" w:themeColor="text1"/>
                <w:sz w:val="24"/>
                <w:szCs w:val="24"/>
              </w:rPr>
              <w:t>49</w:t>
            </w:r>
          </w:p>
        </w:tc>
      </w:tr>
    </w:tbl>
    <w:p w14:paraId="58E97BC7" w14:textId="77777777" w:rsidR="00442DC7" w:rsidRPr="00750A44" w:rsidRDefault="00442DC7" w:rsidP="007F069A">
      <w:pPr>
        <w:spacing w:line="360" w:lineRule="auto"/>
        <w:rPr>
          <w:rFonts w:cs="Arial"/>
          <w:bCs/>
          <w:color w:val="000000" w:themeColor="text1"/>
          <w:sz w:val="20"/>
          <w:szCs w:val="20"/>
        </w:rPr>
      </w:pPr>
      <w:bookmarkStart w:id="211" w:name="_Hlk52373557"/>
      <w:r w:rsidRPr="00770852">
        <w:rPr>
          <w:rFonts w:cs="Arial"/>
          <w:bCs/>
          <w:color w:val="000000" w:themeColor="text1"/>
          <w:sz w:val="20"/>
          <w:szCs w:val="20"/>
        </w:rPr>
        <w:t>Source: Department of Health (Tasmania)</w:t>
      </w:r>
      <w:bookmarkEnd w:id="208"/>
      <w:bookmarkEnd w:id="211"/>
    </w:p>
    <w:p w14:paraId="6C3DE710" w14:textId="330EE91D" w:rsidR="00442DC7" w:rsidRDefault="00442DC7" w:rsidP="00DA119A">
      <w:pPr>
        <w:pStyle w:val="Caption"/>
      </w:pPr>
      <w:bookmarkStart w:id="212" w:name="_Toc73091868"/>
      <w:r>
        <w:lastRenderedPageBreak/>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10</w:t>
      </w:r>
      <w:r w:rsidR="00362D62">
        <w:rPr>
          <w:noProof/>
        </w:rPr>
        <w:fldChar w:fldCharType="end"/>
      </w:r>
      <w:r w:rsidRPr="00C05DDD">
        <w:t>: Blood lead levels exceeding 5 µg/dL in Western Australia</w:t>
      </w:r>
      <w:bookmarkEnd w:id="212"/>
    </w:p>
    <w:tbl>
      <w:tblPr>
        <w:tblStyle w:val="TableGrid"/>
        <w:tblW w:w="9137" w:type="dxa"/>
        <w:tblLayout w:type="fixed"/>
        <w:tblLook w:val="04A0" w:firstRow="1" w:lastRow="0" w:firstColumn="1" w:lastColumn="0" w:noHBand="0" w:noVBand="1"/>
        <w:tblCaption w:val="Table 10: Blood lead levels exceeding 5 micrograms in Western Australia"/>
        <w:tblDescription w:val="This table reports cases of blood lead levels exceeding 5 micrograms in Western Australia between 2016 - 2019. "/>
      </w:tblPr>
      <w:tblGrid>
        <w:gridCol w:w="2853"/>
        <w:gridCol w:w="1678"/>
        <w:gridCol w:w="1464"/>
        <w:gridCol w:w="1571"/>
        <w:gridCol w:w="1571"/>
      </w:tblGrid>
      <w:tr w:rsidR="00442DC7" w:rsidRPr="001B36F1" w14:paraId="5C9F8E91" w14:textId="77777777" w:rsidTr="00C21D51">
        <w:trPr>
          <w:trHeight w:val="263"/>
          <w:tblHeader/>
        </w:trPr>
        <w:tc>
          <w:tcPr>
            <w:tcW w:w="2853" w:type="dxa"/>
            <w:shd w:val="clear" w:color="auto" w:fill="002060"/>
            <w:noWrap/>
            <w:vAlign w:val="center"/>
          </w:tcPr>
          <w:p w14:paraId="433AF906" w14:textId="77777777" w:rsidR="00442DC7" w:rsidRPr="001B36F1" w:rsidRDefault="00442DC7" w:rsidP="00596D35">
            <w:pPr>
              <w:spacing w:after="200" w:line="360" w:lineRule="auto"/>
              <w:jc w:val="center"/>
              <w:rPr>
                <w:rFonts w:cs="Arial"/>
                <w:sz w:val="24"/>
                <w:szCs w:val="24"/>
              </w:rPr>
            </w:pPr>
            <w:r w:rsidRPr="001B36F1">
              <w:rPr>
                <w:rFonts w:cs="Arial"/>
                <w:sz w:val="24"/>
                <w:szCs w:val="24"/>
              </w:rPr>
              <w:t>Exposure Type</w:t>
            </w:r>
            <w:r>
              <w:rPr>
                <w:rFonts w:cs="Arial"/>
                <w:sz w:val="24"/>
                <w:szCs w:val="24"/>
              </w:rPr>
              <w:t>:</w:t>
            </w:r>
            <w:r w:rsidRPr="00EF4481">
              <w:rPr>
                <w:rFonts w:cs="Arial"/>
                <w:b/>
                <w:bCs/>
                <w:sz w:val="24"/>
                <w:szCs w:val="24"/>
              </w:rPr>
              <w:t xml:space="preserve"> Non-occupational</w:t>
            </w:r>
          </w:p>
        </w:tc>
        <w:tc>
          <w:tcPr>
            <w:tcW w:w="1678" w:type="dxa"/>
            <w:shd w:val="clear" w:color="auto" w:fill="002060"/>
            <w:noWrap/>
            <w:vAlign w:val="center"/>
          </w:tcPr>
          <w:p w14:paraId="48703492" w14:textId="77777777" w:rsidR="00442DC7" w:rsidRPr="001B36F1" w:rsidRDefault="00442DC7" w:rsidP="00596D35">
            <w:pPr>
              <w:spacing w:after="200" w:line="360" w:lineRule="auto"/>
              <w:jc w:val="center"/>
              <w:rPr>
                <w:rFonts w:cs="Arial"/>
                <w:sz w:val="24"/>
                <w:szCs w:val="24"/>
              </w:rPr>
            </w:pPr>
            <w:r w:rsidRPr="001B36F1">
              <w:rPr>
                <w:rFonts w:cs="Arial"/>
                <w:sz w:val="24"/>
                <w:szCs w:val="24"/>
              </w:rPr>
              <w:t>2016</w:t>
            </w:r>
          </w:p>
        </w:tc>
        <w:tc>
          <w:tcPr>
            <w:tcW w:w="1464" w:type="dxa"/>
            <w:shd w:val="clear" w:color="auto" w:fill="002060"/>
            <w:noWrap/>
            <w:vAlign w:val="center"/>
          </w:tcPr>
          <w:p w14:paraId="139D9344" w14:textId="77777777" w:rsidR="00442DC7" w:rsidRPr="001B36F1" w:rsidRDefault="00442DC7" w:rsidP="00596D35">
            <w:pPr>
              <w:spacing w:after="200" w:line="360" w:lineRule="auto"/>
              <w:jc w:val="center"/>
              <w:rPr>
                <w:rFonts w:cs="Arial"/>
                <w:sz w:val="24"/>
                <w:szCs w:val="24"/>
              </w:rPr>
            </w:pPr>
            <w:r w:rsidRPr="001B36F1">
              <w:rPr>
                <w:rFonts w:cs="Arial"/>
                <w:sz w:val="24"/>
                <w:szCs w:val="24"/>
              </w:rPr>
              <w:t>2017</w:t>
            </w:r>
          </w:p>
        </w:tc>
        <w:tc>
          <w:tcPr>
            <w:tcW w:w="1571" w:type="dxa"/>
            <w:shd w:val="clear" w:color="auto" w:fill="002060"/>
            <w:vAlign w:val="center"/>
          </w:tcPr>
          <w:p w14:paraId="1F276375" w14:textId="77777777" w:rsidR="00442DC7" w:rsidRPr="001B36F1" w:rsidRDefault="00442DC7" w:rsidP="00596D35">
            <w:pPr>
              <w:spacing w:after="200" w:line="360" w:lineRule="auto"/>
              <w:jc w:val="center"/>
              <w:rPr>
                <w:rFonts w:cs="Arial"/>
                <w:sz w:val="24"/>
                <w:szCs w:val="24"/>
              </w:rPr>
            </w:pPr>
            <w:r w:rsidRPr="001B36F1">
              <w:rPr>
                <w:rFonts w:cs="Arial"/>
                <w:sz w:val="24"/>
                <w:szCs w:val="24"/>
              </w:rPr>
              <w:t>2018</w:t>
            </w:r>
          </w:p>
        </w:tc>
        <w:tc>
          <w:tcPr>
            <w:tcW w:w="1571" w:type="dxa"/>
            <w:shd w:val="clear" w:color="auto" w:fill="002060"/>
            <w:vAlign w:val="center"/>
          </w:tcPr>
          <w:p w14:paraId="451F4B7B" w14:textId="77777777" w:rsidR="00442DC7" w:rsidRPr="001B36F1" w:rsidRDefault="00442DC7" w:rsidP="00596D35">
            <w:pPr>
              <w:spacing w:after="200" w:line="360" w:lineRule="auto"/>
              <w:jc w:val="center"/>
              <w:rPr>
                <w:rFonts w:cs="Arial"/>
                <w:sz w:val="24"/>
                <w:szCs w:val="24"/>
              </w:rPr>
            </w:pPr>
            <w:r w:rsidRPr="001B36F1">
              <w:rPr>
                <w:rFonts w:cs="Arial"/>
                <w:sz w:val="24"/>
                <w:szCs w:val="24"/>
              </w:rPr>
              <w:t>2019</w:t>
            </w:r>
          </w:p>
        </w:tc>
      </w:tr>
      <w:tr w:rsidR="00442DC7" w:rsidRPr="001B36F1" w14:paraId="3B12C2CC" w14:textId="77777777" w:rsidTr="00C3612E">
        <w:trPr>
          <w:trHeight w:val="263"/>
        </w:trPr>
        <w:tc>
          <w:tcPr>
            <w:tcW w:w="2853" w:type="dxa"/>
            <w:shd w:val="clear" w:color="auto" w:fill="FFFFFF" w:themeFill="background1"/>
            <w:noWrap/>
            <w:vAlign w:val="center"/>
          </w:tcPr>
          <w:p w14:paraId="702D2531" w14:textId="77777777" w:rsidR="00442DC7" w:rsidRPr="00832F09" w:rsidRDefault="00442DC7" w:rsidP="00596D35">
            <w:pPr>
              <w:spacing w:after="200" w:line="360" w:lineRule="auto"/>
              <w:rPr>
                <w:rFonts w:cs="Arial"/>
                <w:sz w:val="24"/>
                <w:szCs w:val="24"/>
              </w:rPr>
            </w:pPr>
            <w:bookmarkStart w:id="213" w:name="_Hlk50068253"/>
            <w:r w:rsidRPr="007700E5">
              <w:rPr>
                <w:color w:val="000000" w:themeColor="text1"/>
                <w:sz w:val="24"/>
                <w:szCs w:val="24"/>
              </w:rPr>
              <w:t xml:space="preserve">5-9 </w:t>
            </w:r>
            <w:r w:rsidRPr="007700E5">
              <w:rPr>
                <w:rFonts w:cs="Arial"/>
                <w:bCs/>
                <w:color w:val="000000" w:themeColor="text1"/>
                <w:sz w:val="24"/>
                <w:szCs w:val="24"/>
              </w:rPr>
              <w:t>µg/dL</w:t>
            </w:r>
          </w:p>
        </w:tc>
        <w:tc>
          <w:tcPr>
            <w:tcW w:w="1678" w:type="dxa"/>
            <w:shd w:val="clear" w:color="auto" w:fill="FFFFFF" w:themeFill="background1"/>
            <w:noWrap/>
            <w:vAlign w:val="center"/>
          </w:tcPr>
          <w:p w14:paraId="0EF8C4CF" w14:textId="77777777" w:rsidR="00442DC7" w:rsidRPr="00832F09" w:rsidRDefault="00442DC7" w:rsidP="00596D35">
            <w:pPr>
              <w:spacing w:after="200" w:line="360" w:lineRule="auto"/>
              <w:rPr>
                <w:rFonts w:cs="Arial"/>
                <w:sz w:val="24"/>
                <w:szCs w:val="24"/>
              </w:rPr>
            </w:pPr>
            <w:r>
              <w:rPr>
                <w:rFonts w:cs="Arial"/>
                <w:sz w:val="24"/>
                <w:szCs w:val="24"/>
              </w:rPr>
              <w:t>Not available</w:t>
            </w:r>
          </w:p>
        </w:tc>
        <w:tc>
          <w:tcPr>
            <w:tcW w:w="1464" w:type="dxa"/>
            <w:shd w:val="clear" w:color="auto" w:fill="FFFFFF" w:themeFill="background1"/>
            <w:noWrap/>
            <w:vAlign w:val="center"/>
          </w:tcPr>
          <w:p w14:paraId="78A30459" w14:textId="77777777" w:rsidR="00442DC7" w:rsidRPr="00832F09" w:rsidRDefault="00442DC7" w:rsidP="00C3612E">
            <w:pPr>
              <w:spacing w:after="200" w:line="360" w:lineRule="auto"/>
              <w:jc w:val="center"/>
              <w:rPr>
                <w:rFonts w:cs="Arial"/>
                <w:sz w:val="24"/>
                <w:szCs w:val="24"/>
              </w:rPr>
            </w:pPr>
            <w:r>
              <w:rPr>
                <w:rFonts w:cs="Arial"/>
                <w:sz w:val="24"/>
                <w:szCs w:val="24"/>
              </w:rPr>
              <w:t>19</w:t>
            </w:r>
          </w:p>
        </w:tc>
        <w:tc>
          <w:tcPr>
            <w:tcW w:w="1571" w:type="dxa"/>
            <w:shd w:val="clear" w:color="auto" w:fill="FFFFFF" w:themeFill="background1"/>
            <w:vAlign w:val="center"/>
          </w:tcPr>
          <w:p w14:paraId="20EAD1A8" w14:textId="77777777" w:rsidR="00442DC7" w:rsidRPr="00832F09" w:rsidRDefault="00442DC7" w:rsidP="00C3612E">
            <w:pPr>
              <w:spacing w:after="200" w:line="360" w:lineRule="auto"/>
              <w:jc w:val="center"/>
              <w:rPr>
                <w:rFonts w:cs="Arial"/>
                <w:sz w:val="24"/>
                <w:szCs w:val="24"/>
              </w:rPr>
            </w:pPr>
            <w:r>
              <w:rPr>
                <w:rFonts w:cs="Arial"/>
                <w:sz w:val="24"/>
                <w:szCs w:val="24"/>
              </w:rPr>
              <w:t>21</w:t>
            </w:r>
          </w:p>
        </w:tc>
        <w:tc>
          <w:tcPr>
            <w:tcW w:w="1571" w:type="dxa"/>
            <w:shd w:val="clear" w:color="auto" w:fill="FFFFFF" w:themeFill="background1"/>
            <w:vAlign w:val="center"/>
          </w:tcPr>
          <w:p w14:paraId="6B79CF4E" w14:textId="77777777" w:rsidR="00442DC7" w:rsidRPr="00832F09" w:rsidRDefault="00442DC7" w:rsidP="00C3612E">
            <w:pPr>
              <w:spacing w:after="200" w:line="360" w:lineRule="auto"/>
              <w:jc w:val="center"/>
              <w:rPr>
                <w:rFonts w:cs="Arial"/>
                <w:sz w:val="24"/>
                <w:szCs w:val="24"/>
              </w:rPr>
            </w:pPr>
            <w:r>
              <w:rPr>
                <w:rFonts w:cs="Arial"/>
                <w:sz w:val="24"/>
                <w:szCs w:val="24"/>
              </w:rPr>
              <w:t>17</w:t>
            </w:r>
          </w:p>
        </w:tc>
      </w:tr>
      <w:tr w:rsidR="00442DC7" w:rsidRPr="001B36F1" w14:paraId="6E9DE309" w14:textId="77777777" w:rsidTr="00C3612E">
        <w:trPr>
          <w:trHeight w:val="263"/>
        </w:trPr>
        <w:tc>
          <w:tcPr>
            <w:tcW w:w="2853" w:type="dxa"/>
            <w:shd w:val="clear" w:color="auto" w:fill="FFFFFF" w:themeFill="background1"/>
            <w:noWrap/>
            <w:vAlign w:val="center"/>
          </w:tcPr>
          <w:p w14:paraId="59C7CF78" w14:textId="77777777" w:rsidR="00442DC7" w:rsidRPr="007700E5" w:rsidRDefault="00442DC7" w:rsidP="00596D35">
            <w:pPr>
              <w:spacing w:line="360" w:lineRule="auto"/>
              <w:rPr>
                <w:color w:val="000000" w:themeColor="text1"/>
                <w:sz w:val="24"/>
                <w:szCs w:val="24"/>
              </w:rPr>
            </w:pPr>
            <w:r>
              <w:rPr>
                <w:color w:val="000000" w:themeColor="text1"/>
                <w:sz w:val="24"/>
                <w:szCs w:val="24"/>
              </w:rPr>
              <w:t xml:space="preserve">10-29 </w:t>
            </w:r>
            <w:r w:rsidRPr="007700E5">
              <w:rPr>
                <w:rFonts w:cs="Arial"/>
                <w:bCs/>
                <w:color w:val="000000" w:themeColor="text1"/>
                <w:sz w:val="24"/>
                <w:szCs w:val="24"/>
              </w:rPr>
              <w:t>µg/dL</w:t>
            </w:r>
          </w:p>
        </w:tc>
        <w:tc>
          <w:tcPr>
            <w:tcW w:w="1678" w:type="dxa"/>
            <w:shd w:val="clear" w:color="auto" w:fill="FFFFFF" w:themeFill="background1"/>
            <w:noWrap/>
            <w:vAlign w:val="center"/>
          </w:tcPr>
          <w:p w14:paraId="616F13BF" w14:textId="77777777" w:rsidR="00442DC7" w:rsidRPr="00832F09" w:rsidRDefault="00442DC7" w:rsidP="00596D35">
            <w:pPr>
              <w:spacing w:line="360" w:lineRule="auto"/>
              <w:rPr>
                <w:rFonts w:cs="Arial"/>
                <w:sz w:val="24"/>
                <w:szCs w:val="24"/>
              </w:rPr>
            </w:pPr>
            <w:r>
              <w:rPr>
                <w:rFonts w:cs="Arial"/>
                <w:sz w:val="24"/>
                <w:szCs w:val="24"/>
              </w:rPr>
              <w:t>Not available</w:t>
            </w:r>
          </w:p>
        </w:tc>
        <w:tc>
          <w:tcPr>
            <w:tcW w:w="1464" w:type="dxa"/>
            <w:shd w:val="clear" w:color="auto" w:fill="FFFFFF" w:themeFill="background1"/>
            <w:noWrap/>
            <w:vAlign w:val="center"/>
          </w:tcPr>
          <w:p w14:paraId="7D556877" w14:textId="77777777" w:rsidR="00442DC7" w:rsidRPr="00832F09" w:rsidRDefault="00442DC7" w:rsidP="00C3612E">
            <w:pPr>
              <w:spacing w:line="360" w:lineRule="auto"/>
              <w:jc w:val="center"/>
              <w:rPr>
                <w:rFonts w:cs="Arial"/>
                <w:sz w:val="24"/>
                <w:szCs w:val="24"/>
              </w:rPr>
            </w:pPr>
            <w:r>
              <w:rPr>
                <w:rFonts w:cs="Arial"/>
                <w:sz w:val="24"/>
                <w:szCs w:val="24"/>
              </w:rPr>
              <w:t>8</w:t>
            </w:r>
          </w:p>
        </w:tc>
        <w:tc>
          <w:tcPr>
            <w:tcW w:w="1571" w:type="dxa"/>
            <w:shd w:val="clear" w:color="auto" w:fill="FFFFFF" w:themeFill="background1"/>
            <w:vAlign w:val="center"/>
          </w:tcPr>
          <w:p w14:paraId="50959484" w14:textId="77777777" w:rsidR="00442DC7" w:rsidRPr="00832F09" w:rsidRDefault="00442DC7" w:rsidP="00C3612E">
            <w:pPr>
              <w:spacing w:line="360" w:lineRule="auto"/>
              <w:jc w:val="center"/>
              <w:rPr>
                <w:rFonts w:cs="Arial"/>
                <w:sz w:val="24"/>
                <w:szCs w:val="24"/>
              </w:rPr>
            </w:pPr>
            <w:r>
              <w:rPr>
                <w:rFonts w:cs="Arial"/>
                <w:sz w:val="24"/>
                <w:szCs w:val="24"/>
              </w:rPr>
              <w:t>24</w:t>
            </w:r>
          </w:p>
        </w:tc>
        <w:tc>
          <w:tcPr>
            <w:tcW w:w="1571" w:type="dxa"/>
            <w:shd w:val="clear" w:color="auto" w:fill="FFFFFF" w:themeFill="background1"/>
            <w:vAlign w:val="center"/>
          </w:tcPr>
          <w:p w14:paraId="156F6C64" w14:textId="77777777" w:rsidR="00442DC7" w:rsidRPr="00832F09" w:rsidRDefault="00442DC7" w:rsidP="00C3612E">
            <w:pPr>
              <w:spacing w:line="360" w:lineRule="auto"/>
              <w:jc w:val="center"/>
              <w:rPr>
                <w:rFonts w:cs="Arial"/>
                <w:sz w:val="24"/>
                <w:szCs w:val="24"/>
              </w:rPr>
            </w:pPr>
            <w:r>
              <w:rPr>
                <w:rFonts w:cs="Arial"/>
                <w:sz w:val="24"/>
                <w:szCs w:val="24"/>
              </w:rPr>
              <w:t>29</w:t>
            </w:r>
          </w:p>
        </w:tc>
      </w:tr>
      <w:tr w:rsidR="00442DC7" w:rsidRPr="001B36F1" w14:paraId="390174A9" w14:textId="77777777" w:rsidTr="00C3612E">
        <w:trPr>
          <w:trHeight w:val="263"/>
        </w:trPr>
        <w:tc>
          <w:tcPr>
            <w:tcW w:w="2853" w:type="dxa"/>
            <w:shd w:val="clear" w:color="auto" w:fill="FFFFFF" w:themeFill="background1"/>
            <w:noWrap/>
            <w:vAlign w:val="center"/>
          </w:tcPr>
          <w:p w14:paraId="3A1BBEA4" w14:textId="77777777" w:rsidR="00442DC7" w:rsidRPr="007700E5" w:rsidRDefault="00442DC7" w:rsidP="00596D35">
            <w:pPr>
              <w:spacing w:line="360" w:lineRule="auto"/>
              <w:rPr>
                <w:color w:val="000000" w:themeColor="text1"/>
                <w:sz w:val="24"/>
                <w:szCs w:val="24"/>
              </w:rPr>
            </w:pPr>
            <w:r>
              <w:rPr>
                <w:rFonts w:cs="Arial"/>
                <w:color w:val="000000" w:themeColor="text1"/>
                <w:sz w:val="24"/>
                <w:szCs w:val="24"/>
              </w:rPr>
              <w:t xml:space="preserve">≥ </w:t>
            </w:r>
            <w:r>
              <w:rPr>
                <w:color w:val="000000" w:themeColor="text1"/>
                <w:sz w:val="24"/>
                <w:szCs w:val="24"/>
              </w:rPr>
              <w:t>30</w:t>
            </w:r>
            <w:r w:rsidRPr="007700E5">
              <w:rPr>
                <w:rFonts w:cs="Arial"/>
                <w:bCs/>
                <w:color w:val="000000" w:themeColor="text1"/>
                <w:sz w:val="24"/>
                <w:szCs w:val="24"/>
              </w:rPr>
              <w:t xml:space="preserve"> µg/dL</w:t>
            </w:r>
          </w:p>
        </w:tc>
        <w:tc>
          <w:tcPr>
            <w:tcW w:w="1678" w:type="dxa"/>
            <w:shd w:val="clear" w:color="auto" w:fill="FFFFFF" w:themeFill="background1"/>
            <w:noWrap/>
            <w:vAlign w:val="center"/>
          </w:tcPr>
          <w:p w14:paraId="556D627B" w14:textId="77777777" w:rsidR="00442DC7" w:rsidRPr="00832F09" w:rsidRDefault="00442DC7" w:rsidP="00596D35">
            <w:pPr>
              <w:spacing w:line="360" w:lineRule="auto"/>
              <w:rPr>
                <w:rFonts w:cs="Arial"/>
                <w:sz w:val="24"/>
                <w:szCs w:val="24"/>
              </w:rPr>
            </w:pPr>
            <w:r>
              <w:rPr>
                <w:rFonts w:cs="Arial"/>
                <w:sz w:val="24"/>
                <w:szCs w:val="24"/>
              </w:rPr>
              <w:t>Not available</w:t>
            </w:r>
          </w:p>
        </w:tc>
        <w:tc>
          <w:tcPr>
            <w:tcW w:w="1464" w:type="dxa"/>
            <w:shd w:val="clear" w:color="auto" w:fill="FFFFFF" w:themeFill="background1"/>
            <w:noWrap/>
            <w:vAlign w:val="center"/>
          </w:tcPr>
          <w:p w14:paraId="6067FEC5" w14:textId="77777777" w:rsidR="00442DC7" w:rsidRPr="00832F09" w:rsidRDefault="00442DC7" w:rsidP="00C3612E">
            <w:pPr>
              <w:spacing w:line="360" w:lineRule="auto"/>
              <w:jc w:val="center"/>
              <w:rPr>
                <w:rFonts w:cs="Arial"/>
                <w:sz w:val="24"/>
                <w:szCs w:val="24"/>
              </w:rPr>
            </w:pPr>
            <w:r>
              <w:rPr>
                <w:rFonts w:cs="Arial"/>
                <w:sz w:val="24"/>
                <w:szCs w:val="24"/>
              </w:rPr>
              <w:t>0</w:t>
            </w:r>
          </w:p>
        </w:tc>
        <w:tc>
          <w:tcPr>
            <w:tcW w:w="1571" w:type="dxa"/>
            <w:shd w:val="clear" w:color="auto" w:fill="FFFFFF" w:themeFill="background1"/>
            <w:vAlign w:val="center"/>
          </w:tcPr>
          <w:p w14:paraId="10A5AF99" w14:textId="77777777" w:rsidR="00442DC7" w:rsidRPr="00832F09" w:rsidRDefault="00442DC7" w:rsidP="00C3612E">
            <w:pPr>
              <w:spacing w:line="360" w:lineRule="auto"/>
              <w:jc w:val="center"/>
              <w:rPr>
                <w:rFonts w:cs="Arial"/>
                <w:sz w:val="24"/>
                <w:szCs w:val="24"/>
              </w:rPr>
            </w:pPr>
            <w:r>
              <w:rPr>
                <w:rFonts w:cs="Arial"/>
                <w:sz w:val="24"/>
                <w:szCs w:val="24"/>
              </w:rPr>
              <w:t>&lt; 5</w:t>
            </w:r>
          </w:p>
        </w:tc>
        <w:tc>
          <w:tcPr>
            <w:tcW w:w="1571" w:type="dxa"/>
            <w:shd w:val="clear" w:color="auto" w:fill="FFFFFF" w:themeFill="background1"/>
            <w:vAlign w:val="center"/>
          </w:tcPr>
          <w:p w14:paraId="3F4E46DD" w14:textId="77777777" w:rsidR="00442DC7" w:rsidRPr="00832F09" w:rsidRDefault="00442DC7" w:rsidP="00C3612E">
            <w:pPr>
              <w:spacing w:line="360" w:lineRule="auto"/>
              <w:jc w:val="center"/>
              <w:rPr>
                <w:rFonts w:cs="Arial"/>
                <w:sz w:val="24"/>
                <w:szCs w:val="24"/>
              </w:rPr>
            </w:pPr>
            <w:r>
              <w:rPr>
                <w:rFonts w:cs="Arial"/>
                <w:sz w:val="24"/>
                <w:szCs w:val="24"/>
              </w:rPr>
              <w:t xml:space="preserve">&lt; 5 </w:t>
            </w:r>
          </w:p>
        </w:tc>
      </w:tr>
      <w:bookmarkEnd w:id="213"/>
      <w:tr w:rsidR="00442DC7" w:rsidRPr="001B36F1" w14:paraId="34499F56" w14:textId="77777777" w:rsidTr="00194953">
        <w:trPr>
          <w:trHeight w:val="263"/>
        </w:trPr>
        <w:tc>
          <w:tcPr>
            <w:tcW w:w="2853" w:type="dxa"/>
            <w:shd w:val="clear" w:color="auto" w:fill="002060"/>
            <w:noWrap/>
            <w:vAlign w:val="center"/>
          </w:tcPr>
          <w:p w14:paraId="07E55236" w14:textId="77777777" w:rsidR="00442DC7" w:rsidRPr="00194953" w:rsidRDefault="00442DC7" w:rsidP="00194953">
            <w:pPr>
              <w:spacing w:after="200" w:line="360" w:lineRule="auto"/>
              <w:jc w:val="center"/>
              <w:rPr>
                <w:rFonts w:cs="Arial"/>
                <w:b/>
                <w:bCs/>
                <w:sz w:val="24"/>
                <w:szCs w:val="24"/>
              </w:rPr>
            </w:pPr>
            <w:r w:rsidRPr="00194953">
              <w:rPr>
                <w:rFonts w:cs="Arial"/>
                <w:bCs/>
                <w:sz w:val="24"/>
                <w:szCs w:val="24"/>
              </w:rPr>
              <w:t>Exposure Type:</w:t>
            </w:r>
            <w:r w:rsidRPr="00EF4481">
              <w:rPr>
                <w:rFonts w:cs="Arial"/>
                <w:b/>
                <w:bCs/>
                <w:sz w:val="24"/>
                <w:szCs w:val="24"/>
              </w:rPr>
              <w:t xml:space="preserve"> occupational</w:t>
            </w:r>
          </w:p>
        </w:tc>
        <w:tc>
          <w:tcPr>
            <w:tcW w:w="1678" w:type="dxa"/>
            <w:shd w:val="clear" w:color="auto" w:fill="002060"/>
            <w:noWrap/>
            <w:vAlign w:val="center"/>
          </w:tcPr>
          <w:p w14:paraId="038F9ACB" w14:textId="77777777" w:rsidR="00442DC7" w:rsidRPr="00194953" w:rsidRDefault="00442DC7" w:rsidP="00194953">
            <w:pPr>
              <w:spacing w:after="200" w:line="360" w:lineRule="auto"/>
              <w:jc w:val="center"/>
              <w:rPr>
                <w:rFonts w:cs="Arial"/>
                <w:bCs/>
                <w:sz w:val="24"/>
                <w:szCs w:val="24"/>
              </w:rPr>
            </w:pPr>
            <w:r w:rsidRPr="00194953">
              <w:rPr>
                <w:rFonts w:cs="Arial"/>
                <w:bCs/>
                <w:sz w:val="24"/>
                <w:szCs w:val="24"/>
              </w:rPr>
              <w:t>2016</w:t>
            </w:r>
          </w:p>
        </w:tc>
        <w:tc>
          <w:tcPr>
            <w:tcW w:w="1464" w:type="dxa"/>
            <w:shd w:val="clear" w:color="auto" w:fill="002060"/>
            <w:noWrap/>
            <w:vAlign w:val="center"/>
          </w:tcPr>
          <w:p w14:paraId="37320190" w14:textId="77777777" w:rsidR="00442DC7" w:rsidRPr="00194953" w:rsidRDefault="00442DC7" w:rsidP="00194953">
            <w:pPr>
              <w:spacing w:after="200" w:line="360" w:lineRule="auto"/>
              <w:jc w:val="center"/>
              <w:rPr>
                <w:rFonts w:cs="Arial"/>
                <w:bCs/>
                <w:sz w:val="24"/>
                <w:szCs w:val="24"/>
              </w:rPr>
            </w:pPr>
            <w:r w:rsidRPr="00194953">
              <w:rPr>
                <w:rFonts w:cs="Arial"/>
                <w:bCs/>
                <w:sz w:val="24"/>
                <w:szCs w:val="24"/>
              </w:rPr>
              <w:t>2017</w:t>
            </w:r>
          </w:p>
        </w:tc>
        <w:tc>
          <w:tcPr>
            <w:tcW w:w="1571" w:type="dxa"/>
            <w:shd w:val="clear" w:color="auto" w:fill="002060"/>
            <w:vAlign w:val="center"/>
          </w:tcPr>
          <w:p w14:paraId="1472C469" w14:textId="77777777" w:rsidR="00442DC7" w:rsidRPr="00194953" w:rsidRDefault="00442DC7" w:rsidP="00194953">
            <w:pPr>
              <w:spacing w:after="200" w:line="360" w:lineRule="auto"/>
              <w:jc w:val="center"/>
              <w:rPr>
                <w:rFonts w:cs="Arial"/>
                <w:bCs/>
                <w:sz w:val="24"/>
                <w:szCs w:val="24"/>
              </w:rPr>
            </w:pPr>
            <w:r w:rsidRPr="00194953">
              <w:rPr>
                <w:rFonts w:cs="Arial"/>
                <w:bCs/>
                <w:sz w:val="24"/>
                <w:szCs w:val="24"/>
              </w:rPr>
              <w:t>2018</w:t>
            </w:r>
          </w:p>
        </w:tc>
        <w:tc>
          <w:tcPr>
            <w:tcW w:w="1571" w:type="dxa"/>
            <w:shd w:val="clear" w:color="auto" w:fill="002060"/>
            <w:vAlign w:val="center"/>
          </w:tcPr>
          <w:p w14:paraId="11E5B47B" w14:textId="77777777" w:rsidR="00442DC7" w:rsidRPr="00194953" w:rsidRDefault="00442DC7" w:rsidP="00194953">
            <w:pPr>
              <w:spacing w:after="200" w:line="360" w:lineRule="auto"/>
              <w:jc w:val="center"/>
              <w:rPr>
                <w:rFonts w:cs="Arial"/>
                <w:bCs/>
                <w:sz w:val="24"/>
                <w:szCs w:val="24"/>
              </w:rPr>
            </w:pPr>
            <w:r w:rsidRPr="00194953">
              <w:rPr>
                <w:rFonts w:cs="Arial"/>
                <w:bCs/>
                <w:sz w:val="24"/>
                <w:szCs w:val="24"/>
              </w:rPr>
              <w:t>2019</w:t>
            </w:r>
          </w:p>
        </w:tc>
      </w:tr>
      <w:tr w:rsidR="00442DC7" w:rsidRPr="001B36F1" w14:paraId="6E8BA625" w14:textId="77777777" w:rsidTr="00C3612E">
        <w:trPr>
          <w:trHeight w:val="263"/>
        </w:trPr>
        <w:tc>
          <w:tcPr>
            <w:tcW w:w="2853" w:type="dxa"/>
            <w:shd w:val="clear" w:color="auto" w:fill="FFFFFF" w:themeFill="background1"/>
            <w:noWrap/>
            <w:vAlign w:val="center"/>
          </w:tcPr>
          <w:p w14:paraId="0772791E" w14:textId="77777777" w:rsidR="00442DC7" w:rsidRPr="007700E5" w:rsidRDefault="00442DC7" w:rsidP="00EF4481">
            <w:pPr>
              <w:spacing w:line="360" w:lineRule="auto"/>
              <w:rPr>
                <w:color w:val="000000" w:themeColor="text1"/>
                <w:sz w:val="24"/>
                <w:szCs w:val="24"/>
              </w:rPr>
            </w:pPr>
            <w:r>
              <w:rPr>
                <w:color w:val="000000" w:themeColor="text1"/>
                <w:sz w:val="24"/>
                <w:szCs w:val="24"/>
              </w:rPr>
              <w:t xml:space="preserve">5.1-10.0 </w:t>
            </w:r>
            <w:r w:rsidRPr="007700E5">
              <w:rPr>
                <w:rFonts w:cs="Arial"/>
                <w:bCs/>
                <w:color w:val="000000" w:themeColor="text1"/>
                <w:sz w:val="24"/>
                <w:szCs w:val="24"/>
              </w:rPr>
              <w:t>µg/dL</w:t>
            </w:r>
          </w:p>
        </w:tc>
        <w:tc>
          <w:tcPr>
            <w:tcW w:w="1678" w:type="dxa"/>
            <w:shd w:val="clear" w:color="auto" w:fill="FFFFFF" w:themeFill="background1"/>
            <w:noWrap/>
            <w:vAlign w:val="center"/>
          </w:tcPr>
          <w:p w14:paraId="4D9D2354" w14:textId="77777777" w:rsidR="00442DC7" w:rsidRPr="00832F09" w:rsidRDefault="00442DC7" w:rsidP="00053173">
            <w:pPr>
              <w:spacing w:line="360" w:lineRule="auto"/>
              <w:jc w:val="center"/>
              <w:rPr>
                <w:rFonts w:cs="Arial"/>
                <w:sz w:val="24"/>
                <w:szCs w:val="24"/>
              </w:rPr>
            </w:pPr>
            <w:r>
              <w:rPr>
                <w:rFonts w:cs="Arial"/>
                <w:sz w:val="24"/>
                <w:szCs w:val="24"/>
              </w:rPr>
              <w:t>121</w:t>
            </w:r>
          </w:p>
        </w:tc>
        <w:tc>
          <w:tcPr>
            <w:tcW w:w="1464" w:type="dxa"/>
            <w:shd w:val="clear" w:color="auto" w:fill="FFFFFF" w:themeFill="background1"/>
            <w:noWrap/>
            <w:vAlign w:val="center"/>
          </w:tcPr>
          <w:p w14:paraId="20612688" w14:textId="77777777" w:rsidR="00442DC7" w:rsidRPr="00832F09" w:rsidRDefault="00442DC7" w:rsidP="00053173">
            <w:pPr>
              <w:spacing w:line="360" w:lineRule="auto"/>
              <w:jc w:val="center"/>
              <w:rPr>
                <w:rFonts w:cs="Arial"/>
                <w:sz w:val="24"/>
                <w:szCs w:val="24"/>
              </w:rPr>
            </w:pPr>
            <w:r>
              <w:rPr>
                <w:rFonts w:cs="Arial"/>
                <w:sz w:val="24"/>
                <w:szCs w:val="24"/>
              </w:rPr>
              <w:t>103</w:t>
            </w:r>
          </w:p>
        </w:tc>
        <w:tc>
          <w:tcPr>
            <w:tcW w:w="1571" w:type="dxa"/>
            <w:shd w:val="clear" w:color="auto" w:fill="FFFFFF" w:themeFill="background1"/>
            <w:vAlign w:val="center"/>
          </w:tcPr>
          <w:p w14:paraId="4A100127" w14:textId="77777777" w:rsidR="00442DC7" w:rsidRPr="00832F09" w:rsidRDefault="00442DC7" w:rsidP="00053173">
            <w:pPr>
              <w:spacing w:line="360" w:lineRule="auto"/>
              <w:jc w:val="center"/>
              <w:rPr>
                <w:rFonts w:cs="Arial"/>
                <w:sz w:val="24"/>
                <w:szCs w:val="24"/>
              </w:rPr>
            </w:pPr>
            <w:r>
              <w:rPr>
                <w:rFonts w:cs="Arial"/>
                <w:sz w:val="24"/>
                <w:szCs w:val="24"/>
              </w:rPr>
              <w:t>131</w:t>
            </w:r>
          </w:p>
        </w:tc>
        <w:tc>
          <w:tcPr>
            <w:tcW w:w="1571" w:type="dxa"/>
            <w:shd w:val="clear" w:color="auto" w:fill="FFFFFF" w:themeFill="background1"/>
            <w:vAlign w:val="center"/>
          </w:tcPr>
          <w:p w14:paraId="63091586" w14:textId="77777777" w:rsidR="00442DC7" w:rsidRPr="00832F09" w:rsidRDefault="00442DC7" w:rsidP="00053173">
            <w:pPr>
              <w:spacing w:line="360" w:lineRule="auto"/>
              <w:jc w:val="center"/>
              <w:rPr>
                <w:rFonts w:cs="Arial"/>
                <w:sz w:val="24"/>
                <w:szCs w:val="24"/>
              </w:rPr>
            </w:pPr>
            <w:r>
              <w:rPr>
                <w:rFonts w:cs="Arial"/>
                <w:sz w:val="24"/>
                <w:szCs w:val="24"/>
              </w:rPr>
              <w:t>131</w:t>
            </w:r>
          </w:p>
        </w:tc>
      </w:tr>
      <w:tr w:rsidR="00442DC7" w:rsidRPr="001B36F1" w14:paraId="0C3964D9" w14:textId="77777777" w:rsidTr="00C3612E">
        <w:trPr>
          <w:trHeight w:val="263"/>
        </w:trPr>
        <w:tc>
          <w:tcPr>
            <w:tcW w:w="2853" w:type="dxa"/>
            <w:shd w:val="clear" w:color="auto" w:fill="FFFFFF" w:themeFill="background1"/>
            <w:noWrap/>
            <w:vAlign w:val="center"/>
          </w:tcPr>
          <w:p w14:paraId="7E71CBEE" w14:textId="77777777" w:rsidR="00442DC7" w:rsidRDefault="00442DC7" w:rsidP="00EF4481">
            <w:pPr>
              <w:spacing w:line="360" w:lineRule="auto"/>
              <w:rPr>
                <w:rFonts w:cs="Arial"/>
                <w:sz w:val="24"/>
                <w:szCs w:val="24"/>
              </w:rPr>
            </w:pPr>
            <w:r>
              <w:rPr>
                <w:color w:val="000000" w:themeColor="text1"/>
                <w:sz w:val="24"/>
                <w:szCs w:val="24"/>
              </w:rPr>
              <w:t>10.1-20.0</w:t>
            </w:r>
            <w:r w:rsidRPr="007700E5">
              <w:rPr>
                <w:color w:val="000000" w:themeColor="text1"/>
                <w:sz w:val="24"/>
                <w:szCs w:val="24"/>
              </w:rPr>
              <w:t xml:space="preserve"> </w:t>
            </w:r>
            <w:r w:rsidRPr="007700E5">
              <w:rPr>
                <w:rFonts w:cs="Arial"/>
                <w:bCs/>
                <w:color w:val="000000" w:themeColor="text1"/>
                <w:sz w:val="24"/>
                <w:szCs w:val="24"/>
              </w:rPr>
              <w:t>µg/dL</w:t>
            </w:r>
          </w:p>
        </w:tc>
        <w:tc>
          <w:tcPr>
            <w:tcW w:w="1678" w:type="dxa"/>
            <w:shd w:val="clear" w:color="auto" w:fill="FFFFFF" w:themeFill="background1"/>
            <w:noWrap/>
            <w:vAlign w:val="center"/>
          </w:tcPr>
          <w:p w14:paraId="6EA95847" w14:textId="77777777" w:rsidR="00442DC7" w:rsidRPr="00832F09" w:rsidRDefault="00442DC7" w:rsidP="00053173">
            <w:pPr>
              <w:spacing w:line="360" w:lineRule="auto"/>
              <w:jc w:val="center"/>
              <w:rPr>
                <w:rFonts w:cs="Arial"/>
                <w:sz w:val="24"/>
                <w:szCs w:val="24"/>
              </w:rPr>
            </w:pPr>
            <w:r>
              <w:rPr>
                <w:rFonts w:cs="Arial"/>
                <w:sz w:val="24"/>
                <w:szCs w:val="24"/>
              </w:rPr>
              <w:t>98</w:t>
            </w:r>
          </w:p>
        </w:tc>
        <w:tc>
          <w:tcPr>
            <w:tcW w:w="1464" w:type="dxa"/>
            <w:shd w:val="clear" w:color="auto" w:fill="FFFFFF" w:themeFill="background1"/>
            <w:noWrap/>
            <w:vAlign w:val="center"/>
          </w:tcPr>
          <w:p w14:paraId="71AC8E81" w14:textId="77777777" w:rsidR="00442DC7" w:rsidRPr="00832F09" w:rsidRDefault="00442DC7" w:rsidP="00053173">
            <w:pPr>
              <w:spacing w:line="360" w:lineRule="auto"/>
              <w:jc w:val="center"/>
              <w:rPr>
                <w:rFonts w:cs="Arial"/>
                <w:sz w:val="24"/>
                <w:szCs w:val="24"/>
              </w:rPr>
            </w:pPr>
            <w:r>
              <w:rPr>
                <w:rFonts w:cs="Arial"/>
                <w:sz w:val="24"/>
                <w:szCs w:val="24"/>
              </w:rPr>
              <w:t>118</w:t>
            </w:r>
          </w:p>
        </w:tc>
        <w:tc>
          <w:tcPr>
            <w:tcW w:w="1571" w:type="dxa"/>
            <w:shd w:val="clear" w:color="auto" w:fill="FFFFFF" w:themeFill="background1"/>
            <w:vAlign w:val="center"/>
          </w:tcPr>
          <w:p w14:paraId="03E3EEAB" w14:textId="77777777" w:rsidR="00442DC7" w:rsidRPr="00832F09" w:rsidRDefault="00442DC7" w:rsidP="00053173">
            <w:pPr>
              <w:spacing w:line="360" w:lineRule="auto"/>
              <w:jc w:val="center"/>
              <w:rPr>
                <w:rFonts w:cs="Arial"/>
                <w:sz w:val="24"/>
                <w:szCs w:val="24"/>
              </w:rPr>
            </w:pPr>
            <w:r>
              <w:rPr>
                <w:rFonts w:cs="Arial"/>
                <w:sz w:val="24"/>
                <w:szCs w:val="24"/>
              </w:rPr>
              <w:t>167</w:t>
            </w:r>
          </w:p>
        </w:tc>
        <w:tc>
          <w:tcPr>
            <w:tcW w:w="1571" w:type="dxa"/>
            <w:shd w:val="clear" w:color="auto" w:fill="FFFFFF" w:themeFill="background1"/>
            <w:vAlign w:val="center"/>
          </w:tcPr>
          <w:p w14:paraId="5A47B6B7" w14:textId="77777777" w:rsidR="00442DC7" w:rsidRPr="00832F09" w:rsidRDefault="00442DC7" w:rsidP="00053173">
            <w:pPr>
              <w:spacing w:line="360" w:lineRule="auto"/>
              <w:jc w:val="center"/>
              <w:rPr>
                <w:rFonts w:cs="Arial"/>
                <w:sz w:val="24"/>
                <w:szCs w:val="24"/>
              </w:rPr>
            </w:pPr>
            <w:r>
              <w:rPr>
                <w:rFonts w:cs="Arial"/>
                <w:sz w:val="24"/>
                <w:szCs w:val="24"/>
              </w:rPr>
              <w:t>160</w:t>
            </w:r>
          </w:p>
        </w:tc>
      </w:tr>
      <w:tr w:rsidR="00442DC7" w:rsidRPr="001B36F1" w14:paraId="531BB555" w14:textId="77777777" w:rsidTr="00C3612E">
        <w:trPr>
          <w:trHeight w:val="263"/>
        </w:trPr>
        <w:tc>
          <w:tcPr>
            <w:tcW w:w="2853" w:type="dxa"/>
            <w:shd w:val="clear" w:color="auto" w:fill="FFFFFF" w:themeFill="background1"/>
            <w:noWrap/>
            <w:vAlign w:val="center"/>
          </w:tcPr>
          <w:p w14:paraId="10DE8E8F" w14:textId="77777777" w:rsidR="00442DC7" w:rsidRDefault="00442DC7" w:rsidP="00EF4481">
            <w:pPr>
              <w:spacing w:line="360" w:lineRule="auto"/>
              <w:rPr>
                <w:rFonts w:cs="Arial"/>
                <w:sz w:val="24"/>
                <w:szCs w:val="24"/>
              </w:rPr>
            </w:pPr>
            <w:r>
              <w:rPr>
                <w:color w:val="000000" w:themeColor="text1"/>
                <w:sz w:val="24"/>
                <w:szCs w:val="24"/>
              </w:rPr>
              <w:t xml:space="preserve">20.1-30.0 </w:t>
            </w:r>
            <w:r w:rsidRPr="007700E5">
              <w:rPr>
                <w:rFonts w:cs="Arial"/>
                <w:bCs/>
                <w:color w:val="000000" w:themeColor="text1"/>
                <w:sz w:val="24"/>
                <w:szCs w:val="24"/>
              </w:rPr>
              <w:t>µg/dL</w:t>
            </w:r>
          </w:p>
        </w:tc>
        <w:tc>
          <w:tcPr>
            <w:tcW w:w="1678" w:type="dxa"/>
            <w:shd w:val="clear" w:color="auto" w:fill="FFFFFF" w:themeFill="background1"/>
            <w:noWrap/>
            <w:vAlign w:val="center"/>
          </w:tcPr>
          <w:p w14:paraId="450FC07E" w14:textId="77777777" w:rsidR="00442DC7" w:rsidRPr="00832F09" w:rsidRDefault="00442DC7" w:rsidP="00053173">
            <w:pPr>
              <w:spacing w:line="360" w:lineRule="auto"/>
              <w:jc w:val="center"/>
              <w:rPr>
                <w:rFonts w:cs="Arial"/>
                <w:sz w:val="24"/>
                <w:szCs w:val="24"/>
              </w:rPr>
            </w:pPr>
            <w:r>
              <w:rPr>
                <w:rFonts w:cs="Arial"/>
                <w:sz w:val="24"/>
                <w:szCs w:val="24"/>
              </w:rPr>
              <w:t>61</w:t>
            </w:r>
          </w:p>
        </w:tc>
        <w:tc>
          <w:tcPr>
            <w:tcW w:w="1464" w:type="dxa"/>
            <w:shd w:val="clear" w:color="auto" w:fill="FFFFFF" w:themeFill="background1"/>
            <w:noWrap/>
            <w:vAlign w:val="center"/>
          </w:tcPr>
          <w:p w14:paraId="085872A0" w14:textId="77777777" w:rsidR="00442DC7" w:rsidRPr="00832F09" w:rsidRDefault="00442DC7" w:rsidP="00053173">
            <w:pPr>
              <w:spacing w:line="360" w:lineRule="auto"/>
              <w:jc w:val="center"/>
              <w:rPr>
                <w:rFonts w:cs="Arial"/>
                <w:sz w:val="24"/>
                <w:szCs w:val="24"/>
              </w:rPr>
            </w:pPr>
            <w:r>
              <w:rPr>
                <w:rFonts w:cs="Arial"/>
                <w:sz w:val="24"/>
                <w:szCs w:val="24"/>
              </w:rPr>
              <w:t>112</w:t>
            </w:r>
          </w:p>
        </w:tc>
        <w:tc>
          <w:tcPr>
            <w:tcW w:w="1571" w:type="dxa"/>
            <w:shd w:val="clear" w:color="auto" w:fill="FFFFFF" w:themeFill="background1"/>
            <w:vAlign w:val="center"/>
          </w:tcPr>
          <w:p w14:paraId="4432173A" w14:textId="77777777" w:rsidR="00442DC7" w:rsidRPr="00832F09" w:rsidRDefault="00442DC7" w:rsidP="00053173">
            <w:pPr>
              <w:spacing w:line="360" w:lineRule="auto"/>
              <w:jc w:val="center"/>
              <w:rPr>
                <w:rFonts w:cs="Arial"/>
                <w:sz w:val="24"/>
                <w:szCs w:val="24"/>
              </w:rPr>
            </w:pPr>
            <w:r>
              <w:rPr>
                <w:rFonts w:cs="Arial"/>
                <w:sz w:val="24"/>
                <w:szCs w:val="24"/>
              </w:rPr>
              <w:t>90</w:t>
            </w:r>
          </w:p>
        </w:tc>
        <w:tc>
          <w:tcPr>
            <w:tcW w:w="1571" w:type="dxa"/>
            <w:shd w:val="clear" w:color="auto" w:fill="FFFFFF" w:themeFill="background1"/>
            <w:vAlign w:val="center"/>
          </w:tcPr>
          <w:p w14:paraId="50B1E143" w14:textId="77777777" w:rsidR="00442DC7" w:rsidRPr="00832F09" w:rsidRDefault="00442DC7" w:rsidP="00053173">
            <w:pPr>
              <w:spacing w:line="360" w:lineRule="auto"/>
              <w:jc w:val="center"/>
              <w:rPr>
                <w:rFonts w:cs="Arial"/>
                <w:sz w:val="24"/>
                <w:szCs w:val="24"/>
              </w:rPr>
            </w:pPr>
            <w:r>
              <w:rPr>
                <w:rFonts w:cs="Arial"/>
                <w:sz w:val="24"/>
                <w:szCs w:val="24"/>
              </w:rPr>
              <w:t>51</w:t>
            </w:r>
          </w:p>
        </w:tc>
      </w:tr>
      <w:tr w:rsidR="00442DC7" w:rsidRPr="001B36F1" w14:paraId="762F0F49" w14:textId="77777777" w:rsidTr="00C3612E">
        <w:trPr>
          <w:trHeight w:val="263"/>
        </w:trPr>
        <w:tc>
          <w:tcPr>
            <w:tcW w:w="2853" w:type="dxa"/>
            <w:shd w:val="clear" w:color="auto" w:fill="FFFFFF" w:themeFill="background1"/>
            <w:noWrap/>
            <w:vAlign w:val="center"/>
          </w:tcPr>
          <w:p w14:paraId="69087098" w14:textId="77777777" w:rsidR="00442DC7" w:rsidRDefault="00442DC7" w:rsidP="00EF4481">
            <w:pPr>
              <w:spacing w:line="360" w:lineRule="auto"/>
              <w:rPr>
                <w:rFonts w:cs="Arial"/>
                <w:sz w:val="24"/>
                <w:szCs w:val="24"/>
              </w:rPr>
            </w:pPr>
            <w:r>
              <w:rPr>
                <w:rFonts w:cs="Arial"/>
                <w:color w:val="000000" w:themeColor="text1"/>
                <w:sz w:val="24"/>
                <w:szCs w:val="24"/>
              </w:rPr>
              <w:t xml:space="preserve">≥ </w:t>
            </w:r>
            <w:r>
              <w:rPr>
                <w:color w:val="000000" w:themeColor="text1"/>
                <w:sz w:val="24"/>
                <w:szCs w:val="24"/>
              </w:rPr>
              <w:t>30.1</w:t>
            </w:r>
            <w:r w:rsidRPr="007700E5">
              <w:rPr>
                <w:rFonts w:cs="Arial"/>
                <w:bCs/>
                <w:color w:val="000000" w:themeColor="text1"/>
                <w:sz w:val="24"/>
                <w:szCs w:val="24"/>
              </w:rPr>
              <w:t xml:space="preserve"> µg/dL</w:t>
            </w:r>
          </w:p>
        </w:tc>
        <w:tc>
          <w:tcPr>
            <w:tcW w:w="1678" w:type="dxa"/>
            <w:shd w:val="clear" w:color="auto" w:fill="FFFFFF" w:themeFill="background1"/>
            <w:noWrap/>
            <w:vAlign w:val="center"/>
          </w:tcPr>
          <w:p w14:paraId="03D45495" w14:textId="77777777" w:rsidR="00442DC7" w:rsidRPr="00832F09" w:rsidRDefault="00442DC7" w:rsidP="00053173">
            <w:pPr>
              <w:spacing w:line="360" w:lineRule="auto"/>
              <w:jc w:val="center"/>
              <w:rPr>
                <w:rFonts w:cs="Arial"/>
                <w:sz w:val="24"/>
                <w:szCs w:val="24"/>
              </w:rPr>
            </w:pPr>
            <w:r>
              <w:rPr>
                <w:rFonts w:cs="Arial"/>
                <w:sz w:val="24"/>
                <w:szCs w:val="24"/>
              </w:rPr>
              <w:t>63</w:t>
            </w:r>
          </w:p>
        </w:tc>
        <w:tc>
          <w:tcPr>
            <w:tcW w:w="1464" w:type="dxa"/>
            <w:shd w:val="clear" w:color="auto" w:fill="FFFFFF" w:themeFill="background1"/>
            <w:noWrap/>
            <w:vAlign w:val="center"/>
          </w:tcPr>
          <w:p w14:paraId="03BD980C" w14:textId="77777777" w:rsidR="00442DC7" w:rsidRPr="00832F09" w:rsidRDefault="00442DC7" w:rsidP="00053173">
            <w:pPr>
              <w:spacing w:line="360" w:lineRule="auto"/>
              <w:jc w:val="center"/>
              <w:rPr>
                <w:rFonts w:cs="Arial"/>
                <w:sz w:val="24"/>
                <w:szCs w:val="24"/>
              </w:rPr>
            </w:pPr>
            <w:r>
              <w:rPr>
                <w:rFonts w:cs="Arial"/>
                <w:sz w:val="24"/>
                <w:szCs w:val="24"/>
              </w:rPr>
              <w:t>66</w:t>
            </w:r>
          </w:p>
        </w:tc>
        <w:tc>
          <w:tcPr>
            <w:tcW w:w="1571" w:type="dxa"/>
            <w:shd w:val="clear" w:color="auto" w:fill="FFFFFF" w:themeFill="background1"/>
            <w:vAlign w:val="center"/>
          </w:tcPr>
          <w:p w14:paraId="1B7EB584" w14:textId="77777777" w:rsidR="00442DC7" w:rsidRPr="00832F09" w:rsidRDefault="00442DC7" w:rsidP="00053173">
            <w:pPr>
              <w:spacing w:line="360" w:lineRule="auto"/>
              <w:jc w:val="center"/>
              <w:rPr>
                <w:rFonts w:cs="Arial"/>
                <w:sz w:val="24"/>
                <w:szCs w:val="24"/>
              </w:rPr>
            </w:pPr>
            <w:r>
              <w:rPr>
                <w:rFonts w:cs="Arial"/>
                <w:sz w:val="24"/>
                <w:szCs w:val="24"/>
              </w:rPr>
              <w:t>25</w:t>
            </w:r>
          </w:p>
        </w:tc>
        <w:tc>
          <w:tcPr>
            <w:tcW w:w="1571" w:type="dxa"/>
            <w:shd w:val="clear" w:color="auto" w:fill="FFFFFF" w:themeFill="background1"/>
            <w:vAlign w:val="center"/>
          </w:tcPr>
          <w:p w14:paraId="6706426C" w14:textId="77777777" w:rsidR="00442DC7" w:rsidRPr="00832F09" w:rsidRDefault="00442DC7" w:rsidP="00053173">
            <w:pPr>
              <w:spacing w:line="360" w:lineRule="auto"/>
              <w:jc w:val="center"/>
              <w:rPr>
                <w:rFonts w:cs="Arial"/>
                <w:sz w:val="24"/>
                <w:szCs w:val="24"/>
              </w:rPr>
            </w:pPr>
            <w:r>
              <w:rPr>
                <w:rFonts w:cs="Arial"/>
                <w:sz w:val="24"/>
                <w:szCs w:val="24"/>
              </w:rPr>
              <w:t>5</w:t>
            </w:r>
          </w:p>
        </w:tc>
      </w:tr>
      <w:tr w:rsidR="00442DC7" w:rsidRPr="001B36F1" w14:paraId="0A9FF5A6" w14:textId="77777777" w:rsidTr="00C3612E">
        <w:trPr>
          <w:trHeight w:val="263"/>
        </w:trPr>
        <w:tc>
          <w:tcPr>
            <w:tcW w:w="2853" w:type="dxa"/>
            <w:shd w:val="clear" w:color="auto" w:fill="FFFFFF" w:themeFill="background1"/>
            <w:noWrap/>
            <w:vAlign w:val="center"/>
          </w:tcPr>
          <w:p w14:paraId="066A4C7F" w14:textId="77777777" w:rsidR="00442DC7" w:rsidRPr="00C3612E" w:rsidRDefault="00442DC7" w:rsidP="00596D35">
            <w:pPr>
              <w:spacing w:after="200" w:line="360" w:lineRule="auto"/>
              <w:rPr>
                <w:rFonts w:cs="Arial"/>
                <w:b/>
                <w:bCs/>
                <w:sz w:val="24"/>
                <w:szCs w:val="24"/>
              </w:rPr>
            </w:pPr>
            <w:r w:rsidRPr="00C3612E">
              <w:rPr>
                <w:rFonts w:cs="Arial"/>
                <w:b/>
                <w:bCs/>
                <w:sz w:val="24"/>
                <w:szCs w:val="24"/>
              </w:rPr>
              <w:t>Total</w:t>
            </w:r>
          </w:p>
        </w:tc>
        <w:tc>
          <w:tcPr>
            <w:tcW w:w="1678" w:type="dxa"/>
            <w:shd w:val="clear" w:color="auto" w:fill="FFFFFF" w:themeFill="background1"/>
            <w:noWrap/>
            <w:vAlign w:val="center"/>
          </w:tcPr>
          <w:p w14:paraId="37056A0C" w14:textId="77777777" w:rsidR="00442DC7" w:rsidRPr="00053173" w:rsidRDefault="00442DC7" w:rsidP="00053173">
            <w:pPr>
              <w:spacing w:line="360" w:lineRule="auto"/>
              <w:jc w:val="center"/>
              <w:rPr>
                <w:rFonts w:cs="Arial"/>
                <w:sz w:val="24"/>
                <w:szCs w:val="24"/>
              </w:rPr>
            </w:pPr>
            <w:r>
              <w:rPr>
                <w:rFonts w:cs="Arial"/>
                <w:sz w:val="24"/>
                <w:szCs w:val="24"/>
              </w:rPr>
              <w:t>&gt; 343</w:t>
            </w:r>
          </w:p>
        </w:tc>
        <w:tc>
          <w:tcPr>
            <w:tcW w:w="1464" w:type="dxa"/>
            <w:shd w:val="clear" w:color="auto" w:fill="FFFFFF" w:themeFill="background1"/>
            <w:noWrap/>
            <w:vAlign w:val="center"/>
          </w:tcPr>
          <w:p w14:paraId="65C213E4" w14:textId="77777777" w:rsidR="00442DC7" w:rsidRPr="00832F09" w:rsidRDefault="00442DC7" w:rsidP="00053173">
            <w:pPr>
              <w:spacing w:line="360" w:lineRule="auto"/>
              <w:jc w:val="center"/>
              <w:rPr>
                <w:rFonts w:cs="Arial"/>
                <w:sz w:val="24"/>
                <w:szCs w:val="24"/>
              </w:rPr>
            </w:pPr>
            <w:r>
              <w:rPr>
                <w:rFonts w:cs="Arial"/>
                <w:sz w:val="24"/>
                <w:szCs w:val="24"/>
              </w:rPr>
              <w:t>426</w:t>
            </w:r>
          </w:p>
        </w:tc>
        <w:tc>
          <w:tcPr>
            <w:tcW w:w="1571" w:type="dxa"/>
            <w:shd w:val="clear" w:color="auto" w:fill="FFFFFF" w:themeFill="background1"/>
            <w:vAlign w:val="center"/>
          </w:tcPr>
          <w:p w14:paraId="6182013F" w14:textId="77777777" w:rsidR="00442DC7" w:rsidRPr="00832F09" w:rsidRDefault="00442DC7" w:rsidP="00053173">
            <w:pPr>
              <w:spacing w:line="360" w:lineRule="auto"/>
              <w:jc w:val="center"/>
              <w:rPr>
                <w:rFonts w:cs="Arial"/>
                <w:sz w:val="24"/>
                <w:szCs w:val="24"/>
              </w:rPr>
            </w:pPr>
            <w:r>
              <w:rPr>
                <w:rFonts w:cs="Arial"/>
                <w:sz w:val="24"/>
                <w:szCs w:val="24"/>
              </w:rPr>
              <w:t>≥ 459 ≤ 462</w:t>
            </w:r>
          </w:p>
        </w:tc>
        <w:tc>
          <w:tcPr>
            <w:tcW w:w="1571" w:type="dxa"/>
            <w:shd w:val="clear" w:color="auto" w:fill="FFFFFF" w:themeFill="background1"/>
            <w:vAlign w:val="center"/>
          </w:tcPr>
          <w:p w14:paraId="5376AB8C" w14:textId="77777777" w:rsidR="00442DC7" w:rsidRPr="00832F09" w:rsidRDefault="00442DC7" w:rsidP="00053173">
            <w:pPr>
              <w:spacing w:line="360" w:lineRule="auto"/>
              <w:jc w:val="center"/>
              <w:rPr>
                <w:rFonts w:cs="Arial"/>
                <w:sz w:val="24"/>
                <w:szCs w:val="24"/>
              </w:rPr>
            </w:pPr>
            <w:r>
              <w:rPr>
                <w:rFonts w:cs="Arial"/>
                <w:sz w:val="24"/>
                <w:szCs w:val="24"/>
              </w:rPr>
              <w:t>≥ 394 ≤ 397</w:t>
            </w:r>
          </w:p>
        </w:tc>
      </w:tr>
    </w:tbl>
    <w:p w14:paraId="359FA856" w14:textId="2731111D" w:rsidR="00442DC7" w:rsidRPr="00770852" w:rsidRDefault="00442DC7" w:rsidP="008574EC">
      <w:pPr>
        <w:tabs>
          <w:tab w:val="left" w:pos="851"/>
        </w:tabs>
        <w:spacing w:before="120" w:after="0"/>
        <w:ind w:left="1440" w:hanging="1440"/>
        <w:rPr>
          <w:rFonts w:cs="Arial"/>
          <w:color w:val="000000"/>
          <w:sz w:val="20"/>
          <w:szCs w:val="20"/>
        </w:rPr>
      </w:pPr>
      <w:r w:rsidRPr="00770852">
        <w:rPr>
          <w:rFonts w:cs="Arial"/>
          <w:bCs/>
          <w:color w:val="000000" w:themeColor="text1"/>
          <w:sz w:val="20"/>
          <w:szCs w:val="20"/>
        </w:rPr>
        <w:t xml:space="preserve">Sources: </w:t>
      </w:r>
      <w:r>
        <w:rPr>
          <w:rFonts w:cs="Arial"/>
          <w:bCs/>
          <w:color w:val="000000" w:themeColor="text1"/>
          <w:sz w:val="20"/>
          <w:szCs w:val="20"/>
        </w:rPr>
        <w:tab/>
      </w:r>
      <w:r w:rsidRPr="00770852">
        <w:rPr>
          <w:rFonts w:cs="Arial"/>
          <w:bCs/>
          <w:color w:val="000000" w:themeColor="text1"/>
          <w:sz w:val="20"/>
          <w:szCs w:val="20"/>
        </w:rPr>
        <w:t xml:space="preserve">Occupational data: </w:t>
      </w:r>
      <w:r w:rsidRPr="00770852">
        <w:rPr>
          <w:rFonts w:cs="Arial"/>
          <w:color w:val="000000"/>
          <w:sz w:val="20"/>
          <w:szCs w:val="20"/>
        </w:rPr>
        <w:t>Department of Mines, Industry Regulation and Safety (</w:t>
      </w:r>
      <w:r w:rsidR="008574EC">
        <w:rPr>
          <w:rFonts w:cs="Arial"/>
          <w:color w:val="000000"/>
          <w:sz w:val="20"/>
          <w:szCs w:val="20"/>
        </w:rPr>
        <w:t>WA</w:t>
      </w:r>
      <w:r w:rsidRPr="00770852">
        <w:rPr>
          <w:rFonts w:cs="Arial"/>
          <w:color w:val="000000"/>
          <w:sz w:val="20"/>
          <w:szCs w:val="20"/>
        </w:rPr>
        <w:t>)</w:t>
      </w:r>
      <w:r>
        <w:rPr>
          <w:rFonts w:cs="Arial"/>
          <w:color w:val="000000"/>
          <w:sz w:val="20"/>
          <w:szCs w:val="20"/>
        </w:rPr>
        <w:t>.</w:t>
      </w:r>
    </w:p>
    <w:p w14:paraId="4909CC93" w14:textId="77777777" w:rsidR="00442DC7" w:rsidRPr="00770852" w:rsidRDefault="00442DC7" w:rsidP="008574EC">
      <w:pPr>
        <w:ind w:left="142" w:firstLine="720"/>
        <w:rPr>
          <w:rFonts w:cs="Arial"/>
          <w:b/>
          <w:bCs/>
          <w:color w:val="000000"/>
          <w:sz w:val="20"/>
          <w:szCs w:val="20"/>
        </w:rPr>
      </w:pPr>
      <w:r w:rsidRPr="00770852">
        <w:rPr>
          <w:rFonts w:cs="Arial"/>
          <w:color w:val="000000"/>
          <w:sz w:val="20"/>
          <w:szCs w:val="20"/>
        </w:rPr>
        <w:t>Non-occupational data: Department of Health (Western Australia)</w:t>
      </w:r>
      <w:r>
        <w:rPr>
          <w:rFonts w:cs="Arial"/>
          <w:color w:val="000000"/>
          <w:sz w:val="20"/>
          <w:szCs w:val="20"/>
        </w:rPr>
        <w:t>.</w:t>
      </w:r>
    </w:p>
    <w:p w14:paraId="7E3CBF87" w14:textId="1869ADCA" w:rsidR="00442DC7" w:rsidRDefault="00110977" w:rsidP="003C62B5">
      <w:pPr>
        <w:spacing w:before="240" w:after="120" w:line="360" w:lineRule="auto"/>
        <w:jc w:val="both"/>
        <w:rPr>
          <w:rFonts w:eastAsiaTheme="majorEastAsia" w:cs="Arial"/>
          <w:iCs/>
          <w:color w:val="000000" w:themeColor="text1"/>
          <w:sz w:val="24"/>
          <w:szCs w:val="24"/>
        </w:rPr>
      </w:pPr>
      <w:r w:rsidRPr="00110977">
        <w:rPr>
          <w:rFonts w:eastAsiaTheme="majorEastAsia" w:cs="Arial"/>
          <w:iCs/>
          <w:noProof/>
          <w:color w:val="000000" w:themeColor="text1"/>
          <w:sz w:val="24"/>
          <w:szCs w:val="24"/>
          <w:lang w:eastAsia="en-AU"/>
        </w:rPr>
        <mc:AlternateContent>
          <mc:Choice Requires="wps">
            <w:drawing>
              <wp:anchor distT="45720" distB="45720" distL="114300" distR="114300" simplePos="0" relativeHeight="251661312" behindDoc="0" locked="0" layoutInCell="1" allowOverlap="1" wp14:anchorId="19605885" wp14:editId="32D67FF6">
                <wp:simplePos x="0" y="0"/>
                <wp:positionH relativeFrom="margin">
                  <wp:posOffset>0</wp:posOffset>
                </wp:positionH>
                <wp:positionV relativeFrom="page">
                  <wp:posOffset>7848600</wp:posOffset>
                </wp:positionV>
                <wp:extent cx="5695950" cy="630555"/>
                <wp:effectExtent l="0" t="0" r="19050" b="171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630555"/>
                        </a:xfrm>
                        <a:prstGeom prst="rect">
                          <a:avLst/>
                        </a:prstGeom>
                        <a:solidFill>
                          <a:schemeClr val="bg1">
                            <a:lumMod val="85000"/>
                          </a:schemeClr>
                        </a:solidFill>
                        <a:ln w="9525">
                          <a:solidFill>
                            <a:srgbClr val="000000"/>
                          </a:solidFill>
                          <a:miter lim="800000"/>
                          <a:headEnd/>
                          <a:tailEnd/>
                        </a:ln>
                      </wps:spPr>
                      <wps:txbx>
                        <w:txbxContent>
                          <w:p w14:paraId="0691CA7C" w14:textId="3BB2A5DB" w:rsidR="00944D93" w:rsidRDefault="00944D93">
                            <w:r w:rsidRPr="00901E24">
                              <w:rPr>
                                <w:rFonts w:cs="Arial"/>
                                <w:sz w:val="24"/>
                                <w:szCs w:val="24"/>
                              </w:rPr>
                              <w:t>The Consultation RIS asked stakeholders whether they were aware of any other studies on blood lead levels in Australia.</w:t>
                            </w:r>
                            <w:r>
                              <w:rPr>
                                <w:rFonts w:cs="Arial"/>
                                <w:bCs/>
                                <w:sz w:val="24"/>
                                <w:szCs w:val="24"/>
                              </w:rPr>
                              <w:t xml:space="preserve"> </w:t>
                            </w:r>
                            <w:r>
                              <w:rPr>
                                <w:rFonts w:eastAsiaTheme="majorEastAsia" w:cs="Arial"/>
                                <w:iCs/>
                                <w:color w:val="002060"/>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605885" id="_x0000_t202" coordsize="21600,21600" o:spt="202" path="m,l,21600r21600,l21600,xe">
                <v:stroke joinstyle="miter"/>
                <v:path gradientshapeok="t" o:connecttype="rect"/>
              </v:shapetype>
              <v:shape id="Text Box 2" o:spid="_x0000_s1026" type="#_x0000_t202" style="position:absolute;left:0;text-align:left;margin-left:0;margin-top:618pt;width:448.5pt;height:49.6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40OAIAAGgEAAAOAAAAZHJzL2Uyb0RvYy54bWysVNtu2zAMfR+wfxD0vtjJ4iwx4hRdugwD&#10;ugvQ7gNoWY6F6TZJiZ19fSk5zdLtbdiLIIr04eEh6fXNoCQ5cueF0RWdTnJKuGamEXpf0e+PuzdL&#10;SnwA3YA0mlf0xD292bx+te5tyWemM7LhjiCI9mVvK9qFYMss86zjCvzEWK7R2RqnIKDp9lnjoEd0&#10;JbNZni+y3rjGOsO49/h6NzrpJuG3LWfha9t6HoisKHIL6XTprOOZbdZQ7h3YTrAzDfgHFgqExqQX&#10;qDsIQA5O/AWlBHPGmzZMmFGZaVvBeKoBq5nmf1Tz0IHlqRYUx9uLTP7/wbIvx2+OiAZ7h53SoLBH&#10;j3wI5L0ZyCzK01tfYtSDxbgw4DOGplK9vTfshyfabDvQe37rnOk7Dg3Sm8Yvs6tPRxwfQer+s2kw&#10;DRyCSUBD61TUDtUgiI5tOl1aE6kwfCwWq2JVoIuhb/E2L4oipYDy+WvrfPjIjSLxUlGHrU/ocLz3&#10;IbKB8jkkJvNGimYnpExGHDe+lY4cAQel3o8VyoNCquPbssjzNC6Ik6YzhifUF0hSk76iq2JWjBq9&#10;yOL29SUHol0BXocpEXAlpFAVXV6CoIzKftBNGtgAQo53ZCP1Weqo7qhzGOrh3LraNCcU3Zlx9HFV&#10;8dIZ94uSHse+ov7nARynRH7S2LjVdD6Pe5KMefFuhoa79tTXHtAMoSoaKBmv25B2K2lqb7HBO5G0&#10;j5MwMjlzxXFO4p1XL+7LtZ2ifv8gNk8AAAD//wMAUEsDBBQABgAIAAAAIQAOQKj23AAAAAoBAAAP&#10;AAAAZHJzL2Rvd25yZXYueG1sTE/LTsMwELwj8Q/WInGjDo3oI8SpKhASEqemlXp14yWOiNeR7aTh&#10;71lOcJudGc3OlLvZ9WLCEDtPCh4XGQikxpuOWgWn49vDBkRMmozuPaGCb4ywq25vSl0Yf6UDTnVq&#10;BYdQLLQCm9JQSBkbi07HhR+QWPv0wenEZ2ilCfrK4a6XyyxbSac74g9WD/hisfmqR6cgvNfnvGuT&#10;l+f9nBk7vh6mj6NS93fz/hlEwjn9meG3PleHijtd/Egmil4BD0nMLvMVI9Y32zWDC1N5/pSDrEr5&#10;f0L1AwAA//8DAFBLAQItABQABgAIAAAAIQC2gziS/gAAAOEBAAATAAAAAAAAAAAAAAAAAAAAAABb&#10;Q29udGVudF9UeXBlc10ueG1sUEsBAi0AFAAGAAgAAAAhADj9If/WAAAAlAEAAAsAAAAAAAAAAAAA&#10;AAAALwEAAF9yZWxzLy5yZWxzUEsBAi0AFAAGAAgAAAAhAGFk/jQ4AgAAaAQAAA4AAAAAAAAAAAAA&#10;AAAALgIAAGRycy9lMm9Eb2MueG1sUEsBAi0AFAAGAAgAAAAhAA5AqPbcAAAACgEAAA8AAAAAAAAA&#10;AAAAAAAAkgQAAGRycy9kb3ducmV2LnhtbFBLBQYAAAAABAAEAPMAAACbBQAAAAA=&#10;" fillcolor="#d8d8d8 [2732]">
                <v:textbox style="mso-fit-shape-to-text:t">
                  <w:txbxContent>
                    <w:p w14:paraId="0691CA7C" w14:textId="3BB2A5DB" w:rsidR="00944D93" w:rsidRDefault="00944D93">
                      <w:r w:rsidRPr="00901E24">
                        <w:rPr>
                          <w:rFonts w:cs="Arial"/>
                          <w:sz w:val="24"/>
                          <w:szCs w:val="24"/>
                        </w:rPr>
                        <w:t>The Consultation RIS asked stakeholders whether they were aware of any other studies on blood lead levels in Australia.</w:t>
                      </w:r>
                      <w:r>
                        <w:rPr>
                          <w:rFonts w:cs="Arial"/>
                          <w:bCs/>
                          <w:sz w:val="24"/>
                          <w:szCs w:val="24"/>
                        </w:rPr>
                        <w:t xml:space="preserve"> </w:t>
                      </w:r>
                      <w:r>
                        <w:rPr>
                          <w:rFonts w:eastAsiaTheme="majorEastAsia" w:cs="Arial"/>
                          <w:iCs/>
                          <w:color w:val="002060"/>
                          <w:sz w:val="24"/>
                          <w:szCs w:val="24"/>
                        </w:rPr>
                        <w:t xml:space="preserve"> </w:t>
                      </w:r>
                    </w:p>
                  </w:txbxContent>
                </v:textbox>
                <w10:wrap type="square" anchorx="margin" anchory="page"/>
              </v:shape>
            </w:pict>
          </mc:Fallback>
        </mc:AlternateContent>
      </w:r>
      <w:r w:rsidR="002322EC">
        <w:rPr>
          <w:rFonts w:cs="Arial"/>
          <w:bCs/>
          <w:sz w:val="24"/>
          <w:szCs w:val="24"/>
        </w:rPr>
        <w:t>T</w:t>
      </w:r>
      <w:r w:rsidR="00442DC7" w:rsidRPr="0088285B">
        <w:rPr>
          <w:rFonts w:cs="Arial"/>
          <w:bCs/>
          <w:sz w:val="24"/>
          <w:szCs w:val="24"/>
        </w:rPr>
        <w:t>he above data</w:t>
      </w:r>
      <w:r w:rsidR="002322EC">
        <w:rPr>
          <w:rFonts w:cs="Arial"/>
          <w:bCs/>
          <w:sz w:val="24"/>
          <w:szCs w:val="24"/>
        </w:rPr>
        <w:t xml:space="preserve"> suggests</w:t>
      </w:r>
      <w:r w:rsidR="00442DC7" w:rsidRPr="0088285B">
        <w:rPr>
          <w:rFonts w:cs="Arial"/>
          <w:bCs/>
          <w:sz w:val="24"/>
          <w:szCs w:val="24"/>
        </w:rPr>
        <w:t xml:space="preserve">, instances of </w:t>
      </w:r>
      <w:r w:rsidR="00442DC7">
        <w:rPr>
          <w:rFonts w:cs="Arial"/>
          <w:bCs/>
          <w:sz w:val="24"/>
          <w:szCs w:val="24"/>
        </w:rPr>
        <w:t xml:space="preserve">non-occupational lead exposure </w:t>
      </w:r>
      <w:r w:rsidR="00442DC7" w:rsidRPr="0088285B">
        <w:rPr>
          <w:rFonts w:cs="Arial"/>
          <w:bCs/>
          <w:sz w:val="24"/>
          <w:szCs w:val="24"/>
        </w:rPr>
        <w:t xml:space="preserve">where 5 </w:t>
      </w:r>
      <w:r w:rsidR="00442DC7" w:rsidRPr="001B36F1">
        <w:rPr>
          <w:rFonts w:cs="Arial"/>
          <w:bCs/>
          <w:sz w:val="24"/>
          <w:szCs w:val="24"/>
        </w:rPr>
        <w:t>µg/dL</w:t>
      </w:r>
      <w:r w:rsidR="002322EC">
        <w:rPr>
          <w:rFonts w:cs="Arial"/>
          <w:bCs/>
          <w:sz w:val="24"/>
          <w:szCs w:val="24"/>
        </w:rPr>
        <w:t xml:space="preserve"> is exceeded are</w:t>
      </w:r>
      <w:r w:rsidR="00442DC7">
        <w:rPr>
          <w:rFonts w:cs="Arial"/>
          <w:bCs/>
          <w:sz w:val="24"/>
          <w:szCs w:val="24"/>
        </w:rPr>
        <w:t xml:space="preserve"> rare, and represents 0.0046% of residents in Queensland, </w:t>
      </w:r>
      <w:r w:rsidR="00442DC7" w:rsidRPr="007F069A">
        <w:rPr>
          <w:rFonts w:cs="Arial"/>
          <w:bCs/>
          <w:sz w:val="24"/>
          <w:szCs w:val="24"/>
        </w:rPr>
        <w:t>0.0010%</w:t>
      </w:r>
      <w:r w:rsidR="00442DC7">
        <w:rPr>
          <w:rFonts w:cs="Arial"/>
          <w:bCs/>
          <w:sz w:val="24"/>
          <w:szCs w:val="24"/>
        </w:rPr>
        <w:t xml:space="preserve"> of residents in Victoria, 0.0015% in Western Australia and 0.0023% of residents in Tasmania in 2018.</w:t>
      </w:r>
      <w:r w:rsidR="00442DC7">
        <w:rPr>
          <w:rStyle w:val="FootnoteReference"/>
          <w:rFonts w:cs="Arial"/>
          <w:bCs/>
          <w:sz w:val="24"/>
          <w:szCs w:val="24"/>
        </w:rPr>
        <w:footnoteReference w:id="93"/>
      </w:r>
      <w:r w:rsidR="00442DC7">
        <w:rPr>
          <w:rFonts w:cs="Arial"/>
          <w:bCs/>
          <w:sz w:val="24"/>
          <w:szCs w:val="24"/>
        </w:rPr>
        <w:t xml:space="preserve"> </w:t>
      </w:r>
      <w:r w:rsidR="00B22235">
        <w:rPr>
          <w:rFonts w:cs="Arial"/>
          <w:bCs/>
          <w:sz w:val="24"/>
          <w:szCs w:val="24"/>
        </w:rPr>
        <w:t>T</w:t>
      </w:r>
      <w:r w:rsidR="00442DC7">
        <w:rPr>
          <w:rFonts w:cs="Arial"/>
          <w:bCs/>
          <w:sz w:val="24"/>
          <w:szCs w:val="24"/>
        </w:rPr>
        <w:t xml:space="preserve">hese findings only reflect instances where testing has been undertaken. As such, this data may substantially understate the frequency of elevated blood lead levels within the general population. The ABCB approached a large pathology company to obtain data on blood lead levels within the general population, however the company was unable to fulfil the request. </w:t>
      </w:r>
    </w:p>
    <w:p w14:paraId="6B8DC8BD" w14:textId="293CD190" w:rsidR="00442DC7" w:rsidRDefault="00442DC7" w:rsidP="00EC4DC4">
      <w:pPr>
        <w:spacing w:before="240" w:line="360" w:lineRule="auto"/>
        <w:jc w:val="both"/>
        <w:rPr>
          <w:rFonts w:eastAsiaTheme="majorEastAsia" w:cs="Arial"/>
          <w:iCs/>
          <w:color w:val="000000" w:themeColor="text1"/>
          <w:sz w:val="24"/>
          <w:szCs w:val="24"/>
        </w:rPr>
      </w:pPr>
      <w:r>
        <w:rPr>
          <w:rFonts w:eastAsiaTheme="majorEastAsia" w:cs="Arial"/>
          <w:iCs/>
          <w:color w:val="000000" w:themeColor="text1"/>
          <w:sz w:val="24"/>
          <w:szCs w:val="24"/>
        </w:rPr>
        <w:t xml:space="preserve">enHealth’s submission offered assistance in contacting </w:t>
      </w:r>
      <w:r w:rsidRPr="00766920">
        <w:rPr>
          <w:rFonts w:eastAsiaTheme="majorEastAsia" w:cs="Arial"/>
          <w:iCs/>
          <w:color w:val="000000" w:themeColor="text1"/>
          <w:sz w:val="24"/>
          <w:szCs w:val="24"/>
        </w:rPr>
        <w:t xml:space="preserve">key personnel from jurisdictions other than those already cited in the </w:t>
      </w:r>
      <w:r>
        <w:rPr>
          <w:rFonts w:eastAsiaTheme="majorEastAsia" w:cs="Arial"/>
          <w:iCs/>
          <w:color w:val="000000" w:themeColor="text1"/>
          <w:sz w:val="24"/>
          <w:szCs w:val="24"/>
        </w:rPr>
        <w:t xml:space="preserve">Consultation </w:t>
      </w:r>
      <w:r w:rsidRPr="00766920">
        <w:rPr>
          <w:rFonts w:eastAsiaTheme="majorEastAsia" w:cs="Arial"/>
          <w:iCs/>
          <w:color w:val="000000" w:themeColor="text1"/>
          <w:sz w:val="24"/>
          <w:szCs w:val="24"/>
        </w:rPr>
        <w:t>RIS</w:t>
      </w:r>
      <w:r>
        <w:rPr>
          <w:rFonts w:eastAsiaTheme="majorEastAsia" w:cs="Arial"/>
          <w:iCs/>
          <w:color w:val="000000" w:themeColor="text1"/>
          <w:sz w:val="24"/>
          <w:szCs w:val="24"/>
        </w:rPr>
        <w:t>.</w:t>
      </w:r>
      <w:r w:rsidRPr="00766920">
        <w:rPr>
          <w:rFonts w:eastAsiaTheme="majorEastAsia" w:cs="Arial"/>
          <w:iCs/>
          <w:color w:val="000000" w:themeColor="text1"/>
          <w:sz w:val="24"/>
          <w:szCs w:val="24"/>
        </w:rPr>
        <w:t xml:space="preserve"> </w:t>
      </w:r>
      <w:r w:rsidR="00B22235">
        <w:rPr>
          <w:rFonts w:eastAsiaTheme="majorEastAsia" w:cs="Arial"/>
          <w:iCs/>
          <w:color w:val="000000" w:themeColor="text1"/>
          <w:sz w:val="24"/>
          <w:szCs w:val="24"/>
        </w:rPr>
        <w:t>S</w:t>
      </w:r>
      <w:r>
        <w:rPr>
          <w:rFonts w:eastAsiaTheme="majorEastAsia" w:cs="Arial"/>
          <w:iCs/>
          <w:color w:val="000000" w:themeColor="text1"/>
          <w:sz w:val="24"/>
          <w:szCs w:val="24"/>
        </w:rPr>
        <w:t xml:space="preserve">ince 2019, the </w:t>
      </w:r>
      <w:r>
        <w:rPr>
          <w:rFonts w:eastAsiaTheme="majorEastAsia" w:cs="Arial"/>
          <w:iCs/>
          <w:color w:val="000000" w:themeColor="text1"/>
          <w:sz w:val="24"/>
          <w:szCs w:val="24"/>
        </w:rPr>
        <w:lastRenderedPageBreak/>
        <w:t>ABCB has attempted</w:t>
      </w:r>
      <w:r w:rsidRPr="00D83F76">
        <w:rPr>
          <w:rFonts w:eastAsiaTheme="majorEastAsia" w:cs="Arial"/>
          <w:iCs/>
          <w:color w:val="000000" w:themeColor="text1"/>
          <w:sz w:val="24"/>
          <w:szCs w:val="24"/>
        </w:rPr>
        <w:t xml:space="preserve"> </w:t>
      </w:r>
      <w:r>
        <w:rPr>
          <w:rFonts w:eastAsiaTheme="majorEastAsia" w:cs="Arial"/>
          <w:iCs/>
          <w:color w:val="000000" w:themeColor="text1"/>
          <w:sz w:val="24"/>
          <w:szCs w:val="24"/>
        </w:rPr>
        <w:t xml:space="preserve">to source information </w:t>
      </w:r>
      <w:r w:rsidR="008574EC">
        <w:rPr>
          <w:rFonts w:eastAsiaTheme="majorEastAsia" w:cs="Arial"/>
          <w:iCs/>
          <w:color w:val="000000" w:themeColor="text1"/>
          <w:sz w:val="24"/>
          <w:szCs w:val="24"/>
        </w:rPr>
        <w:t xml:space="preserve">including </w:t>
      </w:r>
      <w:r>
        <w:rPr>
          <w:rFonts w:eastAsiaTheme="majorEastAsia" w:cs="Arial"/>
          <w:iCs/>
          <w:color w:val="000000" w:themeColor="text1"/>
          <w:sz w:val="24"/>
          <w:szCs w:val="24"/>
        </w:rPr>
        <w:t>via enHealth and has been unsuccessful. Other s</w:t>
      </w:r>
      <w:r w:rsidRPr="00766920">
        <w:rPr>
          <w:rFonts w:eastAsiaTheme="majorEastAsia" w:cs="Arial"/>
          <w:iCs/>
          <w:color w:val="000000" w:themeColor="text1"/>
          <w:sz w:val="24"/>
          <w:szCs w:val="24"/>
        </w:rPr>
        <w:t xml:space="preserve">takeholders were not aware of any additional </w:t>
      </w:r>
      <w:r>
        <w:rPr>
          <w:rFonts w:eastAsiaTheme="majorEastAsia" w:cs="Arial"/>
          <w:iCs/>
          <w:color w:val="000000" w:themeColor="text1"/>
          <w:sz w:val="24"/>
          <w:szCs w:val="24"/>
        </w:rPr>
        <w:t xml:space="preserve">Australian specific </w:t>
      </w:r>
      <w:r w:rsidRPr="00766920">
        <w:rPr>
          <w:rFonts w:eastAsiaTheme="majorEastAsia" w:cs="Arial"/>
          <w:iCs/>
          <w:color w:val="000000" w:themeColor="text1"/>
          <w:sz w:val="24"/>
          <w:szCs w:val="24"/>
        </w:rPr>
        <w:t xml:space="preserve">studies or </w:t>
      </w:r>
      <w:r>
        <w:rPr>
          <w:rFonts w:eastAsiaTheme="majorEastAsia" w:cs="Arial"/>
          <w:iCs/>
          <w:color w:val="000000" w:themeColor="text1"/>
          <w:sz w:val="24"/>
          <w:szCs w:val="24"/>
        </w:rPr>
        <w:t xml:space="preserve">publicly </w:t>
      </w:r>
      <w:r w:rsidRPr="00766920">
        <w:rPr>
          <w:rFonts w:eastAsiaTheme="majorEastAsia" w:cs="Arial"/>
          <w:iCs/>
          <w:color w:val="000000" w:themeColor="text1"/>
          <w:sz w:val="24"/>
          <w:szCs w:val="24"/>
        </w:rPr>
        <w:t>available data</w:t>
      </w:r>
      <w:r>
        <w:rPr>
          <w:rFonts w:eastAsiaTheme="majorEastAsia" w:cs="Arial"/>
          <w:iCs/>
          <w:color w:val="000000" w:themeColor="text1"/>
          <w:sz w:val="24"/>
          <w:szCs w:val="24"/>
        </w:rPr>
        <w:t>.</w:t>
      </w:r>
    </w:p>
    <w:p w14:paraId="71EC66E4" w14:textId="77777777" w:rsidR="00442DC7" w:rsidRPr="00FC28B3" w:rsidRDefault="00442DC7" w:rsidP="00712915">
      <w:pPr>
        <w:spacing w:after="120" w:line="360" w:lineRule="auto"/>
        <w:jc w:val="both"/>
        <w:rPr>
          <w:rFonts w:cs="Arial"/>
          <w:bCs/>
          <w:sz w:val="24"/>
          <w:szCs w:val="24"/>
        </w:rPr>
      </w:pPr>
      <w:r w:rsidRPr="008574EC">
        <w:rPr>
          <w:rFonts w:eastAsiaTheme="majorEastAsia" w:cs="Arial"/>
          <w:iCs/>
          <w:color w:val="002060"/>
          <w:sz w:val="24"/>
          <w:szCs w:val="24"/>
        </w:rPr>
        <w:t>Disability Adjusted Life Year Estimates</w:t>
      </w:r>
      <w:r w:rsidRPr="00310431">
        <w:rPr>
          <w:rFonts w:eastAsiaTheme="majorEastAsia" w:cs="Arial"/>
          <w:iCs/>
          <w:color w:val="002060"/>
          <w:sz w:val="24"/>
          <w:szCs w:val="24"/>
        </w:rPr>
        <w:t xml:space="preserve"> </w:t>
      </w:r>
    </w:p>
    <w:p w14:paraId="15341F2F" w14:textId="5E8365AA" w:rsidR="00442DC7" w:rsidRPr="000F113D" w:rsidRDefault="00442DC7" w:rsidP="0027396C">
      <w:pPr>
        <w:spacing w:line="360" w:lineRule="auto"/>
        <w:jc w:val="both"/>
        <w:rPr>
          <w:rFonts w:cs="Arial"/>
          <w:sz w:val="24"/>
          <w:szCs w:val="24"/>
        </w:rPr>
      </w:pPr>
      <w:r>
        <w:rPr>
          <w:rFonts w:cs="Arial"/>
          <w:sz w:val="24"/>
          <w:szCs w:val="24"/>
        </w:rPr>
        <w:t>In the absence of national data, t</w:t>
      </w:r>
      <w:r w:rsidRPr="000F113D">
        <w:rPr>
          <w:rFonts w:cs="Arial"/>
          <w:sz w:val="24"/>
          <w:szCs w:val="24"/>
        </w:rPr>
        <w:t>he Global Burden of Disease (GBD)</w:t>
      </w:r>
      <w:r>
        <w:rPr>
          <w:rFonts w:cs="Arial"/>
          <w:sz w:val="24"/>
          <w:szCs w:val="24"/>
        </w:rPr>
        <w:t xml:space="preserve"> database</w:t>
      </w:r>
      <w:r w:rsidRPr="000F113D">
        <w:rPr>
          <w:rFonts w:cs="Arial"/>
          <w:sz w:val="24"/>
          <w:szCs w:val="24"/>
        </w:rPr>
        <w:t xml:space="preserve"> is the most comprehensive effort to collect data to measure epidemiological levels and trends worldwide and provides a tool to quantify health loss from hundreds of diseases, injuries and risk factors.</w:t>
      </w:r>
      <w:r w:rsidRPr="002661B0">
        <w:rPr>
          <w:rFonts w:cs="Arial"/>
          <w:bCs/>
          <w:iCs/>
          <w:sz w:val="24"/>
          <w:szCs w:val="24"/>
          <w:vertAlign w:val="superscript"/>
        </w:rPr>
        <w:footnoteReference w:id="94"/>
      </w:r>
      <w:r w:rsidRPr="000F113D">
        <w:rPr>
          <w:rFonts w:cs="Arial"/>
          <w:sz w:val="24"/>
          <w:szCs w:val="24"/>
        </w:rPr>
        <w:t xml:space="preserve"> According to the GBD, the total health consequence of lead </w:t>
      </w:r>
      <w:r>
        <w:rPr>
          <w:rFonts w:cs="Arial"/>
          <w:sz w:val="24"/>
          <w:szCs w:val="24"/>
        </w:rPr>
        <w:t xml:space="preserve">exposure </w:t>
      </w:r>
      <w:r w:rsidRPr="000F113D">
        <w:rPr>
          <w:rFonts w:cs="Arial"/>
          <w:sz w:val="24"/>
          <w:szCs w:val="24"/>
        </w:rPr>
        <w:t xml:space="preserve">in Australia, </w:t>
      </w:r>
      <w:r>
        <w:rPr>
          <w:rFonts w:cs="Arial"/>
          <w:sz w:val="24"/>
          <w:szCs w:val="24"/>
        </w:rPr>
        <w:t xml:space="preserve">was </w:t>
      </w:r>
      <w:r w:rsidRPr="000F113D">
        <w:rPr>
          <w:rFonts w:cs="Arial"/>
          <w:sz w:val="24"/>
          <w:szCs w:val="24"/>
        </w:rPr>
        <w:t xml:space="preserve">estimated to be </w:t>
      </w:r>
      <w:bookmarkStart w:id="214" w:name="_Hlk45699229"/>
      <w:r>
        <w:rPr>
          <w:rFonts w:cs="Arial"/>
          <w:sz w:val="24"/>
          <w:szCs w:val="24"/>
        </w:rPr>
        <w:t>25,017</w:t>
      </w:r>
      <w:r w:rsidRPr="000F113D">
        <w:rPr>
          <w:rFonts w:cs="Arial"/>
          <w:sz w:val="24"/>
          <w:szCs w:val="24"/>
        </w:rPr>
        <w:t xml:space="preserve"> </w:t>
      </w:r>
      <w:bookmarkEnd w:id="214"/>
      <w:r w:rsidRPr="000F113D">
        <w:rPr>
          <w:rFonts w:cs="Arial"/>
          <w:sz w:val="24"/>
          <w:szCs w:val="24"/>
        </w:rPr>
        <w:t xml:space="preserve">DALYs </w:t>
      </w:r>
      <w:r>
        <w:rPr>
          <w:rFonts w:cs="Arial"/>
          <w:sz w:val="24"/>
          <w:szCs w:val="24"/>
        </w:rPr>
        <w:t>in 2019</w:t>
      </w:r>
      <w:r w:rsidRPr="000F113D">
        <w:rPr>
          <w:rFonts w:cs="Arial"/>
          <w:sz w:val="24"/>
          <w:szCs w:val="24"/>
        </w:rPr>
        <w:t xml:space="preserve">. </w:t>
      </w:r>
      <w:r>
        <w:rPr>
          <w:rFonts w:cs="Arial"/>
          <w:sz w:val="24"/>
          <w:szCs w:val="24"/>
        </w:rPr>
        <w:t>That is, 0.11% of total DALYs attributable to lead exposure globally</w:t>
      </w:r>
      <w:r>
        <w:rPr>
          <w:rStyle w:val="FootnoteReference"/>
          <w:rFonts w:cs="Arial"/>
          <w:sz w:val="24"/>
          <w:szCs w:val="24"/>
        </w:rPr>
        <w:footnoteReference w:id="95"/>
      </w:r>
      <w:r>
        <w:rPr>
          <w:rFonts w:cs="Arial"/>
          <w:sz w:val="24"/>
          <w:szCs w:val="24"/>
        </w:rPr>
        <w:t xml:space="preserve">  or 0.53</w:t>
      </w:r>
      <w:r w:rsidRPr="00DD19DA">
        <w:rPr>
          <w:rFonts w:cs="Arial"/>
          <w:sz w:val="24"/>
          <w:szCs w:val="24"/>
        </w:rPr>
        <w:t>% of total DALY</w:t>
      </w:r>
      <w:r>
        <w:rPr>
          <w:rFonts w:cs="Arial"/>
          <w:sz w:val="24"/>
          <w:szCs w:val="24"/>
        </w:rPr>
        <w:t xml:space="preserve">s (all causes) </w:t>
      </w:r>
      <w:r w:rsidRPr="00DD19DA">
        <w:rPr>
          <w:rFonts w:cs="Arial"/>
          <w:sz w:val="24"/>
          <w:szCs w:val="24"/>
        </w:rPr>
        <w:t>in Australia</w:t>
      </w:r>
      <w:r>
        <w:rPr>
          <w:rFonts w:cs="Arial"/>
          <w:sz w:val="24"/>
          <w:szCs w:val="24"/>
        </w:rPr>
        <w:t>.</w:t>
      </w:r>
      <w:r w:rsidRPr="00DD19DA">
        <w:rPr>
          <w:vertAlign w:val="superscript"/>
        </w:rPr>
        <w:footnoteReference w:id="96"/>
      </w:r>
      <w:r w:rsidRPr="00BD3F66">
        <w:rPr>
          <w:rFonts w:cs="Arial"/>
          <w:sz w:val="24"/>
          <w:szCs w:val="24"/>
        </w:rPr>
        <w:t xml:space="preserve"> </w:t>
      </w:r>
      <w:r>
        <w:rPr>
          <w:rFonts w:cs="Arial"/>
          <w:sz w:val="24"/>
          <w:szCs w:val="24"/>
        </w:rPr>
        <w:t xml:space="preserve">These results are </w:t>
      </w:r>
      <w:r w:rsidRPr="00DD19DA">
        <w:rPr>
          <w:rFonts w:cs="Arial"/>
          <w:sz w:val="24"/>
          <w:szCs w:val="24"/>
        </w:rPr>
        <w:t>consistent with the problem being isolated to a minority within the population</w:t>
      </w:r>
      <w:r>
        <w:rPr>
          <w:rFonts w:cs="Arial"/>
          <w:sz w:val="24"/>
          <w:szCs w:val="24"/>
        </w:rPr>
        <w:t>.</w:t>
      </w:r>
    </w:p>
    <w:p w14:paraId="0B9D0659" w14:textId="1D40371D" w:rsidR="00442DC7" w:rsidRDefault="00442DC7" w:rsidP="0027396C">
      <w:pPr>
        <w:spacing w:line="360" w:lineRule="auto"/>
        <w:jc w:val="both"/>
        <w:rPr>
          <w:rFonts w:cs="Arial"/>
          <w:bCs/>
          <w:iCs/>
          <w:sz w:val="24"/>
          <w:szCs w:val="24"/>
        </w:rPr>
      </w:pPr>
      <w:r>
        <w:rPr>
          <w:rFonts w:cs="Arial"/>
          <w:sz w:val="24"/>
          <w:szCs w:val="24"/>
        </w:rPr>
        <w:t xml:space="preserve">DALYs attributable to lead in drinking water is a subset of total DALYs attributable to lead. It is not known what proportion lead in drinking water contributes to the problem overall, however </w:t>
      </w:r>
      <w:r w:rsidRPr="009C0A5D">
        <w:rPr>
          <w:rFonts w:cs="Arial"/>
          <w:bCs/>
          <w:iCs/>
          <w:sz w:val="24"/>
          <w:szCs w:val="24"/>
        </w:rPr>
        <w:t xml:space="preserve">an assessment by the WHO found that </w:t>
      </w:r>
      <w:r>
        <w:rPr>
          <w:rFonts w:cs="Arial"/>
          <w:bCs/>
          <w:iCs/>
          <w:sz w:val="24"/>
          <w:szCs w:val="24"/>
        </w:rPr>
        <w:t xml:space="preserve">up to </w:t>
      </w:r>
      <w:r w:rsidRPr="009C0A5D">
        <w:rPr>
          <w:rFonts w:cs="Arial"/>
          <w:bCs/>
          <w:iCs/>
          <w:sz w:val="24"/>
          <w:szCs w:val="24"/>
        </w:rPr>
        <w:t>20% of total lead intake is attributable to water consumption</w:t>
      </w:r>
      <w:r>
        <w:rPr>
          <w:rFonts w:cs="Arial"/>
          <w:bCs/>
          <w:iCs/>
          <w:sz w:val="24"/>
          <w:szCs w:val="24"/>
        </w:rPr>
        <w:t>.</w:t>
      </w:r>
      <w:r>
        <w:rPr>
          <w:rStyle w:val="FootnoteReference"/>
          <w:rFonts w:cs="Arial"/>
          <w:bCs/>
          <w:iCs/>
          <w:sz w:val="24"/>
          <w:szCs w:val="24"/>
        </w:rPr>
        <w:footnoteReference w:id="97"/>
      </w:r>
      <w:r>
        <w:rPr>
          <w:rFonts w:cs="Arial"/>
          <w:bCs/>
          <w:iCs/>
          <w:sz w:val="24"/>
          <w:szCs w:val="24"/>
        </w:rPr>
        <w:t xml:space="preserve"> This contribution has also been supported by the US EPA. </w:t>
      </w:r>
    </w:p>
    <w:p w14:paraId="2209479F" w14:textId="257AB1F6" w:rsidR="00442DC7" w:rsidRPr="00236A96" w:rsidRDefault="00442DC7" w:rsidP="00CB510C">
      <w:pPr>
        <w:spacing w:line="360" w:lineRule="auto"/>
        <w:jc w:val="both"/>
        <w:rPr>
          <w:rFonts w:cs="Arial"/>
          <w:bCs/>
          <w:iCs/>
          <w:sz w:val="24"/>
          <w:szCs w:val="24"/>
        </w:rPr>
      </w:pPr>
      <w:r>
        <w:rPr>
          <w:rFonts w:cs="Arial"/>
          <w:bCs/>
          <w:iCs/>
          <w:sz w:val="24"/>
          <w:szCs w:val="24"/>
        </w:rPr>
        <w:t>If the relationship between lead consumption from all sources and total DALYs is linear</w:t>
      </w:r>
      <w:r>
        <w:rPr>
          <w:rStyle w:val="FootnoteReference"/>
          <w:rFonts w:cs="Arial"/>
          <w:bCs/>
          <w:iCs/>
          <w:sz w:val="24"/>
          <w:szCs w:val="24"/>
        </w:rPr>
        <w:footnoteReference w:id="98"/>
      </w:r>
      <w:r>
        <w:rPr>
          <w:rFonts w:cs="Arial"/>
          <w:bCs/>
          <w:iCs/>
          <w:sz w:val="24"/>
          <w:szCs w:val="24"/>
        </w:rPr>
        <w:t xml:space="preserve">, this would represent 5,003 DALYs in 2019 and 0.11% of </w:t>
      </w:r>
      <w:r w:rsidRPr="00DD19DA">
        <w:rPr>
          <w:rFonts w:cs="Arial"/>
          <w:sz w:val="24"/>
          <w:szCs w:val="24"/>
        </w:rPr>
        <w:t>total DALY</w:t>
      </w:r>
      <w:r>
        <w:rPr>
          <w:rFonts w:cs="Arial"/>
          <w:sz w:val="24"/>
          <w:szCs w:val="24"/>
        </w:rPr>
        <w:t xml:space="preserve">s (all causes) </w:t>
      </w:r>
      <w:r w:rsidRPr="00DD19DA">
        <w:rPr>
          <w:rFonts w:cs="Arial"/>
          <w:sz w:val="24"/>
          <w:szCs w:val="24"/>
        </w:rPr>
        <w:t>in Australia</w:t>
      </w:r>
      <w:r>
        <w:rPr>
          <w:rFonts w:cs="Arial"/>
          <w:bCs/>
          <w:iCs/>
          <w:sz w:val="24"/>
          <w:szCs w:val="24"/>
        </w:rPr>
        <w:t>.</w:t>
      </w:r>
    </w:p>
    <w:p w14:paraId="590D5695" w14:textId="77777777" w:rsidR="00442DC7" w:rsidRPr="00DD4A17" w:rsidRDefault="00442DC7" w:rsidP="00DD4A17">
      <w:pPr>
        <w:spacing w:before="240" w:after="0" w:line="360" w:lineRule="auto"/>
        <w:jc w:val="both"/>
        <w:rPr>
          <w:rFonts w:cs="Arial"/>
          <w:bCs/>
          <w:color w:val="002060"/>
          <w:sz w:val="28"/>
          <w:szCs w:val="28"/>
        </w:rPr>
      </w:pPr>
      <w:r w:rsidRPr="00DD4A17">
        <w:rPr>
          <w:rFonts w:cs="Arial"/>
          <w:bCs/>
          <w:color w:val="002060"/>
          <w:sz w:val="28"/>
          <w:szCs w:val="28"/>
        </w:rPr>
        <w:t xml:space="preserve">Limitations </w:t>
      </w:r>
      <w:r>
        <w:rPr>
          <w:rFonts w:cs="Arial"/>
          <w:bCs/>
          <w:color w:val="002060"/>
          <w:sz w:val="28"/>
          <w:szCs w:val="28"/>
        </w:rPr>
        <w:t xml:space="preserve">of the GBD </w:t>
      </w:r>
    </w:p>
    <w:p w14:paraId="6FBF7854" w14:textId="77777777" w:rsidR="00442DC7" w:rsidRPr="00840AFE" w:rsidRDefault="00442DC7" w:rsidP="00DD19DA">
      <w:pPr>
        <w:spacing w:line="360" w:lineRule="auto"/>
        <w:jc w:val="both"/>
        <w:rPr>
          <w:rFonts w:cs="Arial"/>
          <w:color w:val="222222"/>
          <w:sz w:val="24"/>
          <w:szCs w:val="24"/>
          <w:shd w:val="clear" w:color="auto" w:fill="FFFFFF"/>
        </w:rPr>
      </w:pPr>
      <w:r w:rsidRPr="00840AFE">
        <w:rPr>
          <w:rFonts w:cs="Arial"/>
          <w:color w:val="222222"/>
          <w:sz w:val="24"/>
          <w:szCs w:val="24"/>
          <w:shd w:val="clear" w:color="auto" w:fill="FFFFFF"/>
        </w:rPr>
        <w:t>The lead exposure indicator is the best available metric on quantifying the health effects of lead in drinking water.</w:t>
      </w:r>
    </w:p>
    <w:p w14:paraId="5F40AAA0" w14:textId="04841A5E" w:rsidR="00442DC7" w:rsidRDefault="00442DC7" w:rsidP="00EC4DC4">
      <w:pPr>
        <w:spacing w:line="360" w:lineRule="auto"/>
        <w:jc w:val="both"/>
        <w:rPr>
          <w:rFonts w:cs="Arial"/>
          <w:color w:val="222222"/>
          <w:sz w:val="24"/>
          <w:szCs w:val="24"/>
          <w:shd w:val="clear" w:color="auto" w:fill="FFFFFF"/>
        </w:rPr>
      </w:pPr>
      <w:bookmarkStart w:id="215" w:name="_Hlk52360833"/>
      <w:r w:rsidRPr="00840AFE">
        <w:rPr>
          <w:rFonts w:cs="Arial"/>
          <w:color w:val="222222"/>
          <w:sz w:val="24"/>
          <w:szCs w:val="24"/>
          <w:shd w:val="clear" w:color="auto" w:fill="FFFFFF"/>
        </w:rPr>
        <w:t xml:space="preserve">While the GBD is the leading epidemiological study on environmental risks, several limitations in this indicator </w:t>
      </w:r>
      <w:bookmarkEnd w:id="215"/>
      <w:r w:rsidRPr="00840AFE">
        <w:rPr>
          <w:rFonts w:cs="Arial"/>
          <w:color w:val="222222"/>
          <w:sz w:val="24"/>
          <w:szCs w:val="24"/>
          <w:shd w:val="clear" w:color="auto" w:fill="FFFFFF"/>
        </w:rPr>
        <w:t xml:space="preserve">are worth noting. First, measuring lead exposure is a burdensome process, and the GBD must draw upon sparse datasets of blood and bone samples. Interpolation of exposure levels introduces uncertainty into the final </w:t>
      </w:r>
      <w:r w:rsidRPr="00840AFE">
        <w:rPr>
          <w:rFonts w:cs="Arial"/>
          <w:color w:val="222222"/>
          <w:sz w:val="24"/>
          <w:szCs w:val="24"/>
          <w:shd w:val="clear" w:color="auto" w:fill="FFFFFF"/>
        </w:rPr>
        <w:lastRenderedPageBreak/>
        <w:t xml:space="preserve">DALY rate estimates. Second, the collection of tissue samples faces a number of challenges, including unknown contaminants, lack of quality assurance, and the short half-life of lead in blood. The GBD also makes assumptions when linking lead exposure to actual health outcomes and the distribution of diseases and death across populations. </w:t>
      </w:r>
      <w:r>
        <w:rPr>
          <w:rFonts w:cs="Arial"/>
          <w:color w:val="222222"/>
          <w:sz w:val="24"/>
          <w:szCs w:val="24"/>
          <w:shd w:val="clear" w:color="auto" w:fill="FFFFFF"/>
        </w:rPr>
        <w:t xml:space="preserve"> </w:t>
      </w:r>
    </w:p>
    <w:p w14:paraId="4EFD75F1" w14:textId="77777777" w:rsidR="00442DC7" w:rsidRDefault="00442DC7" w:rsidP="003C3171">
      <w:pPr>
        <w:spacing w:after="0" w:line="360" w:lineRule="auto"/>
        <w:jc w:val="both"/>
        <w:rPr>
          <w:rFonts w:eastAsiaTheme="majorEastAsia" w:cs="Arial"/>
          <w:color w:val="002060"/>
          <w:sz w:val="28"/>
        </w:rPr>
      </w:pPr>
      <w:r w:rsidRPr="009C3893">
        <w:rPr>
          <w:rFonts w:eastAsiaTheme="majorEastAsia" w:cs="Arial"/>
          <w:color w:val="002060"/>
          <w:sz w:val="28"/>
        </w:rPr>
        <w:t xml:space="preserve">Summary of the </w:t>
      </w:r>
      <w:r>
        <w:rPr>
          <w:rFonts w:eastAsiaTheme="majorEastAsia" w:cs="Arial"/>
          <w:color w:val="002060"/>
          <w:sz w:val="28"/>
        </w:rPr>
        <w:t>nature and extent</w:t>
      </w:r>
      <w:r w:rsidRPr="009C3893">
        <w:rPr>
          <w:rFonts w:eastAsiaTheme="majorEastAsia" w:cs="Arial"/>
          <w:color w:val="002060"/>
          <w:sz w:val="28"/>
        </w:rPr>
        <w:t xml:space="preserve"> of the problem </w:t>
      </w:r>
    </w:p>
    <w:p w14:paraId="6CA2795D" w14:textId="77777777" w:rsidR="00442DC7" w:rsidRDefault="00442DC7" w:rsidP="006C56BF">
      <w:pPr>
        <w:spacing w:line="360" w:lineRule="auto"/>
        <w:jc w:val="both"/>
        <w:rPr>
          <w:sz w:val="24"/>
          <w:szCs w:val="24"/>
        </w:rPr>
      </w:pPr>
      <w:r w:rsidRPr="009C3893">
        <w:rPr>
          <w:sz w:val="24"/>
          <w:szCs w:val="24"/>
        </w:rPr>
        <w:t xml:space="preserve">The nature of the problem can be summarised as the </w:t>
      </w:r>
      <w:r>
        <w:rPr>
          <w:sz w:val="24"/>
          <w:szCs w:val="24"/>
        </w:rPr>
        <w:t xml:space="preserve">use </w:t>
      </w:r>
      <w:r w:rsidRPr="009C3893">
        <w:rPr>
          <w:sz w:val="24"/>
          <w:szCs w:val="24"/>
        </w:rPr>
        <w:t xml:space="preserve">of lead in </w:t>
      </w:r>
      <w:r>
        <w:rPr>
          <w:sz w:val="24"/>
          <w:szCs w:val="24"/>
        </w:rPr>
        <w:t>the manufacture of plumbing products in contact with drinking water and lead leaching from these plumbing products into drinking water both over the short and long term</w:t>
      </w:r>
      <w:r w:rsidRPr="009C3893">
        <w:rPr>
          <w:sz w:val="24"/>
          <w:szCs w:val="24"/>
        </w:rPr>
        <w:t xml:space="preserve">. </w:t>
      </w:r>
      <w:r>
        <w:rPr>
          <w:sz w:val="24"/>
          <w:szCs w:val="24"/>
        </w:rPr>
        <w:t xml:space="preserve">The problem of lead leaching is directly attributable to two issues; a leaded film which exists immediately after the manufacturing of some new plumbing products and the process of dezincification over the life of the product causing lead leaching from the bulk alloy. </w:t>
      </w:r>
    </w:p>
    <w:p w14:paraId="3016C452" w14:textId="77777777" w:rsidR="00442DC7" w:rsidRDefault="00442DC7" w:rsidP="006C56BF">
      <w:pPr>
        <w:spacing w:line="360" w:lineRule="auto"/>
        <w:jc w:val="both"/>
        <w:rPr>
          <w:sz w:val="24"/>
          <w:szCs w:val="24"/>
        </w:rPr>
      </w:pPr>
      <w:r>
        <w:rPr>
          <w:sz w:val="24"/>
          <w:szCs w:val="24"/>
        </w:rPr>
        <w:t xml:space="preserve">The presence of lead in drinking water is directly attributable to the presence of lead within copper alloy plumbing products in contact with the drinking water. Hence, any regulatory intervention that aims to reduce lead in drinking water should involve removal from the source (the bulk alloy). </w:t>
      </w:r>
    </w:p>
    <w:p w14:paraId="7476480A" w14:textId="438F170C" w:rsidR="00442DC7" w:rsidRDefault="00442DC7" w:rsidP="009C3893">
      <w:pPr>
        <w:spacing w:line="360" w:lineRule="auto"/>
        <w:jc w:val="both"/>
        <w:rPr>
          <w:sz w:val="24"/>
          <w:szCs w:val="24"/>
        </w:rPr>
      </w:pPr>
      <w:r w:rsidRPr="00B87166">
        <w:rPr>
          <w:sz w:val="24"/>
          <w:szCs w:val="24"/>
        </w:rPr>
        <w:t>Current regulatory intervention</w:t>
      </w:r>
      <w:r>
        <w:rPr>
          <w:sz w:val="24"/>
          <w:szCs w:val="24"/>
        </w:rPr>
        <w:t>s</w:t>
      </w:r>
      <w:r w:rsidRPr="00B87166">
        <w:rPr>
          <w:sz w:val="24"/>
          <w:szCs w:val="24"/>
        </w:rPr>
        <w:t xml:space="preserve"> ha</w:t>
      </w:r>
      <w:r>
        <w:rPr>
          <w:sz w:val="24"/>
          <w:szCs w:val="24"/>
        </w:rPr>
        <w:t>ve proven effective at reducing lead exposure with a measurable decline in health-related consequences over the last 30 years. This trend is likely to continue in the absence of any additional regulatory interventions. However, lead exposure from drinking water will not reduce until such time lead is not used in the manufacture of plumbing products in contact with drinking water.</w:t>
      </w:r>
    </w:p>
    <w:p w14:paraId="20657CB1" w14:textId="6373F416" w:rsidR="00442DC7" w:rsidRDefault="00442DC7" w:rsidP="00DD19DA">
      <w:pPr>
        <w:spacing w:line="360" w:lineRule="auto"/>
        <w:jc w:val="both"/>
        <w:rPr>
          <w:sz w:val="24"/>
          <w:szCs w:val="24"/>
        </w:rPr>
      </w:pPr>
      <w:r>
        <w:rPr>
          <w:sz w:val="24"/>
          <w:szCs w:val="24"/>
        </w:rPr>
        <w:t xml:space="preserve">The extent of the current problem is difficult to quantify. This is both in terms of quantifying the extent to which lead is leaching into drinking water and the extent to which lead is absorbed by the body. Recent studies, albeit small in sample size, indicate the extent of the problem could be 8% or higher in terms of water quality. </w:t>
      </w:r>
      <w:r w:rsidR="00B22235">
        <w:rPr>
          <w:sz w:val="24"/>
          <w:szCs w:val="24"/>
        </w:rPr>
        <w:t>T</w:t>
      </w:r>
      <w:r>
        <w:rPr>
          <w:sz w:val="24"/>
          <w:szCs w:val="24"/>
        </w:rPr>
        <w:t xml:space="preserve">here is </w:t>
      </w:r>
      <w:r w:rsidR="00B22235">
        <w:rPr>
          <w:sz w:val="24"/>
          <w:szCs w:val="24"/>
        </w:rPr>
        <w:t xml:space="preserve">however, </w:t>
      </w:r>
      <w:r>
        <w:rPr>
          <w:sz w:val="24"/>
          <w:szCs w:val="24"/>
        </w:rPr>
        <w:t>a high degree of uncertainty regarding the extent of the problem nationwide, based on these studies being limited to small samples and particular locations.</w:t>
      </w:r>
    </w:p>
    <w:p w14:paraId="78B6A80F" w14:textId="0D559B13" w:rsidR="00442DC7" w:rsidRDefault="00442DC7" w:rsidP="00DD19DA">
      <w:pPr>
        <w:spacing w:line="360" w:lineRule="auto"/>
        <w:jc w:val="both"/>
        <w:rPr>
          <w:sz w:val="24"/>
          <w:szCs w:val="24"/>
        </w:rPr>
      </w:pPr>
      <w:r>
        <w:rPr>
          <w:sz w:val="24"/>
          <w:szCs w:val="24"/>
        </w:rPr>
        <w:t xml:space="preserve">For blood lead levels, contemporary instances where 5 </w:t>
      </w:r>
      <w:r w:rsidRPr="00F2244D">
        <w:rPr>
          <w:rFonts w:cs="Arial"/>
          <w:bCs/>
          <w:sz w:val="24"/>
          <w:szCs w:val="24"/>
        </w:rPr>
        <w:t>µ</w:t>
      </w:r>
      <w:r>
        <w:rPr>
          <w:sz w:val="24"/>
          <w:szCs w:val="24"/>
        </w:rPr>
        <w:t>g/dL have been exceeded would be considered rare, based on available data, at</w:t>
      </w:r>
      <w:r w:rsidDel="00A573B1">
        <w:rPr>
          <w:sz w:val="24"/>
          <w:szCs w:val="24"/>
        </w:rPr>
        <w:t xml:space="preserve"> </w:t>
      </w:r>
      <w:r>
        <w:rPr>
          <w:sz w:val="24"/>
          <w:szCs w:val="24"/>
        </w:rPr>
        <w:t xml:space="preserve">a rate of less than 0.01% of residents in Queensland, Tasmania, Victoria and Western Australia. However, this </w:t>
      </w:r>
      <w:r>
        <w:rPr>
          <w:sz w:val="24"/>
          <w:szCs w:val="24"/>
        </w:rPr>
        <w:lastRenderedPageBreak/>
        <w:t xml:space="preserve">rate is likely to be an understatement of the problem as it only includes where testing for lead has occurred. At a population level, limited studies on blood lead levels are somewhat inconclusive. One study in Victoria revealed a 1.8% frequency of elevated blood lead levels exceeding 5 </w:t>
      </w:r>
      <w:r w:rsidRPr="00F2244D">
        <w:rPr>
          <w:rFonts w:cs="Arial"/>
          <w:bCs/>
          <w:sz w:val="24"/>
          <w:szCs w:val="24"/>
        </w:rPr>
        <w:t>µ</w:t>
      </w:r>
      <w:r>
        <w:rPr>
          <w:sz w:val="24"/>
          <w:szCs w:val="24"/>
        </w:rPr>
        <w:t>g/dL within adults, while another Victorian study indicated no cases of elevated blood lead levels exceeding</w:t>
      </w:r>
      <w:r w:rsidRPr="00910192">
        <w:rPr>
          <w:sz w:val="24"/>
          <w:szCs w:val="24"/>
        </w:rPr>
        <w:t xml:space="preserve"> 5 </w:t>
      </w:r>
      <w:r w:rsidRPr="00910192">
        <w:rPr>
          <w:bCs/>
          <w:sz w:val="24"/>
          <w:szCs w:val="24"/>
        </w:rPr>
        <w:t>µ</w:t>
      </w:r>
      <w:r w:rsidRPr="00910192">
        <w:rPr>
          <w:sz w:val="24"/>
          <w:szCs w:val="24"/>
        </w:rPr>
        <w:t xml:space="preserve">g/dL </w:t>
      </w:r>
      <w:r>
        <w:rPr>
          <w:sz w:val="24"/>
          <w:szCs w:val="24"/>
        </w:rPr>
        <w:t xml:space="preserve">in children. However, there are several studies that identify the problem of elevated blood lead levels in areas in close proximity to lead smelters. These areas present higher risks to individuals and, as such, regulatory intervention aims to reduce the cumulative health effects of lead exposure from all sources, including drinking water.  </w:t>
      </w:r>
    </w:p>
    <w:p w14:paraId="125A2E2E" w14:textId="29592E96" w:rsidR="00442DC7" w:rsidRPr="005056A9" w:rsidRDefault="00442DC7" w:rsidP="00DD19DA">
      <w:pPr>
        <w:spacing w:line="360" w:lineRule="auto"/>
        <w:jc w:val="both"/>
        <w:rPr>
          <w:sz w:val="24"/>
          <w:szCs w:val="24"/>
        </w:rPr>
      </w:pPr>
      <w:r>
        <w:rPr>
          <w:sz w:val="24"/>
          <w:szCs w:val="24"/>
        </w:rPr>
        <w:t xml:space="preserve">In the absence of national population data on blood lead levels, the GBD database indicates that lead continues to be a problem in Australia with an estimated DALY rate of 25,017 in 2019. It is not known with certainty the extent to which lead in drinking water contributes to this rate. However, studies from the US indicate lead in drinking water could contribute up to 20% of all health consequences. This would amount to 5,003 DALYs in 2019 and represent 0.11% of the total burden of disease in Australia. This level is consistent with the extent of the problem being </w:t>
      </w:r>
      <w:r w:rsidRPr="00DD19DA">
        <w:rPr>
          <w:rFonts w:cs="Arial"/>
          <w:sz w:val="24"/>
          <w:szCs w:val="24"/>
        </w:rPr>
        <w:t>isolated to a minority within the population</w:t>
      </w:r>
      <w:r>
        <w:rPr>
          <w:sz w:val="24"/>
          <w:szCs w:val="24"/>
        </w:rPr>
        <w:t xml:space="preserve"> and small relative to all other causes of disease. </w:t>
      </w:r>
    </w:p>
    <w:p w14:paraId="28AA4F63" w14:textId="77777777" w:rsidR="00442DC7" w:rsidRPr="00512C9E" w:rsidRDefault="00442DC7" w:rsidP="00120C78">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before="130" w:after="130" w:line="360" w:lineRule="auto"/>
        <w:jc w:val="both"/>
        <w:rPr>
          <w:rFonts w:cs="Arial"/>
          <w:bCs/>
          <w:iCs/>
          <w:color w:val="000000" w:themeColor="text1"/>
          <w:sz w:val="24"/>
          <w:szCs w:val="24"/>
        </w:rPr>
      </w:pPr>
      <w:bookmarkStart w:id="216" w:name="_Hlk37862453"/>
      <w:bookmarkStart w:id="217" w:name="_Hlk49420936"/>
      <w:r w:rsidRPr="00512C9E">
        <w:rPr>
          <w:rFonts w:eastAsia="Times New Roman" w:cs="Arial"/>
          <w:color w:val="000000" w:themeColor="text1"/>
          <w:sz w:val="24"/>
          <w:szCs w:val="24"/>
        </w:rPr>
        <w:t xml:space="preserve">The Consultation RIS asked stakeholders whether they agreed with the description of the </w:t>
      </w:r>
      <w:r>
        <w:rPr>
          <w:rFonts w:eastAsia="Times New Roman" w:cs="Arial"/>
          <w:color w:val="000000" w:themeColor="text1"/>
          <w:sz w:val="24"/>
          <w:szCs w:val="24"/>
        </w:rPr>
        <w:t xml:space="preserve">extent </w:t>
      </w:r>
      <w:r w:rsidRPr="00512C9E">
        <w:rPr>
          <w:rFonts w:eastAsia="Times New Roman" w:cs="Arial"/>
          <w:color w:val="000000" w:themeColor="text1"/>
          <w:sz w:val="24"/>
          <w:szCs w:val="24"/>
        </w:rPr>
        <w:t xml:space="preserve">of the problem and whether </w:t>
      </w:r>
      <w:r>
        <w:rPr>
          <w:rFonts w:eastAsia="Times New Roman" w:cs="Arial"/>
          <w:color w:val="000000" w:themeColor="text1"/>
          <w:sz w:val="24"/>
          <w:szCs w:val="24"/>
        </w:rPr>
        <w:t>they had any information that would assist the ABCB</w:t>
      </w:r>
      <w:r w:rsidRPr="00512C9E">
        <w:rPr>
          <w:rFonts w:eastAsia="Times New Roman" w:cs="Arial"/>
          <w:color w:val="000000" w:themeColor="text1"/>
          <w:sz w:val="24"/>
          <w:szCs w:val="24"/>
        </w:rPr>
        <w:t>.</w:t>
      </w:r>
    </w:p>
    <w:p w14:paraId="28B4570B" w14:textId="77777777" w:rsidR="00442DC7" w:rsidRDefault="00442DC7" w:rsidP="0069362C">
      <w:pPr>
        <w:spacing w:before="240" w:line="360" w:lineRule="auto"/>
        <w:rPr>
          <w:sz w:val="24"/>
          <w:szCs w:val="24"/>
        </w:rPr>
      </w:pPr>
      <w:bookmarkStart w:id="218" w:name="_Toc471384392"/>
      <w:bookmarkStart w:id="219" w:name="_Toc491849690"/>
      <w:bookmarkEnd w:id="216"/>
      <w:bookmarkEnd w:id="217"/>
      <w:r w:rsidRPr="003C62B5">
        <w:rPr>
          <w:sz w:val="24"/>
          <w:szCs w:val="24"/>
        </w:rPr>
        <w:t xml:space="preserve">The majority of </w:t>
      </w:r>
      <w:r>
        <w:rPr>
          <w:sz w:val="24"/>
          <w:szCs w:val="24"/>
        </w:rPr>
        <w:t>respondents</w:t>
      </w:r>
      <w:r w:rsidRPr="003C62B5">
        <w:rPr>
          <w:sz w:val="24"/>
          <w:szCs w:val="24"/>
        </w:rPr>
        <w:t xml:space="preserve"> (71%) agreed with the description of the extent of the problem. </w:t>
      </w:r>
    </w:p>
    <w:p w14:paraId="297BFED0" w14:textId="2E57D02B" w:rsidR="00442DC7" w:rsidRDefault="00442DC7" w:rsidP="00B321B3">
      <w:pPr>
        <w:spacing w:line="360" w:lineRule="auto"/>
        <w:jc w:val="both"/>
        <w:rPr>
          <w:sz w:val="24"/>
          <w:szCs w:val="24"/>
        </w:rPr>
      </w:pPr>
      <w:r>
        <w:rPr>
          <w:sz w:val="24"/>
          <w:szCs w:val="24"/>
        </w:rPr>
        <w:t xml:space="preserve">Two submissions (from Enware and </w:t>
      </w:r>
      <w:r w:rsidR="0032533C">
        <w:rPr>
          <w:sz w:val="24"/>
          <w:szCs w:val="24"/>
        </w:rPr>
        <w:t>a product material association</w:t>
      </w:r>
      <w:r>
        <w:rPr>
          <w:sz w:val="24"/>
          <w:szCs w:val="24"/>
        </w:rPr>
        <w:t xml:space="preserve">) challenged the validity of using the US study as the basis for describing drinking water’s contribution to overall lead exposure and its associated health consequences in Australia. </w:t>
      </w:r>
    </w:p>
    <w:p w14:paraId="14EB45C9" w14:textId="79D9D3F7" w:rsidR="00442DC7" w:rsidRDefault="0032533C" w:rsidP="00B321B3">
      <w:pPr>
        <w:spacing w:line="360" w:lineRule="auto"/>
        <w:jc w:val="both"/>
        <w:rPr>
          <w:rFonts w:eastAsiaTheme="majorEastAsia" w:cs="Arial"/>
          <w:color w:val="000000" w:themeColor="text1"/>
          <w:sz w:val="24"/>
          <w:szCs w:val="24"/>
        </w:rPr>
      </w:pPr>
      <w:r>
        <w:rPr>
          <w:sz w:val="24"/>
          <w:szCs w:val="24"/>
        </w:rPr>
        <w:t>A product material association</w:t>
      </w:r>
      <w:r w:rsidR="00442DC7">
        <w:rPr>
          <w:sz w:val="24"/>
          <w:szCs w:val="24"/>
        </w:rPr>
        <w:t xml:space="preserve"> felt that it was inappropriate to </w:t>
      </w:r>
      <w:r w:rsidR="00442DC7">
        <w:rPr>
          <w:rFonts w:eastAsiaTheme="majorEastAsia" w:cs="Arial"/>
          <w:color w:val="000000" w:themeColor="text1"/>
          <w:sz w:val="24"/>
          <w:szCs w:val="24"/>
        </w:rPr>
        <w:t xml:space="preserve">cite the US drinking water’s contribution to health consequences as being representative in Australia due to the widely publicised </w:t>
      </w:r>
      <w:r w:rsidR="00442DC7" w:rsidRPr="00CF281D">
        <w:rPr>
          <w:rFonts w:eastAsiaTheme="majorEastAsia" w:cs="Arial"/>
          <w:color w:val="000000" w:themeColor="text1"/>
          <w:sz w:val="24"/>
          <w:szCs w:val="24"/>
        </w:rPr>
        <w:t>legacy</w:t>
      </w:r>
      <w:r w:rsidR="00442DC7">
        <w:rPr>
          <w:rFonts w:eastAsiaTheme="majorEastAsia" w:cs="Arial"/>
          <w:color w:val="000000" w:themeColor="text1"/>
          <w:sz w:val="24"/>
          <w:szCs w:val="24"/>
        </w:rPr>
        <w:t xml:space="preserve"> issues major US cities have from existing</w:t>
      </w:r>
      <w:r w:rsidR="00442DC7" w:rsidRPr="00CF281D">
        <w:rPr>
          <w:rFonts w:eastAsiaTheme="majorEastAsia" w:cs="Arial"/>
          <w:color w:val="000000" w:themeColor="text1"/>
          <w:sz w:val="24"/>
          <w:szCs w:val="24"/>
        </w:rPr>
        <w:t xml:space="preserve"> lead water mains.</w:t>
      </w:r>
      <w:r w:rsidR="00442DC7">
        <w:rPr>
          <w:rFonts w:eastAsiaTheme="majorEastAsia" w:cs="Arial"/>
          <w:color w:val="000000" w:themeColor="text1"/>
          <w:sz w:val="24"/>
          <w:szCs w:val="24"/>
        </w:rPr>
        <w:t xml:space="preserve"> Enware also disagreed with the 20% assumption, citing international literature and data from Victoria between 2011 to 2014 as justification that the contribution could be much lower. </w:t>
      </w:r>
    </w:p>
    <w:p w14:paraId="20E0E9CB" w14:textId="426B7CBE" w:rsidR="00442DC7" w:rsidRDefault="00442DC7" w:rsidP="0046522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lastRenderedPageBreak/>
        <w:t xml:space="preserve">For the purposes of the Decision RIS, the Victorian data provided by Enware has been simplified and updated to include data from 2016 to 2018. This is shown in Table 11. </w:t>
      </w:r>
    </w:p>
    <w:p w14:paraId="60C04E71" w14:textId="78CD3C41" w:rsidR="00442DC7" w:rsidRDefault="00442DC7" w:rsidP="00DA119A">
      <w:pPr>
        <w:pStyle w:val="Caption"/>
      </w:pPr>
      <w:bookmarkStart w:id="220" w:name="_Toc73091869"/>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11</w:t>
      </w:r>
      <w:r w:rsidR="00362D62">
        <w:rPr>
          <w:noProof/>
        </w:rPr>
        <w:fldChar w:fldCharType="end"/>
      </w:r>
      <w:r w:rsidRPr="00D40E59">
        <w:t>: Non-occupational risk factors for cases of recorded elevated blood lead levels</w:t>
      </w:r>
      <w:bookmarkEnd w:id="220"/>
    </w:p>
    <w:tbl>
      <w:tblPr>
        <w:tblStyle w:val="TableGrid"/>
        <w:tblW w:w="9355" w:type="dxa"/>
        <w:tblLook w:val="04A0" w:firstRow="1" w:lastRow="0" w:firstColumn="1" w:lastColumn="0" w:noHBand="0" w:noVBand="1"/>
        <w:tblCaption w:val="Non-occupational risk factors for cases of recorded elevated blood lead levels "/>
        <w:tblDescription w:val="The table reports lead exposure by plumbing, other sources and unknown sources between (2011-2018)"/>
      </w:tblPr>
      <w:tblGrid>
        <w:gridCol w:w="2065"/>
        <w:gridCol w:w="1276"/>
        <w:gridCol w:w="1154"/>
        <w:gridCol w:w="990"/>
        <w:gridCol w:w="1170"/>
        <w:gridCol w:w="1080"/>
        <w:gridCol w:w="1620"/>
      </w:tblGrid>
      <w:tr w:rsidR="00442DC7" w14:paraId="2EE9A9C7" w14:textId="77777777" w:rsidTr="00871105">
        <w:trPr>
          <w:tblHeader/>
        </w:trPr>
        <w:tc>
          <w:tcPr>
            <w:tcW w:w="2065" w:type="dxa"/>
            <w:shd w:val="clear" w:color="auto" w:fill="002060"/>
          </w:tcPr>
          <w:p w14:paraId="1437AD68" w14:textId="77777777" w:rsidR="00442DC7" w:rsidRPr="00CF281D" w:rsidRDefault="00442DC7" w:rsidP="00F121D9">
            <w:pPr>
              <w:spacing w:line="360" w:lineRule="auto"/>
              <w:jc w:val="center"/>
              <w:rPr>
                <w:rFonts w:eastAsiaTheme="majorEastAsia" w:cs="Arial"/>
                <w:color w:val="FFFFFF" w:themeColor="background1"/>
                <w:sz w:val="24"/>
                <w:szCs w:val="24"/>
              </w:rPr>
            </w:pPr>
            <w:r>
              <w:rPr>
                <w:rFonts w:eastAsiaTheme="majorEastAsia" w:cs="Arial"/>
                <w:color w:val="FFFFFF" w:themeColor="background1"/>
                <w:sz w:val="24"/>
                <w:szCs w:val="24"/>
              </w:rPr>
              <w:t>Lead exposure s</w:t>
            </w:r>
            <w:r w:rsidRPr="00CF281D">
              <w:rPr>
                <w:rFonts w:eastAsiaTheme="majorEastAsia" w:cs="Arial"/>
                <w:color w:val="FFFFFF" w:themeColor="background1"/>
                <w:sz w:val="24"/>
                <w:szCs w:val="24"/>
              </w:rPr>
              <w:t>ource</w:t>
            </w:r>
          </w:p>
        </w:tc>
        <w:tc>
          <w:tcPr>
            <w:tcW w:w="1276" w:type="dxa"/>
            <w:shd w:val="clear" w:color="auto" w:fill="002060"/>
          </w:tcPr>
          <w:p w14:paraId="37043630" w14:textId="77777777" w:rsidR="00442DC7" w:rsidRPr="00CF281D" w:rsidRDefault="00442DC7" w:rsidP="00F121D9">
            <w:pPr>
              <w:spacing w:line="360" w:lineRule="auto"/>
              <w:jc w:val="center"/>
              <w:rPr>
                <w:rFonts w:eastAsiaTheme="majorEastAsia" w:cs="Arial"/>
                <w:color w:val="FFFFFF" w:themeColor="background1"/>
                <w:sz w:val="24"/>
                <w:szCs w:val="24"/>
              </w:rPr>
            </w:pPr>
            <w:r w:rsidRPr="00CF281D">
              <w:rPr>
                <w:rFonts w:eastAsiaTheme="majorEastAsia" w:cs="Arial"/>
                <w:color w:val="FFFFFF" w:themeColor="background1"/>
                <w:sz w:val="24"/>
                <w:szCs w:val="24"/>
              </w:rPr>
              <w:t>2011</w:t>
            </w:r>
          </w:p>
        </w:tc>
        <w:tc>
          <w:tcPr>
            <w:tcW w:w="1154" w:type="dxa"/>
            <w:shd w:val="clear" w:color="auto" w:fill="002060"/>
          </w:tcPr>
          <w:p w14:paraId="379FAD40" w14:textId="77777777" w:rsidR="00442DC7" w:rsidRPr="00CF281D" w:rsidRDefault="00442DC7" w:rsidP="00F121D9">
            <w:pPr>
              <w:spacing w:line="360" w:lineRule="auto"/>
              <w:jc w:val="center"/>
              <w:rPr>
                <w:rFonts w:eastAsiaTheme="majorEastAsia" w:cs="Arial"/>
                <w:color w:val="FFFFFF" w:themeColor="background1"/>
                <w:sz w:val="24"/>
                <w:szCs w:val="24"/>
              </w:rPr>
            </w:pPr>
            <w:r w:rsidRPr="00CF281D">
              <w:rPr>
                <w:rFonts w:eastAsiaTheme="majorEastAsia" w:cs="Arial"/>
                <w:color w:val="FFFFFF" w:themeColor="background1"/>
                <w:sz w:val="24"/>
                <w:szCs w:val="24"/>
              </w:rPr>
              <w:t>2012</w:t>
            </w:r>
          </w:p>
        </w:tc>
        <w:tc>
          <w:tcPr>
            <w:tcW w:w="990" w:type="dxa"/>
            <w:shd w:val="clear" w:color="auto" w:fill="002060"/>
          </w:tcPr>
          <w:p w14:paraId="03C6339D" w14:textId="77777777" w:rsidR="00442DC7" w:rsidRPr="00CF281D" w:rsidRDefault="00442DC7" w:rsidP="00F121D9">
            <w:pPr>
              <w:spacing w:line="360" w:lineRule="auto"/>
              <w:jc w:val="center"/>
              <w:rPr>
                <w:rFonts w:eastAsiaTheme="majorEastAsia" w:cs="Arial"/>
                <w:color w:val="FFFFFF" w:themeColor="background1"/>
                <w:sz w:val="24"/>
                <w:szCs w:val="24"/>
              </w:rPr>
            </w:pPr>
            <w:r w:rsidRPr="00CF281D">
              <w:rPr>
                <w:rFonts w:eastAsiaTheme="majorEastAsia" w:cs="Arial"/>
                <w:color w:val="FFFFFF" w:themeColor="background1"/>
                <w:sz w:val="24"/>
                <w:szCs w:val="24"/>
              </w:rPr>
              <w:t>2013</w:t>
            </w:r>
          </w:p>
        </w:tc>
        <w:tc>
          <w:tcPr>
            <w:tcW w:w="1170" w:type="dxa"/>
            <w:shd w:val="clear" w:color="auto" w:fill="002060"/>
          </w:tcPr>
          <w:p w14:paraId="65B6CCD3" w14:textId="77777777" w:rsidR="00442DC7" w:rsidRPr="00CF281D" w:rsidRDefault="00442DC7" w:rsidP="00F121D9">
            <w:pPr>
              <w:spacing w:line="360" w:lineRule="auto"/>
              <w:jc w:val="center"/>
              <w:rPr>
                <w:rFonts w:eastAsiaTheme="majorEastAsia" w:cs="Arial"/>
                <w:color w:val="FFFFFF" w:themeColor="background1"/>
                <w:sz w:val="24"/>
                <w:szCs w:val="24"/>
              </w:rPr>
            </w:pPr>
            <w:r w:rsidRPr="00CF281D">
              <w:rPr>
                <w:rFonts w:eastAsiaTheme="majorEastAsia" w:cs="Arial"/>
                <w:color w:val="FFFFFF" w:themeColor="background1"/>
                <w:sz w:val="24"/>
                <w:szCs w:val="24"/>
              </w:rPr>
              <w:t>2014</w:t>
            </w:r>
          </w:p>
        </w:tc>
        <w:tc>
          <w:tcPr>
            <w:tcW w:w="1080" w:type="dxa"/>
            <w:shd w:val="clear" w:color="auto" w:fill="002060"/>
          </w:tcPr>
          <w:p w14:paraId="30DC9CBC" w14:textId="77777777" w:rsidR="00442DC7" w:rsidRPr="00CF281D" w:rsidRDefault="00442DC7" w:rsidP="00F121D9">
            <w:pPr>
              <w:spacing w:line="360" w:lineRule="auto"/>
              <w:jc w:val="center"/>
              <w:rPr>
                <w:rFonts w:eastAsiaTheme="majorEastAsia" w:cs="Arial"/>
                <w:color w:val="FFFFFF" w:themeColor="background1"/>
                <w:sz w:val="24"/>
                <w:szCs w:val="24"/>
              </w:rPr>
            </w:pPr>
            <w:r>
              <w:rPr>
                <w:rFonts w:eastAsiaTheme="majorEastAsia" w:cs="Arial"/>
                <w:color w:val="FFFFFF" w:themeColor="background1"/>
                <w:sz w:val="24"/>
                <w:szCs w:val="24"/>
              </w:rPr>
              <w:t>2015</w:t>
            </w:r>
          </w:p>
        </w:tc>
        <w:tc>
          <w:tcPr>
            <w:tcW w:w="1620" w:type="dxa"/>
            <w:shd w:val="clear" w:color="auto" w:fill="002060"/>
          </w:tcPr>
          <w:p w14:paraId="1A75A939" w14:textId="77777777" w:rsidR="00442DC7" w:rsidRPr="00CF281D" w:rsidRDefault="00442DC7" w:rsidP="00F121D9">
            <w:pPr>
              <w:spacing w:line="360" w:lineRule="auto"/>
              <w:jc w:val="center"/>
              <w:rPr>
                <w:rFonts w:eastAsiaTheme="majorEastAsia" w:cs="Arial"/>
                <w:color w:val="FFFFFF" w:themeColor="background1"/>
                <w:sz w:val="24"/>
                <w:szCs w:val="24"/>
              </w:rPr>
            </w:pPr>
            <w:r w:rsidRPr="00CF281D">
              <w:rPr>
                <w:rFonts w:eastAsiaTheme="majorEastAsia" w:cs="Arial"/>
                <w:color w:val="FFFFFF" w:themeColor="background1"/>
                <w:sz w:val="24"/>
                <w:szCs w:val="24"/>
              </w:rPr>
              <w:t>2016* - 2018</w:t>
            </w:r>
          </w:p>
        </w:tc>
      </w:tr>
      <w:tr w:rsidR="00442DC7" w14:paraId="5CF00B31" w14:textId="77777777" w:rsidTr="00871105">
        <w:trPr>
          <w:tblHeader/>
        </w:trPr>
        <w:tc>
          <w:tcPr>
            <w:tcW w:w="2065" w:type="dxa"/>
          </w:tcPr>
          <w:p w14:paraId="5523085D" w14:textId="77777777" w:rsidR="00442DC7" w:rsidRDefault="00442DC7" w:rsidP="00F121D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 xml:space="preserve">Plumbing </w:t>
            </w:r>
          </w:p>
        </w:tc>
        <w:tc>
          <w:tcPr>
            <w:tcW w:w="1276" w:type="dxa"/>
          </w:tcPr>
          <w:p w14:paraId="3C04C628"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6%</w:t>
            </w:r>
          </w:p>
        </w:tc>
        <w:tc>
          <w:tcPr>
            <w:tcW w:w="1154" w:type="dxa"/>
          </w:tcPr>
          <w:p w14:paraId="1E32B55D"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0%</w:t>
            </w:r>
          </w:p>
        </w:tc>
        <w:tc>
          <w:tcPr>
            <w:tcW w:w="990" w:type="dxa"/>
          </w:tcPr>
          <w:p w14:paraId="1A64798B"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0%</w:t>
            </w:r>
          </w:p>
        </w:tc>
        <w:tc>
          <w:tcPr>
            <w:tcW w:w="1170" w:type="dxa"/>
          </w:tcPr>
          <w:p w14:paraId="1B978B49"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3%</w:t>
            </w:r>
          </w:p>
        </w:tc>
        <w:tc>
          <w:tcPr>
            <w:tcW w:w="1080" w:type="dxa"/>
          </w:tcPr>
          <w:p w14:paraId="1FC7356E"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N/A</w:t>
            </w:r>
          </w:p>
        </w:tc>
        <w:tc>
          <w:tcPr>
            <w:tcW w:w="1620" w:type="dxa"/>
          </w:tcPr>
          <w:p w14:paraId="3859827F"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1.4%</w:t>
            </w:r>
          </w:p>
        </w:tc>
      </w:tr>
      <w:tr w:rsidR="00442DC7" w14:paraId="6FAE7CD7" w14:textId="77777777" w:rsidTr="00871105">
        <w:trPr>
          <w:tblHeader/>
        </w:trPr>
        <w:tc>
          <w:tcPr>
            <w:tcW w:w="2065" w:type="dxa"/>
          </w:tcPr>
          <w:p w14:paraId="7FEA3475" w14:textId="77777777" w:rsidR="00442DC7" w:rsidRDefault="00442DC7" w:rsidP="00F121D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All other sources</w:t>
            </w:r>
          </w:p>
        </w:tc>
        <w:tc>
          <w:tcPr>
            <w:tcW w:w="1276" w:type="dxa"/>
          </w:tcPr>
          <w:p w14:paraId="56EB6EA7"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88%</w:t>
            </w:r>
          </w:p>
        </w:tc>
        <w:tc>
          <w:tcPr>
            <w:tcW w:w="1154" w:type="dxa"/>
          </w:tcPr>
          <w:p w14:paraId="2100EA24"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98%</w:t>
            </w:r>
          </w:p>
        </w:tc>
        <w:tc>
          <w:tcPr>
            <w:tcW w:w="990" w:type="dxa"/>
          </w:tcPr>
          <w:p w14:paraId="3B232904"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100%</w:t>
            </w:r>
          </w:p>
        </w:tc>
        <w:tc>
          <w:tcPr>
            <w:tcW w:w="1170" w:type="dxa"/>
          </w:tcPr>
          <w:p w14:paraId="4EE9524C"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82%</w:t>
            </w:r>
          </w:p>
        </w:tc>
        <w:tc>
          <w:tcPr>
            <w:tcW w:w="1080" w:type="dxa"/>
          </w:tcPr>
          <w:p w14:paraId="68071143"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N/A</w:t>
            </w:r>
          </w:p>
        </w:tc>
        <w:tc>
          <w:tcPr>
            <w:tcW w:w="1620" w:type="dxa"/>
          </w:tcPr>
          <w:p w14:paraId="722E2781"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80.6%</w:t>
            </w:r>
          </w:p>
        </w:tc>
      </w:tr>
      <w:tr w:rsidR="00442DC7" w14:paraId="5F3ACDF6" w14:textId="77777777" w:rsidTr="00871105">
        <w:trPr>
          <w:tblHeader/>
        </w:trPr>
        <w:tc>
          <w:tcPr>
            <w:tcW w:w="2065" w:type="dxa"/>
          </w:tcPr>
          <w:p w14:paraId="13F84369" w14:textId="77777777" w:rsidR="00442DC7" w:rsidRDefault="00442DC7" w:rsidP="00F121D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Unknown</w:t>
            </w:r>
          </w:p>
        </w:tc>
        <w:tc>
          <w:tcPr>
            <w:tcW w:w="1276" w:type="dxa"/>
          </w:tcPr>
          <w:p w14:paraId="363EDE00"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6%</w:t>
            </w:r>
          </w:p>
        </w:tc>
        <w:tc>
          <w:tcPr>
            <w:tcW w:w="1154" w:type="dxa"/>
          </w:tcPr>
          <w:p w14:paraId="24D76B16"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2%</w:t>
            </w:r>
          </w:p>
        </w:tc>
        <w:tc>
          <w:tcPr>
            <w:tcW w:w="990" w:type="dxa"/>
          </w:tcPr>
          <w:p w14:paraId="7733F099"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0%</w:t>
            </w:r>
          </w:p>
        </w:tc>
        <w:tc>
          <w:tcPr>
            <w:tcW w:w="1170" w:type="dxa"/>
          </w:tcPr>
          <w:p w14:paraId="1EA213F9"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15%</w:t>
            </w:r>
          </w:p>
        </w:tc>
        <w:tc>
          <w:tcPr>
            <w:tcW w:w="1080" w:type="dxa"/>
          </w:tcPr>
          <w:p w14:paraId="4AE4EAA2"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N/A</w:t>
            </w:r>
          </w:p>
        </w:tc>
        <w:tc>
          <w:tcPr>
            <w:tcW w:w="1620" w:type="dxa"/>
          </w:tcPr>
          <w:p w14:paraId="4B0A2503" w14:textId="77777777" w:rsidR="00442DC7" w:rsidRDefault="00442DC7" w:rsidP="00F121D9">
            <w:pPr>
              <w:spacing w:line="360" w:lineRule="auto"/>
              <w:jc w:val="center"/>
              <w:rPr>
                <w:rFonts w:eastAsiaTheme="majorEastAsia" w:cs="Arial"/>
                <w:color w:val="000000" w:themeColor="text1"/>
                <w:sz w:val="24"/>
                <w:szCs w:val="24"/>
              </w:rPr>
            </w:pPr>
            <w:r>
              <w:rPr>
                <w:rFonts w:eastAsiaTheme="majorEastAsia" w:cs="Arial"/>
                <w:color w:val="000000" w:themeColor="text1"/>
                <w:sz w:val="24"/>
                <w:szCs w:val="24"/>
              </w:rPr>
              <w:t>18%</w:t>
            </w:r>
          </w:p>
        </w:tc>
      </w:tr>
    </w:tbl>
    <w:p w14:paraId="6DFC4974" w14:textId="77777777" w:rsidR="00442DC7" w:rsidRPr="00CF281D" w:rsidRDefault="00442DC7" w:rsidP="00DA119A">
      <w:pPr>
        <w:spacing w:before="240" w:line="360" w:lineRule="auto"/>
        <w:jc w:val="both"/>
        <w:rPr>
          <w:rFonts w:eastAsiaTheme="majorEastAsia" w:cs="Arial"/>
          <w:color w:val="000000" w:themeColor="text1"/>
          <w:sz w:val="18"/>
          <w:szCs w:val="18"/>
        </w:rPr>
      </w:pPr>
      <w:r w:rsidRPr="00CF281D">
        <w:rPr>
          <w:rFonts w:eastAsiaTheme="majorEastAsia" w:cs="Arial"/>
          <w:color w:val="000000" w:themeColor="text1"/>
          <w:sz w:val="18"/>
          <w:szCs w:val="18"/>
        </w:rPr>
        <w:t>Note: * Part year f</w:t>
      </w:r>
      <w:r w:rsidRPr="00CF281D">
        <w:rPr>
          <w:sz w:val="18"/>
          <w:szCs w:val="18"/>
        </w:rPr>
        <w:t>rom 4 April 2016</w:t>
      </w:r>
    </w:p>
    <w:p w14:paraId="029AE759" w14:textId="77F018CA" w:rsidR="00442DC7" w:rsidRPr="003C62B5" w:rsidRDefault="00442DC7" w:rsidP="003C62B5">
      <w:pPr>
        <w:spacing w:before="240" w:line="360" w:lineRule="auto"/>
        <w:jc w:val="both"/>
        <w:rPr>
          <w:rFonts w:eastAsiaTheme="majorEastAsia" w:cs="Arial"/>
          <w:color w:val="000000" w:themeColor="text1"/>
          <w:sz w:val="24"/>
          <w:szCs w:val="24"/>
        </w:rPr>
      </w:pPr>
      <w:r>
        <w:rPr>
          <w:rFonts w:eastAsiaTheme="majorEastAsia" w:cs="Arial"/>
          <w:color w:val="000000" w:themeColor="text1"/>
          <w:sz w:val="24"/>
          <w:szCs w:val="24"/>
        </w:rPr>
        <w:t xml:space="preserve">As can be shown above, the extent plumbing has been identified as a contributing risk factor in Victoria in recorded elevated blood lead levels has been very low, between 0 and 6% in recent years. This rate is inclusive of drinking water from all sources and not just those connected to mains supply. </w:t>
      </w:r>
      <w:bookmarkStart w:id="221" w:name="_Hlk70802164"/>
      <w:r>
        <w:rPr>
          <w:rFonts w:eastAsiaTheme="majorEastAsia" w:cs="Arial"/>
          <w:color w:val="000000" w:themeColor="text1"/>
          <w:sz w:val="24"/>
          <w:szCs w:val="24"/>
        </w:rPr>
        <w:t xml:space="preserve">If this rate was representative of each jurisdiction, the contribution plumbing makes to the problem would be much smaller than that presented by the Consultation RIS and </w:t>
      </w:r>
      <w:r w:rsidRPr="00B321B3">
        <w:rPr>
          <w:rFonts w:eastAsiaTheme="majorEastAsia" w:cs="Arial"/>
          <w:color w:val="000000" w:themeColor="text1"/>
          <w:sz w:val="24"/>
          <w:szCs w:val="24"/>
        </w:rPr>
        <w:t>negligible</w:t>
      </w:r>
      <w:r>
        <w:rPr>
          <w:rFonts w:eastAsiaTheme="majorEastAsia" w:cs="Arial"/>
          <w:color w:val="000000" w:themeColor="text1"/>
          <w:sz w:val="24"/>
          <w:szCs w:val="24"/>
        </w:rPr>
        <w:t xml:space="preserve"> relative to all other sources. </w:t>
      </w:r>
      <w:bookmarkEnd w:id="221"/>
      <w:r>
        <w:rPr>
          <w:rFonts w:eastAsiaTheme="majorEastAsia" w:cs="Arial"/>
          <w:color w:val="000000" w:themeColor="text1"/>
          <w:sz w:val="24"/>
          <w:szCs w:val="24"/>
        </w:rPr>
        <w:t>This would further support the view expressed in the Consultation RIS that Australia’s drinking water is currently very safe.</w:t>
      </w:r>
    </w:p>
    <w:p w14:paraId="0BA9ECB8" w14:textId="7267C9D4" w:rsidR="00442DC7" w:rsidRDefault="00442DC7" w:rsidP="002A10E0">
      <w:pPr>
        <w:spacing w:before="240" w:line="360" w:lineRule="auto"/>
        <w:jc w:val="both"/>
        <w:rPr>
          <w:sz w:val="24"/>
          <w:szCs w:val="24"/>
        </w:rPr>
      </w:pPr>
      <w:bookmarkStart w:id="222" w:name="_Hlk70351746"/>
      <w:r>
        <w:rPr>
          <w:sz w:val="24"/>
          <w:szCs w:val="24"/>
        </w:rPr>
        <w:t xml:space="preserve">However, as was accepted and expressed by several submissions to the Consultation RIS (enHealth, NHMRC, </w:t>
      </w:r>
      <w:r w:rsidR="0032533C">
        <w:rPr>
          <w:sz w:val="24"/>
          <w:szCs w:val="24"/>
        </w:rPr>
        <w:t>a product material association</w:t>
      </w:r>
      <w:r>
        <w:rPr>
          <w:sz w:val="24"/>
          <w:szCs w:val="24"/>
        </w:rPr>
        <w:t>, HIA, PPI Group), there is a high degree of uncertainty on the contribution lead in plumbing products in contact with drinking water makes to the total problem in Australia and the findings in Victoria alone do not overcome the high degree of uncertainty.</w:t>
      </w:r>
    </w:p>
    <w:p w14:paraId="10EB08D8" w14:textId="77777777" w:rsidR="00442DC7" w:rsidRDefault="00442DC7" w:rsidP="002A10E0">
      <w:pPr>
        <w:spacing w:before="240" w:line="360" w:lineRule="auto"/>
        <w:jc w:val="both"/>
        <w:rPr>
          <w:sz w:val="24"/>
          <w:szCs w:val="24"/>
        </w:rPr>
      </w:pPr>
      <w:r>
        <w:rPr>
          <w:sz w:val="24"/>
          <w:szCs w:val="24"/>
        </w:rPr>
        <w:t xml:space="preserve">Given the uncertainty, there were two conflicting views expressed by stakeholders on how decision makers should select which option to implement.  </w:t>
      </w:r>
    </w:p>
    <w:p w14:paraId="23BF0135" w14:textId="77777777" w:rsidR="00442DC7" w:rsidRDefault="00442DC7" w:rsidP="002A10E0">
      <w:pPr>
        <w:spacing w:before="240" w:line="360" w:lineRule="auto"/>
        <w:jc w:val="both"/>
        <w:rPr>
          <w:sz w:val="24"/>
          <w:szCs w:val="24"/>
        </w:rPr>
      </w:pPr>
      <w:r w:rsidRPr="00225AAA">
        <w:rPr>
          <w:sz w:val="24"/>
          <w:szCs w:val="24"/>
        </w:rPr>
        <w:t xml:space="preserve">The first view, as reflected by Enware’s submission, was to undertake additional research and data collection on a national level to determine the true extent plumbing products in contact with drinking water contributed to the problem of lead exposure in Australia. </w:t>
      </w:r>
      <w:r>
        <w:rPr>
          <w:sz w:val="24"/>
          <w:szCs w:val="24"/>
        </w:rPr>
        <w:t xml:space="preserve">In doing so, it is recognised that this would take time and coordination across </w:t>
      </w:r>
      <w:r>
        <w:rPr>
          <w:sz w:val="24"/>
          <w:szCs w:val="24"/>
        </w:rPr>
        <w:lastRenderedPageBreak/>
        <w:t>jurisdictions to ensure that the data collected was done so consistently and with a high degree of accuracy and relevance.</w:t>
      </w:r>
    </w:p>
    <w:p w14:paraId="719E0210" w14:textId="6C65F225" w:rsidR="00442DC7" w:rsidRPr="00225AAA" w:rsidRDefault="00442DC7" w:rsidP="00225AAA">
      <w:pPr>
        <w:spacing w:before="240" w:line="360" w:lineRule="auto"/>
        <w:jc w:val="both"/>
        <w:rPr>
          <w:sz w:val="24"/>
          <w:szCs w:val="24"/>
        </w:rPr>
      </w:pPr>
      <w:r w:rsidRPr="00225AAA">
        <w:rPr>
          <w:sz w:val="24"/>
          <w:szCs w:val="24"/>
        </w:rPr>
        <w:t xml:space="preserve">The second view, as reflected by enHealth and the NHMRC, was </w:t>
      </w:r>
      <w:r>
        <w:rPr>
          <w:sz w:val="24"/>
          <w:szCs w:val="24"/>
        </w:rPr>
        <w:t>to acknowledge</w:t>
      </w:r>
      <w:r w:rsidRPr="00225AAA">
        <w:rPr>
          <w:sz w:val="24"/>
          <w:szCs w:val="24"/>
        </w:rPr>
        <w:t xml:space="preserve"> the limitations of the existing data </w:t>
      </w:r>
      <w:r>
        <w:rPr>
          <w:sz w:val="24"/>
          <w:szCs w:val="24"/>
        </w:rPr>
        <w:t xml:space="preserve">but to give recognition to </w:t>
      </w:r>
      <w:r w:rsidRPr="00225AAA">
        <w:rPr>
          <w:sz w:val="24"/>
          <w:szCs w:val="24"/>
        </w:rPr>
        <w:t>the problem occurring in Australia, albeit at differing rates, which may not be capable of being further quantitatively defined.</w:t>
      </w:r>
    </w:p>
    <w:p w14:paraId="55C22406" w14:textId="77777777" w:rsidR="00442DC7" w:rsidRDefault="00442DC7" w:rsidP="00225AAA">
      <w:pPr>
        <w:spacing w:before="240" w:line="360" w:lineRule="auto"/>
        <w:jc w:val="both"/>
        <w:rPr>
          <w:sz w:val="24"/>
          <w:szCs w:val="24"/>
        </w:rPr>
      </w:pPr>
      <w:r w:rsidRPr="00225AAA">
        <w:rPr>
          <w:sz w:val="24"/>
          <w:szCs w:val="24"/>
        </w:rPr>
        <w:t xml:space="preserve">This opinion was based not on the monetary benefit that could be derived by such intervention but rather the common goal of health authorities, both domestically and internationally, in reducing lead exposure from all sources, thereby reducing the cumulative effect of lead exposure. </w:t>
      </w:r>
    </w:p>
    <w:p w14:paraId="13ECD452" w14:textId="3ACB8CA5" w:rsidR="00442DC7" w:rsidRDefault="00442DC7" w:rsidP="00225AAA">
      <w:pPr>
        <w:spacing w:before="240" w:line="360" w:lineRule="auto"/>
        <w:jc w:val="both"/>
        <w:rPr>
          <w:sz w:val="24"/>
          <w:szCs w:val="24"/>
        </w:rPr>
      </w:pPr>
      <w:r>
        <w:rPr>
          <w:sz w:val="24"/>
          <w:szCs w:val="24"/>
        </w:rPr>
        <w:t>Whilst it is difficult to reconcile the conflicting views, the goal of reducing lead from all sources and the international movement towards lower lead plumbing products and materials in contact with drinking water, reflects n</w:t>
      </w:r>
      <w:r w:rsidRPr="001F6711">
        <w:rPr>
          <w:sz w:val="24"/>
          <w:szCs w:val="24"/>
        </w:rPr>
        <w:t xml:space="preserve">o level of </w:t>
      </w:r>
      <w:r>
        <w:rPr>
          <w:sz w:val="24"/>
          <w:szCs w:val="24"/>
        </w:rPr>
        <w:t xml:space="preserve">consumed </w:t>
      </w:r>
      <w:r w:rsidRPr="001F6711">
        <w:rPr>
          <w:sz w:val="24"/>
          <w:szCs w:val="24"/>
        </w:rPr>
        <w:t>lead is safe</w:t>
      </w:r>
      <w:r>
        <w:rPr>
          <w:sz w:val="24"/>
          <w:szCs w:val="24"/>
        </w:rPr>
        <w:t xml:space="preserve">. Further regulatory intervention also reflects the common goal of governments safeguarding the community from all sources and is consistent with international best practice. </w:t>
      </w:r>
    </w:p>
    <w:p w14:paraId="6F5DBF42" w14:textId="77777777" w:rsidR="0043705D" w:rsidRDefault="0043705D">
      <w:pPr>
        <w:rPr>
          <w:rFonts w:eastAsiaTheme="majorEastAsia" w:cs="Arial"/>
          <w:color w:val="002060"/>
          <w:sz w:val="40"/>
          <w:szCs w:val="28"/>
        </w:rPr>
      </w:pPr>
      <w:bookmarkStart w:id="223" w:name="_Toc71195749"/>
      <w:bookmarkStart w:id="224" w:name="_Toc71789276"/>
      <w:bookmarkEnd w:id="222"/>
      <w:r>
        <w:rPr>
          <w:rFonts w:cs="Arial"/>
          <w:b/>
          <w:bCs/>
        </w:rPr>
        <w:br w:type="page"/>
      </w:r>
    </w:p>
    <w:p w14:paraId="55235D5C" w14:textId="2B3D727C" w:rsidR="00442DC7" w:rsidRPr="000B675B" w:rsidRDefault="00442DC7" w:rsidP="000B675B">
      <w:pPr>
        <w:pStyle w:val="Heading1"/>
        <w:spacing w:after="240"/>
        <w:rPr>
          <w:rFonts w:ascii="Arial" w:hAnsi="Arial" w:cs="Arial"/>
          <w:b w:val="0"/>
          <w:bCs w:val="0"/>
        </w:rPr>
      </w:pPr>
      <w:r w:rsidRPr="000B675B">
        <w:rPr>
          <w:rFonts w:ascii="Arial" w:hAnsi="Arial" w:cs="Arial"/>
          <w:b w:val="0"/>
          <w:bCs w:val="0"/>
        </w:rPr>
        <w:lastRenderedPageBreak/>
        <w:t>Objective</w:t>
      </w:r>
      <w:bookmarkEnd w:id="218"/>
      <w:bookmarkEnd w:id="219"/>
      <w:bookmarkEnd w:id="223"/>
      <w:bookmarkEnd w:id="224"/>
    </w:p>
    <w:p w14:paraId="48C18895" w14:textId="6EA2811A" w:rsidR="00442DC7" w:rsidRDefault="00442DC7" w:rsidP="00606555">
      <w:pPr>
        <w:spacing w:line="360" w:lineRule="auto"/>
        <w:jc w:val="both"/>
        <w:rPr>
          <w:rFonts w:cs="Arial"/>
          <w:sz w:val="24"/>
          <w:szCs w:val="24"/>
        </w:rPr>
      </w:pPr>
      <w:r w:rsidRPr="000F113D">
        <w:rPr>
          <w:rFonts w:cs="Arial"/>
          <w:sz w:val="24"/>
          <w:szCs w:val="24"/>
        </w:rPr>
        <w:t>A core goal of the NCC is to address safety and health in the design, construction and performance and liveability of buildings. In relation to drinking water, the NCC requires a drinking water system</w:t>
      </w:r>
      <w:r>
        <w:rPr>
          <w:rFonts w:cs="Arial"/>
          <w:sz w:val="24"/>
          <w:szCs w:val="24"/>
        </w:rPr>
        <w:t xml:space="preserve"> to</w:t>
      </w:r>
      <w:r w:rsidRPr="000F113D">
        <w:rPr>
          <w:rFonts w:cs="Arial"/>
          <w:sz w:val="24"/>
          <w:szCs w:val="24"/>
        </w:rPr>
        <w:t xml:space="preserve"> have a safe drinking water supply that minimises adverse impacts on building occupants</w:t>
      </w:r>
      <w:r w:rsidRPr="000F113D">
        <w:rPr>
          <w:rStyle w:val="FootnoteReference"/>
          <w:rFonts w:cs="Arial"/>
          <w:sz w:val="24"/>
          <w:szCs w:val="24"/>
        </w:rPr>
        <w:footnoteReference w:id="99"/>
      </w:r>
      <w:r w:rsidRPr="000F113D">
        <w:rPr>
          <w:rFonts w:cs="Arial"/>
          <w:sz w:val="24"/>
          <w:szCs w:val="24"/>
        </w:rPr>
        <w:t xml:space="preserve"> and the </w:t>
      </w:r>
      <w:r>
        <w:rPr>
          <w:rFonts w:cs="Arial"/>
          <w:sz w:val="24"/>
          <w:szCs w:val="24"/>
        </w:rPr>
        <w:t>water service system</w:t>
      </w:r>
      <w:r w:rsidRPr="000F113D">
        <w:rPr>
          <w:rFonts w:cs="Arial"/>
          <w:sz w:val="24"/>
          <w:szCs w:val="24"/>
        </w:rPr>
        <w:t xml:space="preserve"> is fit</w:t>
      </w:r>
      <w:r>
        <w:rPr>
          <w:rFonts w:cs="Arial"/>
          <w:sz w:val="24"/>
          <w:szCs w:val="24"/>
        </w:rPr>
        <w:t>-</w:t>
      </w:r>
      <w:r w:rsidRPr="000F113D">
        <w:rPr>
          <w:rFonts w:cs="Arial"/>
          <w:sz w:val="24"/>
          <w:szCs w:val="24"/>
        </w:rPr>
        <w:t>for</w:t>
      </w:r>
      <w:r>
        <w:rPr>
          <w:rFonts w:cs="Arial"/>
          <w:sz w:val="24"/>
          <w:szCs w:val="24"/>
        </w:rPr>
        <w:t>-</w:t>
      </w:r>
      <w:r w:rsidRPr="000F113D">
        <w:rPr>
          <w:rFonts w:cs="Arial"/>
          <w:sz w:val="24"/>
          <w:szCs w:val="24"/>
        </w:rPr>
        <w:t>purpose and does not create significant risks or any likely outcome of personal illness, loss, injury or death.</w:t>
      </w:r>
      <w:r w:rsidRPr="000F113D">
        <w:rPr>
          <w:rStyle w:val="FootnoteReference"/>
          <w:rFonts w:cs="Arial"/>
          <w:sz w:val="24"/>
          <w:szCs w:val="24"/>
        </w:rPr>
        <w:footnoteReference w:id="100"/>
      </w:r>
      <w:r w:rsidRPr="000F113D">
        <w:rPr>
          <w:rFonts w:cs="Arial"/>
          <w:sz w:val="24"/>
          <w:szCs w:val="24"/>
        </w:rPr>
        <w:t xml:space="preserve"> The NCC achieves this goal by adopting standards t</w:t>
      </w:r>
      <w:r>
        <w:rPr>
          <w:rFonts w:cs="Arial"/>
          <w:sz w:val="24"/>
          <w:szCs w:val="24"/>
        </w:rPr>
        <w:t>hat</w:t>
      </w:r>
      <w:r w:rsidRPr="000F113D">
        <w:rPr>
          <w:rFonts w:cs="Arial"/>
          <w:sz w:val="24"/>
          <w:szCs w:val="24"/>
        </w:rPr>
        <w:t xml:space="preserve"> minimise occupants</w:t>
      </w:r>
      <w:r>
        <w:rPr>
          <w:rFonts w:cs="Arial"/>
          <w:sz w:val="24"/>
          <w:szCs w:val="24"/>
        </w:rPr>
        <w:t>’</w:t>
      </w:r>
      <w:r w:rsidRPr="000F113D">
        <w:rPr>
          <w:rFonts w:cs="Arial"/>
          <w:sz w:val="24"/>
          <w:szCs w:val="24"/>
        </w:rPr>
        <w:t xml:space="preserve"> exposure to hazardous chemicals and metals. </w:t>
      </w:r>
    </w:p>
    <w:p w14:paraId="43A1A720" w14:textId="77777777" w:rsidR="00442DC7" w:rsidRDefault="00442DC7" w:rsidP="00606555">
      <w:pPr>
        <w:spacing w:line="360" w:lineRule="auto"/>
        <w:jc w:val="both"/>
        <w:rPr>
          <w:rFonts w:cs="Arial"/>
          <w:sz w:val="24"/>
          <w:szCs w:val="24"/>
        </w:rPr>
      </w:pPr>
      <w:r>
        <w:rPr>
          <w:rFonts w:cs="Arial"/>
          <w:sz w:val="24"/>
          <w:szCs w:val="24"/>
        </w:rPr>
        <w:t xml:space="preserve">Hence, </w:t>
      </w:r>
      <w:bookmarkStart w:id="225" w:name="_Hlk53319688"/>
      <w:r>
        <w:rPr>
          <w:rFonts w:cs="Arial"/>
          <w:sz w:val="24"/>
          <w:szCs w:val="24"/>
        </w:rPr>
        <w:t xml:space="preserve">the objective of this RIS is to evaluate whether the permissible lead content in plumbing product and material specifications should be reduced given the risk of lead leaching from plumbing products in contact with drinking water. </w:t>
      </w:r>
    </w:p>
    <w:bookmarkEnd w:id="225"/>
    <w:p w14:paraId="2B955F27" w14:textId="77777777" w:rsidR="00442DC7" w:rsidRPr="000F113D" w:rsidRDefault="00442DC7" w:rsidP="001C02DE">
      <w:pPr>
        <w:spacing w:after="0" w:line="360" w:lineRule="auto"/>
        <w:jc w:val="both"/>
        <w:rPr>
          <w:rFonts w:cs="Arial"/>
          <w:sz w:val="24"/>
          <w:szCs w:val="24"/>
        </w:rPr>
      </w:pPr>
      <w:r>
        <w:rPr>
          <w:rFonts w:cs="Arial"/>
          <w:sz w:val="24"/>
          <w:szCs w:val="24"/>
        </w:rPr>
        <w:t xml:space="preserve">This objective aligns with </w:t>
      </w:r>
      <w:r w:rsidRPr="00682CBE">
        <w:rPr>
          <w:rFonts w:cs="Arial"/>
          <w:sz w:val="24"/>
          <w:szCs w:val="24"/>
        </w:rPr>
        <w:t>the goal of reducing lead use to non-essential levels in all goods and consumables, including drinking water</w:t>
      </w:r>
      <w:r>
        <w:rPr>
          <w:rFonts w:cs="Arial"/>
          <w:sz w:val="24"/>
          <w:szCs w:val="24"/>
        </w:rPr>
        <w:t>.</w:t>
      </w:r>
    </w:p>
    <w:p w14:paraId="1C701D8F" w14:textId="77777777" w:rsidR="00442DC7" w:rsidRDefault="00442DC7" w:rsidP="000B675B">
      <w:pPr>
        <w:pStyle w:val="Heading1"/>
        <w:spacing w:after="240"/>
        <w:rPr>
          <w:rFonts w:ascii="Arial" w:hAnsi="Arial" w:cs="Arial"/>
          <w:b w:val="0"/>
          <w:bCs w:val="0"/>
        </w:rPr>
      </w:pPr>
      <w:bookmarkStart w:id="226" w:name="_Toc71195750"/>
      <w:bookmarkStart w:id="227" w:name="_Toc71789277"/>
      <w:r w:rsidRPr="000B675B">
        <w:rPr>
          <w:rFonts w:ascii="Arial" w:hAnsi="Arial" w:cs="Arial"/>
          <w:b w:val="0"/>
          <w:bCs w:val="0"/>
        </w:rPr>
        <w:t>Options</w:t>
      </w:r>
      <w:bookmarkEnd w:id="226"/>
      <w:bookmarkEnd w:id="227"/>
      <w:r w:rsidRPr="000B675B">
        <w:rPr>
          <w:rFonts w:ascii="Arial" w:hAnsi="Arial" w:cs="Arial"/>
          <w:b w:val="0"/>
          <w:bCs w:val="0"/>
        </w:rPr>
        <w:t xml:space="preserve"> </w:t>
      </w:r>
    </w:p>
    <w:p w14:paraId="142AA7E1" w14:textId="77777777" w:rsidR="00442DC7" w:rsidRPr="0083558B" w:rsidRDefault="00442DC7" w:rsidP="0083558B">
      <w:pPr>
        <w:spacing w:after="240" w:line="360" w:lineRule="auto"/>
        <w:jc w:val="both"/>
        <w:rPr>
          <w:sz w:val="24"/>
          <w:szCs w:val="24"/>
        </w:rPr>
      </w:pPr>
      <w:r w:rsidRPr="000F113D">
        <w:rPr>
          <w:sz w:val="24"/>
          <w:szCs w:val="24"/>
        </w:rPr>
        <w:t xml:space="preserve">The </w:t>
      </w:r>
      <w:r>
        <w:rPr>
          <w:sz w:val="24"/>
          <w:szCs w:val="24"/>
        </w:rPr>
        <w:t xml:space="preserve">Council of Australian Governments (COAG) ‘Principles of Best Practice Regulations Guidelines’ </w:t>
      </w:r>
      <w:r w:rsidRPr="000F113D">
        <w:rPr>
          <w:sz w:val="24"/>
          <w:szCs w:val="24"/>
        </w:rPr>
        <w:t xml:space="preserve">requires </w:t>
      </w:r>
      <w:r>
        <w:rPr>
          <w:sz w:val="24"/>
          <w:szCs w:val="24"/>
        </w:rPr>
        <w:t xml:space="preserve">that </w:t>
      </w:r>
      <w:r w:rsidRPr="000F113D">
        <w:rPr>
          <w:sz w:val="24"/>
          <w:szCs w:val="24"/>
        </w:rPr>
        <w:t xml:space="preserve">regulations are effective and proportional </w:t>
      </w:r>
      <w:r>
        <w:rPr>
          <w:sz w:val="24"/>
          <w:szCs w:val="24"/>
        </w:rPr>
        <w:t xml:space="preserve">to the problem </w:t>
      </w:r>
      <w:r w:rsidRPr="000F113D">
        <w:rPr>
          <w:sz w:val="24"/>
          <w:szCs w:val="24"/>
        </w:rPr>
        <w:t>and there is no regulatory or non-regulatory option that would generate higher net benefit</w:t>
      </w:r>
      <w:r>
        <w:rPr>
          <w:sz w:val="24"/>
          <w:szCs w:val="24"/>
        </w:rPr>
        <w:t>s</w:t>
      </w:r>
      <w:r w:rsidRPr="000F113D">
        <w:rPr>
          <w:sz w:val="24"/>
          <w:szCs w:val="24"/>
        </w:rPr>
        <w:t>.</w:t>
      </w:r>
      <w:r>
        <w:rPr>
          <w:sz w:val="24"/>
          <w:szCs w:val="24"/>
        </w:rPr>
        <w:t xml:space="preserve"> This is also reflected in the </w:t>
      </w:r>
      <w:r w:rsidRPr="000F113D">
        <w:rPr>
          <w:sz w:val="24"/>
          <w:szCs w:val="24"/>
        </w:rPr>
        <w:t>ABCB’s I</w:t>
      </w:r>
      <w:r>
        <w:rPr>
          <w:sz w:val="24"/>
          <w:szCs w:val="24"/>
        </w:rPr>
        <w:t xml:space="preserve">ntergovernmental </w:t>
      </w:r>
      <w:r w:rsidRPr="000F113D">
        <w:rPr>
          <w:sz w:val="24"/>
          <w:szCs w:val="24"/>
        </w:rPr>
        <w:t>A</w:t>
      </w:r>
      <w:r>
        <w:rPr>
          <w:sz w:val="24"/>
          <w:szCs w:val="24"/>
        </w:rPr>
        <w:t>greement (IGA).</w:t>
      </w:r>
      <w:r w:rsidRPr="000F113D">
        <w:rPr>
          <w:rFonts w:cs="Arial"/>
          <w:sz w:val="24"/>
          <w:szCs w:val="24"/>
          <w:vertAlign w:val="superscript"/>
        </w:rPr>
        <w:footnoteReference w:id="101"/>
      </w:r>
      <w:r>
        <w:rPr>
          <w:sz w:val="24"/>
          <w:szCs w:val="24"/>
        </w:rPr>
        <w:t xml:space="preserve"> </w:t>
      </w:r>
    </w:p>
    <w:p w14:paraId="43772DAB" w14:textId="77777777" w:rsidR="00442DC7" w:rsidRPr="0083558B" w:rsidRDefault="00442DC7" w:rsidP="0083558B">
      <w:pPr>
        <w:pStyle w:val="ListBullet"/>
        <w:numPr>
          <w:ilvl w:val="0"/>
          <w:numId w:val="0"/>
        </w:numPr>
        <w:spacing w:after="240"/>
        <w:ind w:left="357" w:hanging="357"/>
        <w:jc w:val="both"/>
        <w:rPr>
          <w:sz w:val="24"/>
          <w:szCs w:val="24"/>
        </w:rPr>
      </w:pPr>
      <w:r w:rsidRPr="0083558B">
        <w:rPr>
          <w:sz w:val="24"/>
          <w:szCs w:val="24"/>
        </w:rPr>
        <w:t>Having regard for these principles, there are three options presented for consideration:</w:t>
      </w:r>
    </w:p>
    <w:p w14:paraId="4E1FC52C" w14:textId="77777777" w:rsidR="00442DC7" w:rsidRPr="00773145" w:rsidRDefault="00442DC7" w:rsidP="00DA119A">
      <w:pPr>
        <w:pStyle w:val="Heading2"/>
        <w:rPr>
          <w:rFonts w:ascii="Arial" w:hAnsi="Arial" w:cs="Arial"/>
          <w:b w:val="0"/>
          <w:bCs w:val="0"/>
          <w:sz w:val="28"/>
          <w:szCs w:val="28"/>
        </w:rPr>
      </w:pPr>
      <w:bookmarkStart w:id="228" w:name="_Toc47287763"/>
      <w:bookmarkStart w:id="229" w:name="_Toc47287904"/>
      <w:r w:rsidRPr="00773145">
        <w:rPr>
          <w:rFonts w:ascii="Arial" w:hAnsi="Arial" w:cs="Arial"/>
          <w:b w:val="0"/>
          <w:bCs w:val="0"/>
          <w:sz w:val="28"/>
          <w:szCs w:val="28"/>
        </w:rPr>
        <w:t>Option 1: Retain the status quo</w:t>
      </w:r>
      <w:bookmarkEnd w:id="228"/>
      <w:bookmarkEnd w:id="229"/>
    </w:p>
    <w:p w14:paraId="33DC10D6" w14:textId="77777777" w:rsidR="00442DC7" w:rsidRPr="00606555" w:rsidRDefault="00442DC7" w:rsidP="00823B8F">
      <w:pPr>
        <w:spacing w:before="240" w:line="360" w:lineRule="auto"/>
        <w:jc w:val="both"/>
        <w:rPr>
          <w:rFonts w:cs="Arial"/>
          <w:sz w:val="24"/>
          <w:szCs w:val="24"/>
        </w:rPr>
      </w:pPr>
      <w:r w:rsidRPr="00606555">
        <w:rPr>
          <w:rFonts w:cs="Arial"/>
          <w:sz w:val="24"/>
          <w:szCs w:val="24"/>
        </w:rPr>
        <w:t>The status quo is the default choice for decision-makers in considering alternatives to achieve the objectives. Where the incremental impacts of other options would result in more costs than benefits, or would be ineffective in addressing the problem or achieving the objectives, the RIS will conclude in favour of the status quo.</w:t>
      </w:r>
    </w:p>
    <w:p w14:paraId="786DB728" w14:textId="77777777" w:rsidR="00823B8F" w:rsidRPr="00823B8F" w:rsidRDefault="00442DC7" w:rsidP="00823B8F">
      <w:pPr>
        <w:pStyle w:val="Heading2"/>
        <w:rPr>
          <w:rFonts w:ascii="Arial" w:hAnsi="Arial" w:cs="Arial"/>
          <w:b w:val="0"/>
          <w:bCs w:val="0"/>
          <w:sz w:val="28"/>
          <w:szCs w:val="28"/>
        </w:rPr>
      </w:pPr>
      <w:bookmarkStart w:id="230" w:name="_Toc47287764"/>
      <w:bookmarkStart w:id="231" w:name="_Toc47287905"/>
      <w:r w:rsidRPr="00773145">
        <w:rPr>
          <w:rFonts w:ascii="Arial" w:hAnsi="Arial" w:cs="Arial"/>
          <w:b w:val="0"/>
          <w:bCs w:val="0"/>
          <w:sz w:val="28"/>
          <w:szCs w:val="28"/>
        </w:rPr>
        <w:lastRenderedPageBreak/>
        <w:t xml:space="preserve">Option 2: </w:t>
      </w:r>
      <w:bookmarkStart w:id="232" w:name="_Hlk50904591"/>
      <w:r w:rsidRPr="00773145">
        <w:rPr>
          <w:rFonts w:ascii="Arial" w:hAnsi="Arial" w:cs="Arial"/>
          <w:b w:val="0"/>
          <w:bCs w:val="0"/>
          <w:sz w:val="28"/>
          <w:szCs w:val="28"/>
        </w:rPr>
        <w:t xml:space="preserve">Require all products in contact with drinking water </w:t>
      </w:r>
      <w:bookmarkEnd w:id="230"/>
      <w:bookmarkEnd w:id="231"/>
      <w:bookmarkEnd w:id="232"/>
      <w:r w:rsidR="00823B8F" w:rsidRPr="00823B8F">
        <w:rPr>
          <w:rFonts w:ascii="Arial" w:hAnsi="Arial" w:cs="Arial"/>
          <w:b w:val="0"/>
          <w:bCs w:val="0"/>
          <w:sz w:val="28"/>
          <w:szCs w:val="28"/>
        </w:rPr>
        <w:t xml:space="preserve">have a weighted average lead content of no more than 0.25% </w:t>
      </w:r>
    </w:p>
    <w:p w14:paraId="4384E519" w14:textId="241882BA" w:rsidR="00442DC7" w:rsidRPr="00823B8F" w:rsidRDefault="00442DC7" w:rsidP="00823B8F">
      <w:pPr>
        <w:spacing w:before="240" w:line="360" w:lineRule="auto"/>
        <w:jc w:val="both"/>
        <w:rPr>
          <w:rFonts w:eastAsiaTheme="majorEastAsia" w:cs="Arial"/>
          <w:color w:val="000000" w:themeColor="text1"/>
          <w:sz w:val="24"/>
          <w:szCs w:val="24"/>
        </w:rPr>
      </w:pPr>
      <w:r w:rsidRPr="00823B8F">
        <w:rPr>
          <w:rFonts w:eastAsiaTheme="majorEastAsia" w:cs="Arial"/>
          <w:color w:val="000000" w:themeColor="text1"/>
          <w:sz w:val="24"/>
          <w:szCs w:val="24"/>
        </w:rPr>
        <w:t xml:space="preserve">This option would set a reduced maximum allowable lead content within plumbing products in contact with drinking water of 0.25% or less when calculated using a weighted average against the wetted surface area and evaluated against NSF/ANSI 372. </w:t>
      </w:r>
    </w:p>
    <w:p w14:paraId="5C55B7A3" w14:textId="77777777" w:rsidR="00442DC7" w:rsidRPr="00DD7AE0" w:rsidRDefault="00442DC7" w:rsidP="00DA119A">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This option would result in a change to the ‘Evidence of Suitability’ criteria within the Plumbing Code of Australia. A complete description of the changes and an explanation can be found at Attachment A.</w:t>
      </w:r>
    </w:p>
    <w:p w14:paraId="5F72D3F6" w14:textId="77777777" w:rsidR="00442DC7" w:rsidRDefault="00442DC7" w:rsidP="00DA119A">
      <w:pPr>
        <w:pStyle w:val="Heading2"/>
        <w:rPr>
          <w:rFonts w:ascii="Arial" w:hAnsi="Arial" w:cs="Arial"/>
          <w:b w:val="0"/>
          <w:bCs w:val="0"/>
          <w:sz w:val="28"/>
          <w:szCs w:val="28"/>
        </w:rPr>
      </w:pPr>
      <w:bookmarkStart w:id="233" w:name="_Toc47287766"/>
      <w:bookmarkStart w:id="234" w:name="_Toc47287907"/>
      <w:r w:rsidRPr="00773145">
        <w:rPr>
          <w:rFonts w:ascii="Arial" w:hAnsi="Arial" w:cs="Arial"/>
          <w:b w:val="0"/>
          <w:bCs w:val="0"/>
          <w:sz w:val="28"/>
          <w:szCs w:val="28"/>
        </w:rPr>
        <w:t xml:space="preserve">Option 3: </w:t>
      </w:r>
      <w:bookmarkStart w:id="235" w:name="_Hlk50634850"/>
      <w:bookmarkEnd w:id="233"/>
      <w:bookmarkEnd w:id="234"/>
      <w:r>
        <w:rPr>
          <w:rFonts w:ascii="Arial" w:hAnsi="Arial" w:cs="Arial"/>
          <w:b w:val="0"/>
          <w:bCs w:val="0"/>
          <w:sz w:val="28"/>
          <w:szCs w:val="28"/>
        </w:rPr>
        <w:t>Recommend</w:t>
      </w:r>
      <w:r w:rsidRPr="00773145">
        <w:rPr>
          <w:rFonts w:ascii="Arial" w:hAnsi="Arial" w:cs="Arial"/>
          <w:b w:val="0"/>
          <w:bCs w:val="0"/>
          <w:sz w:val="28"/>
          <w:szCs w:val="28"/>
        </w:rPr>
        <w:t xml:space="preserve"> changes to government procurement standards</w:t>
      </w:r>
      <w:r>
        <w:rPr>
          <w:rFonts w:ascii="Arial" w:hAnsi="Arial" w:cs="Arial"/>
          <w:b w:val="0"/>
          <w:bCs w:val="0"/>
          <w:sz w:val="28"/>
          <w:szCs w:val="28"/>
        </w:rPr>
        <w:t xml:space="preserve"> to require compliance with NSF/ANSI 372</w:t>
      </w:r>
    </w:p>
    <w:p w14:paraId="533A65D9" w14:textId="43FF2FB1" w:rsidR="00442DC7" w:rsidRPr="003C62B5" w:rsidRDefault="00442DC7" w:rsidP="00823B8F">
      <w:pPr>
        <w:spacing w:before="240" w:line="360" w:lineRule="auto"/>
        <w:jc w:val="both"/>
        <w:rPr>
          <w:rFonts w:cs="Arial"/>
          <w:sz w:val="24"/>
          <w:szCs w:val="24"/>
        </w:rPr>
      </w:pPr>
      <w:r>
        <w:rPr>
          <w:rFonts w:cs="Arial"/>
          <w:sz w:val="24"/>
          <w:szCs w:val="24"/>
        </w:rPr>
        <w:t>This option has been amended since the Consultation RIS. Industry stakeholders (PIPA, Galvin Engineering, Ideal Tapware) reflected the challenges associated with creating an additional labelling scheme over and above the existing requirements that apply both domestically and internationally to low lead plumbing products in contact with drinking water. This was also reflected by enHealth who suggested the option would be less effective and by other stakeholders, who interpreted a</w:t>
      </w:r>
      <w:r w:rsidRPr="00BA22F0">
        <w:rPr>
          <w:rFonts w:cs="Arial"/>
          <w:sz w:val="24"/>
          <w:szCs w:val="24"/>
        </w:rPr>
        <w:t xml:space="preserve"> </w:t>
      </w:r>
      <w:r>
        <w:rPr>
          <w:rFonts w:cs="Arial"/>
          <w:sz w:val="24"/>
          <w:szCs w:val="24"/>
        </w:rPr>
        <w:t>voluntary industry labelling scheme as burdensome and easily undermined.</w:t>
      </w:r>
    </w:p>
    <w:p w14:paraId="02621BBD" w14:textId="25DC775C" w:rsidR="00442DC7" w:rsidRDefault="00442DC7" w:rsidP="00DA119A">
      <w:pPr>
        <w:spacing w:line="360" w:lineRule="auto"/>
        <w:jc w:val="both"/>
        <w:rPr>
          <w:rFonts w:cs="Arial"/>
          <w:sz w:val="24"/>
          <w:szCs w:val="24"/>
        </w:rPr>
      </w:pPr>
      <w:r>
        <w:rPr>
          <w:rFonts w:cs="Arial"/>
          <w:sz w:val="24"/>
          <w:szCs w:val="24"/>
        </w:rPr>
        <w:t xml:space="preserve">Under this revised option, state and territory and </w:t>
      </w:r>
      <w:r w:rsidR="00B94CE9">
        <w:rPr>
          <w:rFonts w:cs="Arial"/>
          <w:sz w:val="24"/>
          <w:szCs w:val="24"/>
        </w:rPr>
        <w:t>Australian G</w:t>
      </w:r>
      <w:r>
        <w:rPr>
          <w:rFonts w:cs="Arial"/>
          <w:sz w:val="24"/>
          <w:szCs w:val="24"/>
        </w:rPr>
        <w:t>overnment procurement standards would be changed to require the use of low lead plumbing products in government owned buildings. Conceptually, this would use the influence of government procurement on the market to encourage a transition by manufacturers to low lead plumbing products by increasing the demand for such products.</w:t>
      </w:r>
    </w:p>
    <w:p w14:paraId="08CED657" w14:textId="77777777" w:rsidR="00442DC7" w:rsidRPr="00FC7B28" w:rsidRDefault="00442DC7" w:rsidP="00B42873">
      <w:pPr>
        <w:keepNext/>
        <w:pBdr>
          <w:top w:val="single" w:sz="4" w:space="0" w:color="auto"/>
          <w:left w:val="single" w:sz="4" w:space="4" w:color="auto"/>
          <w:bottom w:val="single" w:sz="4" w:space="1" w:color="auto"/>
          <w:right w:val="single" w:sz="4" w:space="4" w:color="auto"/>
        </w:pBdr>
        <w:shd w:val="clear" w:color="auto" w:fill="D9D9D9" w:themeFill="background1" w:themeFillShade="D9"/>
        <w:spacing w:before="120" w:after="130" w:line="360" w:lineRule="auto"/>
        <w:jc w:val="both"/>
        <w:rPr>
          <w:rFonts w:cs="Arial"/>
          <w:bCs/>
          <w:iCs/>
          <w:sz w:val="24"/>
          <w:szCs w:val="24"/>
        </w:rPr>
      </w:pPr>
      <w:bookmarkStart w:id="236" w:name="_Hlk68869340"/>
      <w:bookmarkEnd w:id="235"/>
      <w:r>
        <w:rPr>
          <w:rFonts w:cs="Arial"/>
          <w:sz w:val="24"/>
          <w:szCs w:val="24"/>
        </w:rPr>
        <w:t xml:space="preserve">The Consultation RIS asked stakeholders whether there were any other feasible options that would address the problem. </w:t>
      </w:r>
    </w:p>
    <w:bookmarkEnd w:id="236"/>
    <w:p w14:paraId="02016F53" w14:textId="2A0B2520" w:rsidR="00442DC7" w:rsidRPr="003C62B5" w:rsidRDefault="00442DC7" w:rsidP="00B94CE9">
      <w:pPr>
        <w:spacing w:before="240"/>
        <w:rPr>
          <w:rFonts w:cs="Arial"/>
          <w:sz w:val="24"/>
          <w:szCs w:val="24"/>
        </w:rPr>
      </w:pPr>
      <w:r w:rsidRPr="003C62B5">
        <w:rPr>
          <w:rFonts w:cs="Arial"/>
          <w:sz w:val="24"/>
          <w:szCs w:val="24"/>
        </w:rPr>
        <w:t xml:space="preserve">The following </w:t>
      </w:r>
      <w:r>
        <w:rPr>
          <w:rFonts w:cs="Arial"/>
          <w:sz w:val="24"/>
          <w:szCs w:val="24"/>
        </w:rPr>
        <w:t>suggestions</w:t>
      </w:r>
      <w:r w:rsidRPr="003C62B5">
        <w:rPr>
          <w:rFonts w:cs="Arial"/>
          <w:sz w:val="24"/>
          <w:szCs w:val="24"/>
        </w:rPr>
        <w:t xml:space="preserve"> were received</w:t>
      </w:r>
      <w:r>
        <w:rPr>
          <w:rFonts w:cs="Arial"/>
          <w:sz w:val="24"/>
          <w:szCs w:val="24"/>
        </w:rPr>
        <w:t xml:space="preserve"> in addition to those discussed throughout the Decision RIS</w:t>
      </w:r>
      <w:r w:rsidRPr="003C62B5">
        <w:rPr>
          <w:rFonts w:cs="Arial"/>
          <w:sz w:val="24"/>
          <w:szCs w:val="24"/>
        </w:rPr>
        <w:t>:</w:t>
      </w:r>
    </w:p>
    <w:p w14:paraId="20CADCD8" w14:textId="77777777" w:rsidR="00442DC7" w:rsidRDefault="00442DC7" w:rsidP="00DA119A">
      <w:pPr>
        <w:pStyle w:val="ListParagraph"/>
        <w:numPr>
          <w:ilvl w:val="0"/>
          <w:numId w:val="28"/>
        </w:numPr>
        <w:spacing w:line="360" w:lineRule="auto"/>
        <w:jc w:val="both"/>
        <w:rPr>
          <w:rFonts w:cs="Arial"/>
          <w:sz w:val="24"/>
          <w:szCs w:val="24"/>
        </w:rPr>
      </w:pPr>
      <w:bookmarkStart w:id="237" w:name="_Hlk68686092"/>
      <w:r>
        <w:rPr>
          <w:rFonts w:cs="Arial"/>
          <w:sz w:val="24"/>
          <w:szCs w:val="24"/>
        </w:rPr>
        <w:t>Require all plumbing products in contact with drinking water to have 0.25% lead content</w:t>
      </w:r>
      <w:bookmarkEnd w:id="237"/>
      <w:r>
        <w:rPr>
          <w:rFonts w:cs="Arial"/>
          <w:sz w:val="24"/>
          <w:szCs w:val="24"/>
        </w:rPr>
        <w:t xml:space="preserve"> regardless of the surface area in contact with water (i.e. a blanket 0.25% rule for all products).</w:t>
      </w:r>
    </w:p>
    <w:p w14:paraId="2187215E" w14:textId="77777777" w:rsidR="00442DC7" w:rsidRDefault="00442DC7" w:rsidP="00DA119A">
      <w:pPr>
        <w:pStyle w:val="ListParagraph"/>
        <w:numPr>
          <w:ilvl w:val="0"/>
          <w:numId w:val="28"/>
        </w:numPr>
        <w:spacing w:line="360" w:lineRule="auto"/>
        <w:jc w:val="both"/>
        <w:rPr>
          <w:rFonts w:cs="Arial"/>
          <w:sz w:val="24"/>
          <w:szCs w:val="24"/>
        </w:rPr>
      </w:pPr>
      <w:r>
        <w:rPr>
          <w:rFonts w:cs="Arial"/>
          <w:sz w:val="24"/>
          <w:szCs w:val="24"/>
        </w:rPr>
        <w:lastRenderedPageBreak/>
        <w:t>Require all plumbing products in contact with drinking water to have zero lead content.</w:t>
      </w:r>
    </w:p>
    <w:p w14:paraId="5817E977" w14:textId="77777777" w:rsidR="00442DC7" w:rsidRPr="003C62B5" w:rsidRDefault="00442DC7" w:rsidP="00DA119A">
      <w:pPr>
        <w:pStyle w:val="ListParagraph"/>
        <w:numPr>
          <w:ilvl w:val="0"/>
          <w:numId w:val="28"/>
        </w:numPr>
        <w:spacing w:line="360" w:lineRule="auto"/>
        <w:jc w:val="both"/>
        <w:rPr>
          <w:rFonts w:cs="Arial"/>
          <w:sz w:val="24"/>
          <w:szCs w:val="24"/>
        </w:rPr>
      </w:pPr>
      <w:r w:rsidRPr="006C496D">
        <w:rPr>
          <w:rFonts w:eastAsia="Calibri" w:cs="Arial"/>
          <w:sz w:val="24"/>
          <w:szCs w:val="24"/>
        </w:rPr>
        <w:t xml:space="preserve">Create an advertising campaign to </w:t>
      </w:r>
      <w:r>
        <w:rPr>
          <w:rFonts w:eastAsia="Calibri" w:cs="Arial"/>
          <w:sz w:val="24"/>
          <w:szCs w:val="24"/>
        </w:rPr>
        <w:t xml:space="preserve">encourage flushing of </w:t>
      </w:r>
      <w:r w:rsidRPr="006C496D">
        <w:rPr>
          <w:rFonts w:eastAsia="Calibri" w:cs="Arial"/>
          <w:sz w:val="24"/>
          <w:szCs w:val="24"/>
        </w:rPr>
        <w:t xml:space="preserve">taps, especially </w:t>
      </w:r>
      <w:r>
        <w:rPr>
          <w:rFonts w:eastAsia="Calibri" w:cs="Arial"/>
          <w:sz w:val="24"/>
          <w:szCs w:val="24"/>
        </w:rPr>
        <w:t>after long periods of stagnation.</w:t>
      </w:r>
    </w:p>
    <w:p w14:paraId="28645DA9" w14:textId="77777777" w:rsidR="00442DC7" w:rsidRDefault="00442DC7" w:rsidP="00DA119A">
      <w:pPr>
        <w:pStyle w:val="ListParagraph"/>
        <w:numPr>
          <w:ilvl w:val="0"/>
          <w:numId w:val="28"/>
        </w:numPr>
        <w:spacing w:line="360" w:lineRule="auto"/>
        <w:jc w:val="both"/>
        <w:rPr>
          <w:rFonts w:cs="Arial"/>
          <w:sz w:val="24"/>
          <w:szCs w:val="24"/>
        </w:rPr>
      </w:pPr>
      <w:r>
        <w:rPr>
          <w:rFonts w:cs="Arial"/>
          <w:sz w:val="24"/>
          <w:szCs w:val="24"/>
        </w:rPr>
        <w:t xml:space="preserve">Apply greater controls to imported products. </w:t>
      </w:r>
    </w:p>
    <w:p w14:paraId="595875B1" w14:textId="77777777" w:rsidR="00442DC7" w:rsidRDefault="00442DC7" w:rsidP="00DA119A">
      <w:pPr>
        <w:pStyle w:val="ListParagraph"/>
        <w:numPr>
          <w:ilvl w:val="0"/>
          <w:numId w:val="28"/>
        </w:numPr>
        <w:spacing w:line="360" w:lineRule="auto"/>
        <w:jc w:val="both"/>
        <w:rPr>
          <w:rFonts w:cs="Arial"/>
          <w:sz w:val="24"/>
          <w:szCs w:val="24"/>
        </w:rPr>
      </w:pPr>
      <w:r>
        <w:rPr>
          <w:rFonts w:cs="Arial"/>
          <w:sz w:val="24"/>
          <w:szCs w:val="24"/>
        </w:rPr>
        <w:t>B</w:t>
      </w:r>
      <w:r w:rsidRPr="00A3749B">
        <w:rPr>
          <w:rFonts w:cs="Arial"/>
          <w:sz w:val="24"/>
          <w:szCs w:val="24"/>
        </w:rPr>
        <w:t xml:space="preserve">an the sale of products in Australia that do not meet the regulatory </w:t>
      </w:r>
      <w:r>
        <w:rPr>
          <w:rFonts w:cs="Arial"/>
          <w:sz w:val="24"/>
          <w:szCs w:val="24"/>
        </w:rPr>
        <w:t>minimum.</w:t>
      </w:r>
    </w:p>
    <w:p w14:paraId="31A7F1C6" w14:textId="77777777" w:rsidR="00442DC7" w:rsidRPr="003C62B5" w:rsidRDefault="00442DC7" w:rsidP="00DA119A">
      <w:pPr>
        <w:pStyle w:val="ListParagraph"/>
        <w:numPr>
          <w:ilvl w:val="0"/>
          <w:numId w:val="28"/>
        </w:numPr>
        <w:spacing w:line="360" w:lineRule="auto"/>
        <w:jc w:val="both"/>
        <w:rPr>
          <w:rFonts w:cs="Arial"/>
          <w:sz w:val="24"/>
          <w:szCs w:val="24"/>
        </w:rPr>
      </w:pPr>
      <w:r>
        <w:rPr>
          <w:rFonts w:eastAsia="Calibri" w:cs="Arial"/>
          <w:sz w:val="24"/>
          <w:szCs w:val="24"/>
        </w:rPr>
        <w:t>M</w:t>
      </w:r>
      <w:r w:rsidRPr="00857C2A">
        <w:rPr>
          <w:rFonts w:eastAsia="Calibri" w:cs="Arial"/>
          <w:sz w:val="24"/>
          <w:szCs w:val="24"/>
        </w:rPr>
        <w:t>anage lead through in-premise flushing and habituating or formalising such practices</w:t>
      </w:r>
      <w:r>
        <w:rPr>
          <w:rFonts w:eastAsia="Calibri" w:cs="Arial"/>
          <w:sz w:val="24"/>
          <w:szCs w:val="24"/>
        </w:rPr>
        <w:t>,</w:t>
      </w:r>
      <w:r w:rsidRPr="00857C2A">
        <w:rPr>
          <w:rFonts w:eastAsia="Calibri" w:cs="Arial"/>
          <w:sz w:val="24"/>
          <w:szCs w:val="24"/>
        </w:rPr>
        <w:t xml:space="preserve"> where appropriate</w:t>
      </w:r>
      <w:r>
        <w:rPr>
          <w:rFonts w:eastAsia="Calibri" w:cs="Arial"/>
          <w:sz w:val="24"/>
          <w:szCs w:val="24"/>
        </w:rPr>
        <w:t>.</w:t>
      </w:r>
    </w:p>
    <w:p w14:paraId="1AEC4B8F" w14:textId="48F5A8DD" w:rsidR="00442DC7" w:rsidRPr="0073119C" w:rsidRDefault="00442DC7" w:rsidP="00DA119A">
      <w:pPr>
        <w:pStyle w:val="ListParagraph"/>
        <w:numPr>
          <w:ilvl w:val="0"/>
          <w:numId w:val="28"/>
        </w:numPr>
        <w:spacing w:line="360" w:lineRule="auto"/>
        <w:jc w:val="both"/>
        <w:rPr>
          <w:rFonts w:eastAsia="Calibri" w:cs="Arial"/>
          <w:sz w:val="24"/>
          <w:szCs w:val="24"/>
        </w:rPr>
      </w:pPr>
      <w:r w:rsidRPr="00B94CE9">
        <w:rPr>
          <w:rFonts w:eastAsia="Calibri" w:cs="Arial"/>
          <w:sz w:val="24"/>
          <w:szCs w:val="24"/>
        </w:rPr>
        <w:t>Agree</w:t>
      </w:r>
      <w:r w:rsidR="00B94CE9" w:rsidRPr="00B94CE9">
        <w:rPr>
          <w:rFonts w:eastAsia="Calibri" w:cs="Arial"/>
          <w:sz w:val="24"/>
          <w:szCs w:val="24"/>
        </w:rPr>
        <w:t xml:space="preserve"> to implement Option 2 with a five</w:t>
      </w:r>
      <w:r w:rsidR="00B42873" w:rsidRPr="00B94CE9">
        <w:rPr>
          <w:rFonts w:eastAsia="Calibri" w:cs="Arial"/>
          <w:sz w:val="24"/>
          <w:szCs w:val="24"/>
        </w:rPr>
        <w:t xml:space="preserve"> </w:t>
      </w:r>
      <w:r w:rsidRPr="00B94CE9">
        <w:rPr>
          <w:rFonts w:eastAsia="Calibri" w:cs="Arial"/>
          <w:sz w:val="24"/>
          <w:szCs w:val="24"/>
        </w:rPr>
        <w:t>year tran</w:t>
      </w:r>
      <w:r>
        <w:rPr>
          <w:rFonts w:eastAsia="Calibri" w:cs="Arial"/>
          <w:sz w:val="24"/>
          <w:szCs w:val="24"/>
        </w:rPr>
        <w:t xml:space="preserve">sition and recommend changes to government procurement standards to occur within this transitional period (i.e. a combination of Options 2 and 3). </w:t>
      </w:r>
    </w:p>
    <w:p w14:paraId="13324E52" w14:textId="77777777" w:rsidR="00442DC7" w:rsidRDefault="00442DC7" w:rsidP="00DA119A">
      <w:pPr>
        <w:spacing w:line="360" w:lineRule="auto"/>
        <w:jc w:val="both"/>
        <w:rPr>
          <w:rFonts w:eastAsia="Calibri" w:cs="Arial"/>
          <w:sz w:val="24"/>
          <w:szCs w:val="24"/>
        </w:rPr>
      </w:pPr>
      <w:r>
        <w:rPr>
          <w:rFonts w:eastAsia="Calibri" w:cs="Arial"/>
          <w:sz w:val="24"/>
          <w:szCs w:val="24"/>
        </w:rPr>
        <w:t>The following points are made in response to each proposed option:</w:t>
      </w:r>
    </w:p>
    <w:p w14:paraId="1243D891" w14:textId="77777777" w:rsidR="00442DC7" w:rsidRDefault="00442DC7" w:rsidP="00DA119A">
      <w:pPr>
        <w:pStyle w:val="ListParagraph"/>
        <w:numPr>
          <w:ilvl w:val="0"/>
          <w:numId w:val="38"/>
        </w:numPr>
        <w:spacing w:line="360" w:lineRule="auto"/>
        <w:jc w:val="both"/>
        <w:rPr>
          <w:rFonts w:eastAsia="Calibri" w:cs="Arial"/>
          <w:sz w:val="24"/>
          <w:szCs w:val="24"/>
        </w:rPr>
      </w:pPr>
      <w:r>
        <w:rPr>
          <w:rFonts w:eastAsia="Calibri" w:cs="Arial"/>
          <w:sz w:val="24"/>
          <w:szCs w:val="24"/>
        </w:rPr>
        <w:t>Changes to the regulatory option</w:t>
      </w:r>
      <w:r w:rsidRPr="003C62B5">
        <w:rPr>
          <w:rFonts w:eastAsia="Calibri" w:cs="Arial"/>
          <w:sz w:val="24"/>
          <w:szCs w:val="24"/>
        </w:rPr>
        <w:t xml:space="preserve"> would create an inconsistency with the </w:t>
      </w:r>
      <w:r>
        <w:rPr>
          <w:rFonts w:eastAsia="Calibri" w:cs="Arial"/>
          <w:sz w:val="24"/>
          <w:szCs w:val="24"/>
        </w:rPr>
        <w:t xml:space="preserve">US </w:t>
      </w:r>
      <w:r w:rsidRPr="003C62B5">
        <w:rPr>
          <w:rFonts w:eastAsia="Calibri" w:cs="Arial"/>
          <w:sz w:val="24"/>
          <w:szCs w:val="24"/>
        </w:rPr>
        <w:t xml:space="preserve">model regulation. Such inconsistency </w:t>
      </w:r>
      <w:r>
        <w:rPr>
          <w:rFonts w:eastAsia="Calibri" w:cs="Arial"/>
          <w:sz w:val="24"/>
          <w:szCs w:val="24"/>
        </w:rPr>
        <w:t xml:space="preserve">could create </w:t>
      </w:r>
      <w:r w:rsidRPr="003C62B5">
        <w:rPr>
          <w:rFonts w:eastAsia="Calibri" w:cs="Arial"/>
          <w:sz w:val="24"/>
          <w:szCs w:val="24"/>
        </w:rPr>
        <w:t>higher prices</w:t>
      </w:r>
      <w:r>
        <w:rPr>
          <w:rFonts w:eastAsia="Calibri" w:cs="Arial"/>
          <w:sz w:val="24"/>
          <w:szCs w:val="24"/>
        </w:rPr>
        <w:t xml:space="preserve"> and restrict consumer choice.</w:t>
      </w:r>
    </w:p>
    <w:p w14:paraId="4FD7E70D" w14:textId="77777777" w:rsidR="00442DC7" w:rsidRDefault="00442DC7" w:rsidP="00DA119A">
      <w:pPr>
        <w:pStyle w:val="ListParagraph"/>
        <w:numPr>
          <w:ilvl w:val="0"/>
          <w:numId w:val="38"/>
        </w:numPr>
        <w:spacing w:line="360" w:lineRule="auto"/>
        <w:jc w:val="both"/>
        <w:rPr>
          <w:rFonts w:eastAsia="Calibri" w:cs="Arial"/>
          <w:sz w:val="24"/>
          <w:szCs w:val="24"/>
        </w:rPr>
      </w:pPr>
      <w:r w:rsidRPr="003C62B5">
        <w:rPr>
          <w:rFonts w:eastAsia="Calibri" w:cs="Arial"/>
          <w:sz w:val="24"/>
          <w:szCs w:val="24"/>
        </w:rPr>
        <w:t xml:space="preserve">The ABCB will consider the need to provide education and awareness material in supporting any regulatory changes. </w:t>
      </w:r>
    </w:p>
    <w:p w14:paraId="28C7B64A" w14:textId="77777777" w:rsidR="00442DC7" w:rsidRDefault="00442DC7" w:rsidP="00DA119A">
      <w:pPr>
        <w:pStyle w:val="ListParagraph"/>
        <w:numPr>
          <w:ilvl w:val="0"/>
          <w:numId w:val="38"/>
        </w:numPr>
        <w:spacing w:line="360" w:lineRule="auto"/>
        <w:jc w:val="both"/>
        <w:rPr>
          <w:rFonts w:eastAsia="Calibri" w:cs="Arial"/>
          <w:sz w:val="24"/>
          <w:szCs w:val="24"/>
        </w:rPr>
      </w:pPr>
      <w:r w:rsidRPr="003C62B5">
        <w:rPr>
          <w:rFonts w:eastAsia="Calibri" w:cs="Arial"/>
          <w:sz w:val="24"/>
          <w:szCs w:val="24"/>
        </w:rPr>
        <w:t xml:space="preserve">The control of imported products is not within the remit of the ABCB. As such, any increase in oversight would need to be considered by the relevant authority. </w:t>
      </w:r>
    </w:p>
    <w:p w14:paraId="3EEBF4CC" w14:textId="77777777" w:rsidR="00442DC7" w:rsidRDefault="00442DC7" w:rsidP="00DA119A">
      <w:pPr>
        <w:pStyle w:val="ListParagraph"/>
        <w:numPr>
          <w:ilvl w:val="0"/>
          <w:numId w:val="38"/>
        </w:numPr>
        <w:spacing w:line="360" w:lineRule="auto"/>
        <w:jc w:val="both"/>
        <w:rPr>
          <w:rFonts w:eastAsia="Calibri" w:cs="Arial"/>
          <w:sz w:val="24"/>
          <w:szCs w:val="24"/>
        </w:rPr>
      </w:pPr>
      <w:r w:rsidRPr="003C62B5">
        <w:rPr>
          <w:rFonts w:eastAsia="Calibri" w:cs="Arial"/>
          <w:sz w:val="24"/>
          <w:szCs w:val="24"/>
        </w:rPr>
        <w:t xml:space="preserve">It is outside the scope of the PCA to include ongoing requirements to owners and occupiers for flushing their plumbing system prior to use. This is on the basis that the requirement is unenforceable and unlikely to have a high degree of uptake.  </w:t>
      </w:r>
    </w:p>
    <w:p w14:paraId="7D1AFDF6" w14:textId="77777777" w:rsidR="00442DC7" w:rsidRDefault="00442DC7" w:rsidP="00DA119A">
      <w:pPr>
        <w:pStyle w:val="ListParagraph"/>
        <w:numPr>
          <w:ilvl w:val="0"/>
          <w:numId w:val="38"/>
        </w:numPr>
        <w:spacing w:line="360" w:lineRule="auto"/>
        <w:jc w:val="both"/>
        <w:rPr>
          <w:rFonts w:eastAsia="Calibri" w:cs="Arial"/>
          <w:sz w:val="24"/>
          <w:szCs w:val="24"/>
        </w:rPr>
      </w:pPr>
      <w:r>
        <w:rPr>
          <w:rFonts w:eastAsia="Calibri" w:cs="Arial"/>
          <w:sz w:val="24"/>
          <w:szCs w:val="24"/>
        </w:rPr>
        <w:t xml:space="preserve">Products in contact with drinking water that do not meet the regulatory minimum of the WMCS are not permitted to be installed in Australia under the status quo. </w:t>
      </w:r>
    </w:p>
    <w:p w14:paraId="4E24340F" w14:textId="77777777" w:rsidR="00442DC7" w:rsidRPr="003C62B5" w:rsidRDefault="00442DC7" w:rsidP="00DA119A">
      <w:pPr>
        <w:pStyle w:val="ListParagraph"/>
        <w:numPr>
          <w:ilvl w:val="0"/>
          <w:numId w:val="38"/>
        </w:numPr>
        <w:spacing w:line="360" w:lineRule="auto"/>
        <w:jc w:val="both"/>
        <w:rPr>
          <w:rFonts w:eastAsia="Calibri" w:cs="Arial"/>
          <w:sz w:val="24"/>
          <w:szCs w:val="24"/>
        </w:rPr>
      </w:pPr>
      <w:r>
        <w:rPr>
          <w:rFonts w:eastAsia="Calibri" w:cs="Arial"/>
          <w:sz w:val="24"/>
          <w:szCs w:val="24"/>
        </w:rPr>
        <w:t xml:space="preserve">Decision makers may choose to implement Options 2 and 3 concurrently until such time the transition period associated with Option 2 has ended. </w:t>
      </w:r>
    </w:p>
    <w:p w14:paraId="400413D4" w14:textId="77777777" w:rsidR="00442DC7" w:rsidRPr="007E74D3" w:rsidRDefault="00442DC7" w:rsidP="00DA119A">
      <w:pPr>
        <w:spacing w:line="360" w:lineRule="auto"/>
        <w:jc w:val="both"/>
        <w:rPr>
          <w:rFonts w:eastAsiaTheme="majorEastAsia" w:cs="Arial"/>
          <w:bCs/>
          <w:color w:val="002060"/>
          <w:sz w:val="36"/>
          <w:szCs w:val="36"/>
        </w:rPr>
      </w:pPr>
      <w:r w:rsidRPr="007E74D3">
        <w:rPr>
          <w:rFonts w:eastAsiaTheme="majorEastAsia" w:cs="Arial"/>
          <w:bCs/>
          <w:color w:val="002060"/>
          <w:sz w:val="36"/>
          <w:szCs w:val="36"/>
        </w:rPr>
        <w:t xml:space="preserve">Alternative Regulatory Option </w:t>
      </w:r>
    </w:p>
    <w:p w14:paraId="777990A4" w14:textId="78DD8D93" w:rsidR="00442DC7" w:rsidRDefault="00442DC7" w:rsidP="00DA119A">
      <w:pPr>
        <w:spacing w:line="360" w:lineRule="auto"/>
        <w:jc w:val="both"/>
        <w:rPr>
          <w:rFonts w:cs="Arial"/>
          <w:sz w:val="24"/>
          <w:szCs w:val="24"/>
        </w:rPr>
      </w:pPr>
      <w:r>
        <w:rPr>
          <w:rFonts w:cs="Arial"/>
          <w:sz w:val="24"/>
          <w:szCs w:val="24"/>
        </w:rPr>
        <w:t>In addition to the above options, an alternative regulatory option was consi</w:t>
      </w:r>
      <w:r w:rsidR="00B42873">
        <w:rPr>
          <w:rFonts w:cs="Arial"/>
          <w:sz w:val="24"/>
          <w:szCs w:val="24"/>
        </w:rPr>
        <w:t>dered during the development of the</w:t>
      </w:r>
      <w:r>
        <w:rPr>
          <w:rFonts w:cs="Arial"/>
          <w:sz w:val="24"/>
          <w:szCs w:val="24"/>
        </w:rPr>
        <w:t xml:space="preserve"> Consultation RIS. This option would </w:t>
      </w:r>
      <w:r w:rsidR="00B42873">
        <w:rPr>
          <w:rFonts w:cs="Arial"/>
          <w:sz w:val="24"/>
          <w:szCs w:val="24"/>
        </w:rPr>
        <w:t xml:space="preserve">have </w:t>
      </w:r>
      <w:r>
        <w:rPr>
          <w:rFonts w:cs="Arial"/>
          <w:sz w:val="24"/>
          <w:szCs w:val="24"/>
        </w:rPr>
        <w:t>result</w:t>
      </w:r>
      <w:r w:rsidR="00B42873">
        <w:rPr>
          <w:rFonts w:cs="Arial"/>
          <w:sz w:val="24"/>
          <w:szCs w:val="24"/>
        </w:rPr>
        <w:t>ed</w:t>
      </w:r>
      <w:r>
        <w:rPr>
          <w:rFonts w:cs="Arial"/>
          <w:sz w:val="24"/>
          <w:szCs w:val="24"/>
        </w:rPr>
        <w:t xml:space="preserve"> in changes being made to the current testing requirements for lead in AS/NZS 4020. This </w:t>
      </w:r>
      <w:r>
        <w:rPr>
          <w:rFonts w:cs="Arial"/>
          <w:sz w:val="24"/>
          <w:szCs w:val="24"/>
        </w:rPr>
        <w:lastRenderedPageBreak/>
        <w:t xml:space="preserve">consideration was in response to an outcome of </w:t>
      </w:r>
      <w:bookmarkStart w:id="238" w:name="_Hlk70411022"/>
      <w:r>
        <w:rPr>
          <w:rFonts w:cs="Arial"/>
          <w:sz w:val="24"/>
          <w:szCs w:val="24"/>
        </w:rPr>
        <w:t xml:space="preserve">the 2019 Lead in Plumbing Products </w:t>
      </w:r>
      <w:r w:rsidR="00B42873">
        <w:rPr>
          <w:rFonts w:cs="Arial"/>
          <w:sz w:val="24"/>
          <w:szCs w:val="24"/>
        </w:rPr>
        <w:t>F</w:t>
      </w:r>
      <w:r>
        <w:rPr>
          <w:rFonts w:cs="Arial"/>
          <w:sz w:val="24"/>
          <w:szCs w:val="24"/>
        </w:rPr>
        <w:t xml:space="preserve">orum </w:t>
      </w:r>
      <w:bookmarkEnd w:id="238"/>
      <w:r>
        <w:rPr>
          <w:rFonts w:cs="Arial"/>
          <w:sz w:val="24"/>
          <w:szCs w:val="24"/>
        </w:rPr>
        <w:t>where some participants recommended that the problem be addressed via AS/NZS 4020 and not changes to the product and material standards.</w:t>
      </w:r>
    </w:p>
    <w:p w14:paraId="0DAEE19C" w14:textId="73514B90" w:rsidR="00442DC7" w:rsidRDefault="00442DC7" w:rsidP="00DA119A">
      <w:pPr>
        <w:spacing w:line="360" w:lineRule="auto"/>
        <w:jc w:val="both"/>
        <w:rPr>
          <w:rFonts w:cs="Arial"/>
          <w:sz w:val="24"/>
          <w:szCs w:val="24"/>
        </w:rPr>
      </w:pPr>
      <w:r>
        <w:rPr>
          <w:rFonts w:cs="Arial"/>
          <w:sz w:val="24"/>
          <w:szCs w:val="24"/>
        </w:rPr>
        <w:t>Following the forum, a</w:t>
      </w:r>
      <w:r w:rsidRPr="00FF1824">
        <w:rPr>
          <w:rFonts w:cs="Arial"/>
          <w:sz w:val="24"/>
          <w:szCs w:val="24"/>
        </w:rPr>
        <w:t xml:space="preserve"> report </w:t>
      </w:r>
      <w:r>
        <w:rPr>
          <w:rFonts w:cs="Arial"/>
          <w:sz w:val="24"/>
          <w:szCs w:val="24"/>
        </w:rPr>
        <w:t xml:space="preserve">was </w:t>
      </w:r>
      <w:r w:rsidRPr="00FF1824">
        <w:rPr>
          <w:rFonts w:cs="Arial"/>
          <w:sz w:val="24"/>
          <w:szCs w:val="24"/>
        </w:rPr>
        <w:t xml:space="preserve">commissioned by the ABCB </w:t>
      </w:r>
      <w:r>
        <w:rPr>
          <w:rFonts w:cs="Arial"/>
          <w:sz w:val="24"/>
          <w:szCs w:val="24"/>
        </w:rPr>
        <w:t xml:space="preserve">to </w:t>
      </w:r>
      <w:r w:rsidRPr="00FF1824">
        <w:rPr>
          <w:rFonts w:cs="Arial"/>
          <w:sz w:val="24"/>
          <w:szCs w:val="24"/>
        </w:rPr>
        <w:t xml:space="preserve">investigate </w:t>
      </w:r>
      <w:r>
        <w:rPr>
          <w:rFonts w:cs="Arial"/>
          <w:sz w:val="24"/>
          <w:szCs w:val="24"/>
        </w:rPr>
        <w:t>what changes to AS/NZS 4020 could be made to better reflect the range of variables affecting drinking water in Australia.</w:t>
      </w:r>
      <w:r w:rsidRPr="00FF1824">
        <w:rPr>
          <w:rFonts w:cs="Arial"/>
          <w:sz w:val="24"/>
          <w:szCs w:val="24"/>
          <w:vertAlign w:val="superscript"/>
        </w:rPr>
        <w:footnoteReference w:id="102"/>
      </w:r>
      <w:r w:rsidRPr="00520803">
        <w:rPr>
          <w:rFonts w:cs="Arial"/>
          <w:sz w:val="24"/>
          <w:szCs w:val="24"/>
        </w:rPr>
        <w:t xml:space="preserve"> </w:t>
      </w:r>
      <w:r>
        <w:rPr>
          <w:rFonts w:cs="Arial"/>
          <w:sz w:val="24"/>
          <w:szCs w:val="24"/>
        </w:rPr>
        <w:t xml:space="preserve">This report has been made available and can be accessed through the </w:t>
      </w:r>
      <w:hyperlink r:id="rId26" w:history="1">
        <w:r w:rsidRPr="008D6FB1">
          <w:rPr>
            <w:rStyle w:val="Hyperlink"/>
            <w:rFonts w:cs="Arial"/>
            <w:sz w:val="24"/>
            <w:szCs w:val="24"/>
          </w:rPr>
          <w:t>ABCB’s website</w:t>
        </w:r>
      </w:hyperlink>
      <w:r>
        <w:rPr>
          <w:rFonts w:cs="Arial"/>
          <w:sz w:val="24"/>
          <w:szCs w:val="24"/>
        </w:rPr>
        <w:t xml:space="preserve">. </w:t>
      </w:r>
    </w:p>
    <w:p w14:paraId="0E93CDD2" w14:textId="77777777" w:rsidR="00442DC7" w:rsidRPr="00FF1824" w:rsidRDefault="00442DC7" w:rsidP="00DA119A">
      <w:pPr>
        <w:spacing w:after="120" w:line="360" w:lineRule="auto"/>
        <w:jc w:val="both"/>
        <w:rPr>
          <w:rFonts w:cs="Arial"/>
          <w:sz w:val="24"/>
          <w:szCs w:val="24"/>
        </w:rPr>
      </w:pPr>
      <w:r>
        <w:rPr>
          <w:rFonts w:cs="Arial"/>
          <w:sz w:val="24"/>
          <w:szCs w:val="24"/>
        </w:rPr>
        <w:t>The report recommended:</w:t>
      </w:r>
    </w:p>
    <w:p w14:paraId="574BAC68" w14:textId="77777777" w:rsidR="00442DC7" w:rsidRPr="00FF1824" w:rsidRDefault="00442DC7" w:rsidP="00DA119A">
      <w:pPr>
        <w:numPr>
          <w:ilvl w:val="0"/>
          <w:numId w:val="18"/>
        </w:numPr>
        <w:spacing w:line="360" w:lineRule="auto"/>
        <w:jc w:val="both"/>
        <w:rPr>
          <w:rFonts w:cs="Arial"/>
          <w:sz w:val="24"/>
          <w:szCs w:val="24"/>
        </w:rPr>
      </w:pPr>
      <w:r w:rsidRPr="00FF1824">
        <w:rPr>
          <w:rFonts w:cs="Arial"/>
          <w:sz w:val="24"/>
          <w:szCs w:val="24"/>
        </w:rPr>
        <w:t xml:space="preserve">expanding the test </w:t>
      </w:r>
      <w:r>
        <w:rPr>
          <w:rFonts w:cs="Arial"/>
          <w:sz w:val="24"/>
          <w:szCs w:val="24"/>
        </w:rPr>
        <w:t>for lead</w:t>
      </w:r>
      <w:r w:rsidRPr="00FF1824">
        <w:rPr>
          <w:rFonts w:cs="Arial"/>
          <w:sz w:val="24"/>
          <w:szCs w:val="24"/>
        </w:rPr>
        <w:t xml:space="preserve"> from a single </w:t>
      </w:r>
      <w:r>
        <w:rPr>
          <w:rFonts w:cs="Arial"/>
          <w:sz w:val="24"/>
          <w:szCs w:val="24"/>
        </w:rPr>
        <w:t xml:space="preserve">water </w:t>
      </w:r>
      <w:r w:rsidRPr="00FF1824">
        <w:rPr>
          <w:rFonts w:cs="Arial"/>
          <w:sz w:val="24"/>
          <w:szCs w:val="24"/>
        </w:rPr>
        <w:t xml:space="preserve">type to three types to cover the range of </w:t>
      </w:r>
      <w:r>
        <w:rPr>
          <w:rFonts w:cs="Arial"/>
          <w:sz w:val="24"/>
          <w:szCs w:val="24"/>
        </w:rPr>
        <w:t>water quality in Australia</w:t>
      </w:r>
      <w:r w:rsidRPr="00FF1824">
        <w:rPr>
          <w:rFonts w:cs="Arial"/>
          <w:sz w:val="24"/>
          <w:szCs w:val="24"/>
        </w:rPr>
        <w:t xml:space="preserve">; and, </w:t>
      </w:r>
    </w:p>
    <w:p w14:paraId="0D21F7B0" w14:textId="77777777" w:rsidR="00442DC7" w:rsidRPr="00FF1824" w:rsidRDefault="00442DC7" w:rsidP="00DA119A">
      <w:pPr>
        <w:numPr>
          <w:ilvl w:val="0"/>
          <w:numId w:val="18"/>
        </w:numPr>
        <w:spacing w:after="120" w:line="360" w:lineRule="auto"/>
        <w:ind w:left="714" w:hanging="357"/>
        <w:jc w:val="both"/>
        <w:rPr>
          <w:rFonts w:cs="Arial"/>
          <w:sz w:val="24"/>
          <w:szCs w:val="24"/>
        </w:rPr>
      </w:pPr>
      <w:r>
        <w:rPr>
          <w:rFonts w:cs="Arial"/>
          <w:sz w:val="24"/>
          <w:szCs w:val="24"/>
        </w:rPr>
        <w:t xml:space="preserve">expanding the duration of the test from 9 days to 8 weeks to better observe lead leaching from the bulk alloy. </w:t>
      </w:r>
    </w:p>
    <w:p w14:paraId="6B27CF9C" w14:textId="77777777" w:rsidR="00442DC7" w:rsidRDefault="00442DC7" w:rsidP="00DA119A">
      <w:pPr>
        <w:spacing w:after="120" w:line="360" w:lineRule="auto"/>
        <w:jc w:val="both"/>
        <w:rPr>
          <w:rFonts w:cs="Arial"/>
          <w:sz w:val="24"/>
          <w:szCs w:val="24"/>
        </w:rPr>
      </w:pPr>
      <w:r>
        <w:rPr>
          <w:rFonts w:cs="Arial"/>
          <w:sz w:val="24"/>
          <w:szCs w:val="24"/>
        </w:rPr>
        <w:t xml:space="preserve">The recommendations aimed to better align Australian testing requirements with the European testing standards. However, further consultation with industry groups and AS/NZS 4020 accredited testing laboratories revealed several challenges with implementing this option. </w:t>
      </w:r>
    </w:p>
    <w:p w14:paraId="7154881C" w14:textId="77777777" w:rsidR="00442DC7" w:rsidRDefault="00442DC7" w:rsidP="00DA119A">
      <w:pPr>
        <w:spacing w:after="120" w:line="360" w:lineRule="auto"/>
        <w:jc w:val="both"/>
        <w:rPr>
          <w:rFonts w:cs="Arial"/>
          <w:sz w:val="24"/>
          <w:szCs w:val="24"/>
        </w:rPr>
      </w:pPr>
      <w:r>
        <w:rPr>
          <w:rFonts w:cs="Arial"/>
          <w:sz w:val="24"/>
          <w:szCs w:val="24"/>
        </w:rPr>
        <w:t>Specific concerns raised were:</w:t>
      </w:r>
    </w:p>
    <w:p w14:paraId="52F67E80" w14:textId="77777777" w:rsidR="00442DC7" w:rsidRDefault="00442DC7" w:rsidP="00DA119A">
      <w:pPr>
        <w:pStyle w:val="ListParagraph"/>
        <w:numPr>
          <w:ilvl w:val="0"/>
          <w:numId w:val="20"/>
        </w:numPr>
        <w:spacing w:line="360" w:lineRule="auto"/>
        <w:jc w:val="both"/>
        <w:rPr>
          <w:rFonts w:cs="Arial"/>
          <w:sz w:val="24"/>
          <w:szCs w:val="24"/>
        </w:rPr>
      </w:pPr>
      <w:r>
        <w:rPr>
          <w:rFonts w:cs="Arial"/>
          <w:sz w:val="24"/>
          <w:szCs w:val="24"/>
        </w:rPr>
        <w:t xml:space="preserve">The testing of lead is currently one of many metals within AS/NZS 4020. While testing of lead could be separated in a future Standard, this would result in the test being duplicated (for lead and all other metals) and then tripled (to reflect three water types instead of a single water type). Industry groups and accredited testing laboratories indicated this would add significant cost and time to the process, without any clear benefit. </w:t>
      </w:r>
    </w:p>
    <w:p w14:paraId="555FD6BB" w14:textId="77777777" w:rsidR="00442DC7" w:rsidRDefault="00442DC7" w:rsidP="00DA119A">
      <w:pPr>
        <w:pStyle w:val="ListParagraph"/>
        <w:numPr>
          <w:ilvl w:val="0"/>
          <w:numId w:val="20"/>
        </w:numPr>
        <w:spacing w:line="360" w:lineRule="auto"/>
        <w:jc w:val="both"/>
        <w:rPr>
          <w:rFonts w:cs="Arial"/>
          <w:sz w:val="24"/>
          <w:szCs w:val="24"/>
        </w:rPr>
      </w:pPr>
      <w:r>
        <w:rPr>
          <w:rFonts w:cs="Arial"/>
          <w:sz w:val="24"/>
          <w:szCs w:val="24"/>
        </w:rPr>
        <w:t>There are distinct differences between the current Australian testing requirements and the European requirements. The European Standard</w:t>
      </w:r>
      <w:r w:rsidRPr="00FC314D">
        <w:rPr>
          <w:rFonts w:cs="Arial"/>
          <w:sz w:val="24"/>
          <w:szCs w:val="24"/>
        </w:rPr>
        <w:t xml:space="preserve"> </w:t>
      </w:r>
      <w:r>
        <w:rPr>
          <w:rFonts w:cs="Arial"/>
          <w:sz w:val="24"/>
          <w:szCs w:val="24"/>
        </w:rPr>
        <w:t xml:space="preserve">EN 15664 is a material-based standard, whereas the Australian Standard is product specific. This results in significantly more testing being required under the current Australian Standard which, if amended, would place significant </w:t>
      </w:r>
      <w:r>
        <w:rPr>
          <w:rFonts w:cs="Arial"/>
          <w:sz w:val="24"/>
          <w:szCs w:val="24"/>
        </w:rPr>
        <w:lastRenderedPageBreak/>
        <w:t>stress on accredited testing laboratories and manufacturers in meeting the new requirements.</w:t>
      </w:r>
    </w:p>
    <w:p w14:paraId="58BDA2CB" w14:textId="77777777" w:rsidR="00442DC7" w:rsidRDefault="00442DC7" w:rsidP="00DA119A">
      <w:pPr>
        <w:pStyle w:val="ListParagraph"/>
        <w:numPr>
          <w:ilvl w:val="0"/>
          <w:numId w:val="20"/>
        </w:numPr>
        <w:spacing w:line="360" w:lineRule="auto"/>
        <w:jc w:val="both"/>
        <w:rPr>
          <w:rFonts w:cs="Arial"/>
          <w:sz w:val="24"/>
          <w:szCs w:val="24"/>
        </w:rPr>
      </w:pPr>
      <w:r>
        <w:rPr>
          <w:rFonts w:cs="Arial"/>
          <w:sz w:val="24"/>
          <w:szCs w:val="24"/>
        </w:rPr>
        <w:t xml:space="preserve">Lead leaching from the bulk alloy is likely to take much longer than 8 weeks to observe. A study in Europe found that lead leaching from the bulk alloy was most pronounced after 25 weeks in use. This is reflected in the European Standard </w:t>
      </w:r>
      <w:bookmarkStart w:id="240" w:name="_Hlk53937875"/>
      <w:r>
        <w:rPr>
          <w:rFonts w:cs="Arial"/>
          <w:sz w:val="24"/>
          <w:szCs w:val="24"/>
        </w:rPr>
        <w:t>EN 15664</w:t>
      </w:r>
      <w:bookmarkEnd w:id="240"/>
      <w:r>
        <w:rPr>
          <w:rFonts w:cs="Arial"/>
          <w:sz w:val="24"/>
          <w:szCs w:val="24"/>
        </w:rPr>
        <w:t xml:space="preserve">, which requires a minimum of 26 weeks in testing and extended to up to 52 weeks if the product fails after the initial period. </w:t>
      </w:r>
    </w:p>
    <w:p w14:paraId="7E1B1DEF" w14:textId="5D212C20" w:rsidR="00442DC7" w:rsidRDefault="00442DC7" w:rsidP="00DA119A">
      <w:pPr>
        <w:pStyle w:val="ListParagraph"/>
        <w:numPr>
          <w:ilvl w:val="0"/>
          <w:numId w:val="20"/>
        </w:numPr>
        <w:spacing w:line="360" w:lineRule="auto"/>
        <w:jc w:val="both"/>
        <w:rPr>
          <w:rFonts w:cs="Arial"/>
          <w:sz w:val="24"/>
          <w:szCs w:val="24"/>
        </w:rPr>
      </w:pPr>
      <w:r>
        <w:rPr>
          <w:rFonts w:cs="Arial"/>
          <w:sz w:val="24"/>
          <w:szCs w:val="24"/>
        </w:rPr>
        <w:t xml:space="preserve">The capacity of the accredited testing laboratories to </w:t>
      </w:r>
      <w:r w:rsidR="00242670">
        <w:rPr>
          <w:rFonts w:cs="Arial"/>
          <w:sz w:val="24"/>
          <w:szCs w:val="24"/>
        </w:rPr>
        <w:t>re</w:t>
      </w:r>
      <w:r>
        <w:rPr>
          <w:rFonts w:cs="Arial"/>
          <w:sz w:val="24"/>
          <w:szCs w:val="24"/>
        </w:rPr>
        <w:t xml:space="preserve">test all products within a specified period would be challenging, with laboratories indicating that a minimum 5-year transition would be required. </w:t>
      </w:r>
    </w:p>
    <w:p w14:paraId="71585202" w14:textId="77777777" w:rsidR="00442DC7" w:rsidRPr="00DC1F7F" w:rsidRDefault="00442DC7" w:rsidP="00DA119A">
      <w:pPr>
        <w:pStyle w:val="ListParagraph"/>
        <w:numPr>
          <w:ilvl w:val="0"/>
          <w:numId w:val="20"/>
        </w:numPr>
        <w:spacing w:line="360" w:lineRule="auto"/>
        <w:jc w:val="both"/>
        <w:rPr>
          <w:rFonts w:cs="Arial"/>
          <w:sz w:val="24"/>
          <w:szCs w:val="24"/>
        </w:rPr>
      </w:pPr>
      <w:r>
        <w:rPr>
          <w:rFonts w:cs="Arial"/>
          <w:sz w:val="24"/>
          <w:szCs w:val="24"/>
        </w:rPr>
        <w:t xml:space="preserve">Testing of larger plumbing products with three water types is difficult in practice. Often products are tested with mains water and so finding suitable alternative water sources may be difficult, particularly for larger products such as water heaters. Advice from one accredited testing laboratory also indicated that new products are normally supplied as a single unit. So, requiring three units (to allow testing with three water types) would place greater burden on the manufacturer at the time of product certification. </w:t>
      </w:r>
    </w:p>
    <w:p w14:paraId="644EFE0D" w14:textId="4AE853B0" w:rsidR="00442DC7" w:rsidRDefault="00442DC7" w:rsidP="00DA119A">
      <w:pPr>
        <w:spacing w:line="360" w:lineRule="auto"/>
        <w:jc w:val="both"/>
        <w:rPr>
          <w:rFonts w:cs="Arial"/>
          <w:sz w:val="24"/>
          <w:szCs w:val="24"/>
        </w:rPr>
      </w:pPr>
      <w:r>
        <w:rPr>
          <w:rFonts w:cs="Arial"/>
          <w:sz w:val="24"/>
          <w:szCs w:val="24"/>
        </w:rPr>
        <w:t xml:space="preserve">For the above reasons, this option was not subject to further analysis. </w:t>
      </w:r>
    </w:p>
    <w:p w14:paraId="3A1ECFEA" w14:textId="77777777" w:rsidR="00442DC7" w:rsidRPr="00901E24" w:rsidRDefault="00442DC7" w:rsidP="00B42873">
      <w:pPr>
        <w:keepNext/>
        <w:pBdr>
          <w:top w:val="single" w:sz="4" w:space="1" w:color="auto"/>
          <w:left w:val="single" w:sz="4" w:space="4" w:color="auto"/>
          <w:bottom w:val="single" w:sz="4" w:space="12" w:color="auto"/>
          <w:right w:val="single" w:sz="4" w:space="4" w:color="auto"/>
        </w:pBdr>
        <w:shd w:val="clear" w:color="auto" w:fill="D9D9D9" w:themeFill="background1" w:themeFillShade="D9"/>
        <w:spacing w:before="120" w:after="120" w:line="360" w:lineRule="auto"/>
        <w:jc w:val="both"/>
        <w:rPr>
          <w:rFonts w:cs="Arial"/>
          <w:sz w:val="24"/>
          <w:szCs w:val="24"/>
        </w:rPr>
      </w:pPr>
      <w:bookmarkStart w:id="241" w:name="_Hlk70176405"/>
      <w:bookmarkStart w:id="242" w:name="_Hlk50723877"/>
      <w:r>
        <w:rPr>
          <w:rFonts w:cs="Arial"/>
          <w:sz w:val="24"/>
          <w:szCs w:val="24"/>
        </w:rPr>
        <w:t xml:space="preserve">The Consultation RIS asked stakeholders whether they agreed with the alternative regulatory option being discontinued from further analysis. </w:t>
      </w:r>
    </w:p>
    <w:bookmarkEnd w:id="241"/>
    <w:p w14:paraId="4B1B04D2" w14:textId="6A46B890" w:rsidR="00442DC7" w:rsidRDefault="00442DC7" w:rsidP="00DA119A">
      <w:pPr>
        <w:spacing w:before="240" w:after="120" w:line="360" w:lineRule="auto"/>
        <w:jc w:val="both"/>
        <w:rPr>
          <w:rFonts w:cs="Arial"/>
          <w:sz w:val="24"/>
          <w:szCs w:val="24"/>
        </w:rPr>
      </w:pPr>
      <w:r>
        <w:rPr>
          <w:rFonts w:cs="Arial"/>
          <w:sz w:val="24"/>
          <w:szCs w:val="24"/>
        </w:rPr>
        <w:t>Two</w:t>
      </w:r>
      <w:r w:rsidRPr="001537A0">
        <w:rPr>
          <w:rFonts w:cs="Arial"/>
          <w:sz w:val="24"/>
          <w:szCs w:val="24"/>
        </w:rPr>
        <w:t xml:space="preserve"> thirds of </w:t>
      </w:r>
      <w:r>
        <w:rPr>
          <w:rFonts w:cs="Arial"/>
          <w:sz w:val="24"/>
          <w:szCs w:val="24"/>
        </w:rPr>
        <w:t>respondents</w:t>
      </w:r>
      <w:r w:rsidRPr="001537A0">
        <w:rPr>
          <w:rFonts w:cs="Arial"/>
          <w:sz w:val="24"/>
          <w:szCs w:val="24"/>
        </w:rPr>
        <w:t xml:space="preserve"> agreed.</w:t>
      </w:r>
      <w:r>
        <w:rPr>
          <w:rFonts w:cs="Arial"/>
          <w:sz w:val="24"/>
          <w:szCs w:val="24"/>
        </w:rPr>
        <w:t xml:space="preserve"> </w:t>
      </w:r>
      <w:r w:rsidRPr="004976F4">
        <w:rPr>
          <w:rFonts w:cs="Arial"/>
          <w:sz w:val="24"/>
          <w:szCs w:val="24"/>
        </w:rPr>
        <w:t xml:space="preserve">Of those who didn’t support the option being </w:t>
      </w:r>
      <w:r w:rsidRPr="00A51F5C">
        <w:rPr>
          <w:rFonts w:cs="Arial"/>
          <w:sz w:val="24"/>
          <w:szCs w:val="24"/>
        </w:rPr>
        <w:t>discontinued</w:t>
      </w:r>
      <w:r>
        <w:rPr>
          <w:rFonts w:cs="Arial"/>
          <w:sz w:val="24"/>
          <w:szCs w:val="24"/>
        </w:rPr>
        <w:t>,</w:t>
      </w:r>
      <w:r w:rsidRPr="00A51F5C">
        <w:rPr>
          <w:rFonts w:cs="Arial"/>
          <w:sz w:val="24"/>
          <w:szCs w:val="24"/>
        </w:rPr>
        <w:t xml:space="preserve"> most felt that the test methods within </w:t>
      </w:r>
      <w:r>
        <w:rPr>
          <w:rFonts w:cs="Arial"/>
          <w:sz w:val="24"/>
          <w:szCs w:val="24"/>
        </w:rPr>
        <w:t>AS/NZS 4020</w:t>
      </w:r>
      <w:r w:rsidRPr="00A51F5C">
        <w:rPr>
          <w:rFonts w:cs="Arial"/>
          <w:sz w:val="24"/>
          <w:szCs w:val="24"/>
        </w:rPr>
        <w:t xml:space="preserve"> did not sufficiently account</w:t>
      </w:r>
      <w:r>
        <w:rPr>
          <w:rFonts w:cs="Arial"/>
          <w:sz w:val="24"/>
          <w:szCs w:val="24"/>
        </w:rPr>
        <w:t xml:space="preserve"> for</w:t>
      </w:r>
      <w:r w:rsidRPr="00A51F5C">
        <w:rPr>
          <w:rFonts w:cs="Arial"/>
          <w:sz w:val="24"/>
          <w:szCs w:val="24"/>
        </w:rPr>
        <w:t xml:space="preserve"> the </w:t>
      </w:r>
      <w:r>
        <w:rPr>
          <w:rFonts w:cs="Arial"/>
          <w:sz w:val="24"/>
          <w:szCs w:val="24"/>
        </w:rPr>
        <w:t xml:space="preserve">range of </w:t>
      </w:r>
      <w:r w:rsidRPr="00A51F5C">
        <w:rPr>
          <w:rFonts w:cs="Arial"/>
          <w:sz w:val="24"/>
          <w:szCs w:val="24"/>
        </w:rPr>
        <w:t>variables influencing lead levels in drinking water</w:t>
      </w:r>
      <w:r>
        <w:rPr>
          <w:rFonts w:cs="Arial"/>
          <w:sz w:val="24"/>
          <w:szCs w:val="24"/>
        </w:rPr>
        <w:t>, such as pH levels and water stagnation times.</w:t>
      </w:r>
    </w:p>
    <w:p w14:paraId="6694CAB2" w14:textId="50A3A711" w:rsidR="00442DC7" w:rsidRDefault="00442DC7" w:rsidP="00DA119A">
      <w:pPr>
        <w:spacing w:after="120" w:line="360" w:lineRule="auto"/>
        <w:jc w:val="both"/>
        <w:rPr>
          <w:sz w:val="24"/>
          <w:szCs w:val="24"/>
        </w:rPr>
      </w:pPr>
      <w:r>
        <w:rPr>
          <w:rFonts w:cs="Arial"/>
          <w:sz w:val="24"/>
          <w:szCs w:val="24"/>
        </w:rPr>
        <w:t xml:space="preserve">The NHMRC and enHealth </w:t>
      </w:r>
      <w:r w:rsidRPr="00A51F5C">
        <w:rPr>
          <w:rFonts w:cs="Arial"/>
          <w:sz w:val="24"/>
          <w:szCs w:val="24"/>
        </w:rPr>
        <w:t>viewed discontinuing the opti</w:t>
      </w:r>
      <w:r>
        <w:rPr>
          <w:rFonts w:cs="Arial"/>
          <w:sz w:val="24"/>
          <w:szCs w:val="24"/>
        </w:rPr>
        <w:t>o</w:t>
      </w:r>
      <w:r w:rsidRPr="004976F4">
        <w:rPr>
          <w:rFonts w:cs="Arial"/>
          <w:sz w:val="24"/>
          <w:szCs w:val="24"/>
        </w:rPr>
        <w:t xml:space="preserve">n based </w:t>
      </w:r>
      <w:r>
        <w:rPr>
          <w:rFonts w:cs="Arial"/>
          <w:sz w:val="24"/>
          <w:szCs w:val="24"/>
        </w:rPr>
        <w:t xml:space="preserve">on </w:t>
      </w:r>
      <w:r w:rsidRPr="003C62B5">
        <w:rPr>
          <w:sz w:val="24"/>
          <w:szCs w:val="24"/>
        </w:rPr>
        <w:t xml:space="preserve">cost and logistics alone </w:t>
      </w:r>
      <w:r>
        <w:rPr>
          <w:sz w:val="24"/>
          <w:szCs w:val="24"/>
        </w:rPr>
        <w:t>un</w:t>
      </w:r>
      <w:r w:rsidRPr="003C62B5">
        <w:rPr>
          <w:sz w:val="24"/>
          <w:szCs w:val="24"/>
        </w:rPr>
        <w:t>reasonable</w:t>
      </w:r>
      <w:r>
        <w:rPr>
          <w:sz w:val="24"/>
          <w:szCs w:val="24"/>
        </w:rPr>
        <w:t xml:space="preserve"> and advocated for </w:t>
      </w:r>
      <w:r w:rsidRPr="003E2C39">
        <w:rPr>
          <w:rFonts w:eastAsia="Calibri" w:cs="Arial"/>
          <w:sz w:val="24"/>
          <w:szCs w:val="24"/>
        </w:rPr>
        <w:t>a full and comprehensive review of AS/NZS</w:t>
      </w:r>
      <w:r>
        <w:rPr>
          <w:rFonts w:eastAsia="Calibri" w:cs="Arial"/>
          <w:sz w:val="24"/>
          <w:szCs w:val="24"/>
        </w:rPr>
        <w:t> </w:t>
      </w:r>
      <w:r w:rsidRPr="003E2C39">
        <w:rPr>
          <w:rFonts w:eastAsia="Calibri" w:cs="Arial"/>
          <w:sz w:val="24"/>
          <w:szCs w:val="24"/>
        </w:rPr>
        <w:t xml:space="preserve">4020 be undertaken </w:t>
      </w:r>
      <w:r>
        <w:rPr>
          <w:sz w:val="24"/>
          <w:szCs w:val="24"/>
        </w:rPr>
        <w:t>concurrently with implementing Option 2.</w:t>
      </w:r>
      <w:r>
        <w:rPr>
          <w:rStyle w:val="FootnoteReference"/>
          <w:sz w:val="24"/>
          <w:szCs w:val="24"/>
        </w:rPr>
        <w:footnoteReference w:id="103"/>
      </w:r>
    </w:p>
    <w:p w14:paraId="7550B51D" w14:textId="3EDDEDAA" w:rsidR="00442DC7" w:rsidRDefault="00442DC7" w:rsidP="00DA119A">
      <w:pPr>
        <w:spacing w:line="360" w:lineRule="auto"/>
        <w:jc w:val="both"/>
        <w:rPr>
          <w:rFonts w:cs="Arial"/>
          <w:sz w:val="24"/>
          <w:szCs w:val="24"/>
        </w:rPr>
      </w:pPr>
      <w:r>
        <w:rPr>
          <w:sz w:val="24"/>
          <w:szCs w:val="24"/>
        </w:rPr>
        <w:t>A</w:t>
      </w:r>
      <w:r>
        <w:rPr>
          <w:rFonts w:cs="Arial"/>
          <w:sz w:val="24"/>
          <w:szCs w:val="24"/>
        </w:rPr>
        <w:t xml:space="preserve">n Australian manufacturer (Enware) also agreed </w:t>
      </w:r>
      <w:r w:rsidRPr="00A51F5C">
        <w:rPr>
          <w:rFonts w:cs="Arial"/>
          <w:sz w:val="24"/>
          <w:szCs w:val="24"/>
        </w:rPr>
        <w:t xml:space="preserve">with the outcome of the Lead in </w:t>
      </w:r>
      <w:r w:rsidR="00B42873">
        <w:rPr>
          <w:rFonts w:cs="Arial"/>
          <w:sz w:val="24"/>
          <w:szCs w:val="24"/>
        </w:rPr>
        <w:t>P</w:t>
      </w:r>
      <w:r w:rsidRPr="00A51F5C">
        <w:rPr>
          <w:rFonts w:cs="Arial"/>
          <w:sz w:val="24"/>
          <w:szCs w:val="24"/>
        </w:rPr>
        <w:t xml:space="preserve">lumbing </w:t>
      </w:r>
      <w:r w:rsidR="00B42873">
        <w:rPr>
          <w:rFonts w:cs="Arial"/>
          <w:sz w:val="24"/>
          <w:szCs w:val="24"/>
        </w:rPr>
        <w:t>P</w:t>
      </w:r>
      <w:r>
        <w:rPr>
          <w:rFonts w:cs="Arial"/>
          <w:sz w:val="24"/>
          <w:szCs w:val="24"/>
        </w:rPr>
        <w:t xml:space="preserve">roducts </w:t>
      </w:r>
      <w:r w:rsidR="00B42873">
        <w:rPr>
          <w:rFonts w:cs="Arial"/>
          <w:sz w:val="24"/>
          <w:szCs w:val="24"/>
        </w:rPr>
        <w:t>F</w:t>
      </w:r>
      <w:r w:rsidRPr="00A51F5C">
        <w:rPr>
          <w:rFonts w:cs="Arial"/>
          <w:sz w:val="24"/>
          <w:szCs w:val="24"/>
        </w:rPr>
        <w:t xml:space="preserve">orum </w:t>
      </w:r>
      <w:r>
        <w:rPr>
          <w:rFonts w:cs="Arial"/>
          <w:sz w:val="24"/>
          <w:szCs w:val="24"/>
        </w:rPr>
        <w:t xml:space="preserve">in </w:t>
      </w:r>
      <w:r w:rsidRPr="00A51F5C">
        <w:rPr>
          <w:rFonts w:cs="Arial"/>
          <w:sz w:val="24"/>
          <w:szCs w:val="24"/>
        </w:rPr>
        <w:t xml:space="preserve">2019, where some recommended the issue be </w:t>
      </w:r>
      <w:r w:rsidRPr="00A51F5C">
        <w:rPr>
          <w:rFonts w:cs="Arial"/>
          <w:sz w:val="24"/>
          <w:szCs w:val="24"/>
        </w:rPr>
        <w:lastRenderedPageBreak/>
        <w:t>address</w:t>
      </w:r>
      <w:r>
        <w:rPr>
          <w:rFonts w:cs="Arial"/>
          <w:sz w:val="24"/>
          <w:szCs w:val="24"/>
        </w:rPr>
        <w:t>ed</w:t>
      </w:r>
      <w:r w:rsidRPr="00A51F5C">
        <w:rPr>
          <w:rFonts w:cs="Arial"/>
          <w:sz w:val="24"/>
          <w:szCs w:val="24"/>
        </w:rPr>
        <w:t xml:space="preserve"> in AS/NZS 4020 and not through changes to the </w:t>
      </w:r>
      <w:r>
        <w:rPr>
          <w:rFonts w:cs="Arial"/>
          <w:sz w:val="24"/>
          <w:szCs w:val="24"/>
        </w:rPr>
        <w:t>p</w:t>
      </w:r>
      <w:r w:rsidRPr="00A51F5C">
        <w:rPr>
          <w:rFonts w:cs="Arial"/>
          <w:sz w:val="24"/>
          <w:szCs w:val="24"/>
        </w:rPr>
        <w:t xml:space="preserve">roduct </w:t>
      </w:r>
      <w:r>
        <w:rPr>
          <w:rFonts w:cs="Arial"/>
          <w:sz w:val="24"/>
          <w:szCs w:val="24"/>
        </w:rPr>
        <w:t>s</w:t>
      </w:r>
      <w:r w:rsidRPr="00A51F5C">
        <w:rPr>
          <w:rFonts w:cs="Arial"/>
          <w:sz w:val="24"/>
          <w:szCs w:val="24"/>
        </w:rPr>
        <w:t xml:space="preserve">tandards. </w:t>
      </w:r>
      <w:r>
        <w:rPr>
          <w:rFonts w:cs="Arial"/>
          <w:sz w:val="24"/>
          <w:szCs w:val="24"/>
        </w:rPr>
        <w:t>They felt that c</w:t>
      </w:r>
      <w:r w:rsidRPr="00A51F5C">
        <w:rPr>
          <w:rFonts w:cs="Arial"/>
          <w:sz w:val="24"/>
          <w:szCs w:val="24"/>
        </w:rPr>
        <w:t xml:space="preserve">ompliance should follow European legislation and allow for material classifications to be tested against AS/NZS 4020. This would allow for a register of compliant materials and suppliers to be created. </w:t>
      </w:r>
      <w:r>
        <w:rPr>
          <w:rFonts w:cs="Arial"/>
          <w:sz w:val="24"/>
          <w:szCs w:val="24"/>
        </w:rPr>
        <w:t xml:space="preserve">They also supported </w:t>
      </w:r>
      <w:r w:rsidRPr="00A51F5C">
        <w:rPr>
          <w:rFonts w:cs="Arial"/>
          <w:sz w:val="24"/>
          <w:szCs w:val="24"/>
        </w:rPr>
        <w:t>additional amendments to AS/NZS</w:t>
      </w:r>
      <w:r>
        <w:rPr>
          <w:rFonts w:cs="Arial"/>
          <w:sz w:val="24"/>
          <w:szCs w:val="24"/>
        </w:rPr>
        <w:t> 4020</w:t>
      </w:r>
      <w:r w:rsidRPr="00A51F5C">
        <w:rPr>
          <w:rFonts w:cs="Arial"/>
          <w:sz w:val="24"/>
          <w:szCs w:val="24"/>
        </w:rPr>
        <w:t xml:space="preserve"> be made</w:t>
      </w:r>
      <w:r>
        <w:rPr>
          <w:rFonts w:cs="Arial"/>
          <w:sz w:val="24"/>
          <w:szCs w:val="24"/>
        </w:rPr>
        <w:t xml:space="preserve">, which is understood to </w:t>
      </w:r>
      <w:r w:rsidRPr="00A51F5C">
        <w:rPr>
          <w:rFonts w:cs="Arial"/>
          <w:sz w:val="24"/>
          <w:szCs w:val="24"/>
        </w:rPr>
        <w:t>relate to expanding the use and duration of</w:t>
      </w:r>
      <w:r w:rsidR="00B42873">
        <w:rPr>
          <w:rFonts w:cs="Arial"/>
          <w:sz w:val="24"/>
          <w:szCs w:val="24"/>
        </w:rPr>
        <w:t xml:space="preserve"> the standard’s</w:t>
      </w:r>
      <w:r w:rsidRPr="00A51F5C">
        <w:rPr>
          <w:rFonts w:cs="Arial"/>
          <w:sz w:val="24"/>
          <w:szCs w:val="24"/>
        </w:rPr>
        <w:t xml:space="preserve"> Test Methods E, F</w:t>
      </w:r>
      <w:r>
        <w:rPr>
          <w:rFonts w:cs="Arial"/>
          <w:sz w:val="24"/>
          <w:szCs w:val="24"/>
        </w:rPr>
        <w:t>, G</w:t>
      </w:r>
      <w:r w:rsidRPr="00A51F5C">
        <w:rPr>
          <w:rFonts w:cs="Arial"/>
          <w:sz w:val="24"/>
          <w:szCs w:val="24"/>
        </w:rPr>
        <w:t xml:space="preserve"> and </w:t>
      </w:r>
      <w:r>
        <w:rPr>
          <w:rFonts w:cs="Arial"/>
          <w:sz w:val="24"/>
          <w:szCs w:val="24"/>
        </w:rPr>
        <w:t>H.</w:t>
      </w:r>
    </w:p>
    <w:p w14:paraId="3440FEC4" w14:textId="45040366" w:rsidR="00442DC7" w:rsidRDefault="00442DC7" w:rsidP="00DA119A">
      <w:pPr>
        <w:spacing w:line="360" w:lineRule="auto"/>
        <w:jc w:val="both"/>
        <w:rPr>
          <w:rFonts w:cs="Arial"/>
          <w:sz w:val="24"/>
          <w:szCs w:val="24"/>
        </w:rPr>
      </w:pPr>
      <w:r>
        <w:rPr>
          <w:rFonts w:cs="Arial"/>
          <w:sz w:val="24"/>
          <w:szCs w:val="24"/>
        </w:rPr>
        <w:t>Other improvements suggested for AS/NZS 4020 included:</w:t>
      </w:r>
    </w:p>
    <w:p w14:paraId="3C7A67F7" w14:textId="77777777" w:rsidR="00442DC7" w:rsidRDefault="00442DC7" w:rsidP="00DA119A">
      <w:pPr>
        <w:pStyle w:val="ListParagraph"/>
        <w:numPr>
          <w:ilvl w:val="0"/>
          <w:numId w:val="45"/>
        </w:numPr>
        <w:spacing w:line="360" w:lineRule="auto"/>
        <w:jc w:val="both"/>
        <w:rPr>
          <w:rFonts w:cs="Arial"/>
          <w:sz w:val="24"/>
          <w:szCs w:val="24"/>
        </w:rPr>
      </w:pPr>
      <w:r>
        <w:rPr>
          <w:rFonts w:cs="Arial"/>
          <w:sz w:val="24"/>
          <w:szCs w:val="24"/>
        </w:rPr>
        <w:t>Well defined sampling procedures which are repeatable.</w:t>
      </w:r>
    </w:p>
    <w:p w14:paraId="3EF34280" w14:textId="77777777" w:rsidR="00442DC7" w:rsidRDefault="00442DC7" w:rsidP="00DA119A">
      <w:pPr>
        <w:pStyle w:val="ListParagraph"/>
        <w:numPr>
          <w:ilvl w:val="0"/>
          <w:numId w:val="45"/>
        </w:numPr>
        <w:spacing w:line="360" w:lineRule="auto"/>
        <w:jc w:val="both"/>
        <w:rPr>
          <w:rFonts w:cs="Arial"/>
          <w:sz w:val="24"/>
          <w:szCs w:val="24"/>
        </w:rPr>
      </w:pPr>
      <w:r>
        <w:rPr>
          <w:rFonts w:cs="Arial"/>
          <w:sz w:val="24"/>
          <w:szCs w:val="24"/>
        </w:rPr>
        <w:t>Quality control and random sample batch testing.</w:t>
      </w:r>
    </w:p>
    <w:p w14:paraId="154B0530" w14:textId="77777777" w:rsidR="00442DC7" w:rsidRDefault="00442DC7" w:rsidP="00DA119A">
      <w:pPr>
        <w:pStyle w:val="ListParagraph"/>
        <w:numPr>
          <w:ilvl w:val="0"/>
          <w:numId w:val="45"/>
        </w:numPr>
        <w:spacing w:line="360" w:lineRule="auto"/>
        <w:jc w:val="both"/>
        <w:rPr>
          <w:rFonts w:cs="Arial"/>
          <w:sz w:val="24"/>
          <w:szCs w:val="24"/>
        </w:rPr>
      </w:pPr>
      <w:r>
        <w:rPr>
          <w:rFonts w:cs="Arial"/>
          <w:sz w:val="24"/>
          <w:szCs w:val="24"/>
        </w:rPr>
        <w:t>Mandatory product rinsing requirements.</w:t>
      </w:r>
    </w:p>
    <w:p w14:paraId="7A12D05C" w14:textId="77777777" w:rsidR="00442DC7" w:rsidRDefault="00442DC7" w:rsidP="00DA119A">
      <w:pPr>
        <w:pStyle w:val="ListParagraph"/>
        <w:numPr>
          <w:ilvl w:val="0"/>
          <w:numId w:val="45"/>
        </w:numPr>
        <w:spacing w:line="360" w:lineRule="auto"/>
        <w:jc w:val="both"/>
        <w:rPr>
          <w:rFonts w:cs="Arial"/>
          <w:sz w:val="24"/>
          <w:szCs w:val="24"/>
        </w:rPr>
      </w:pPr>
      <w:r>
        <w:rPr>
          <w:rFonts w:cs="Arial"/>
          <w:sz w:val="24"/>
          <w:szCs w:val="24"/>
        </w:rPr>
        <w:t>Reverse uncertainty factors.</w:t>
      </w:r>
    </w:p>
    <w:p w14:paraId="3ED05607" w14:textId="77777777" w:rsidR="00442DC7" w:rsidRDefault="00442DC7" w:rsidP="00DA119A">
      <w:pPr>
        <w:pStyle w:val="ListParagraph"/>
        <w:numPr>
          <w:ilvl w:val="0"/>
          <w:numId w:val="45"/>
        </w:numPr>
        <w:spacing w:line="360" w:lineRule="auto"/>
        <w:jc w:val="both"/>
        <w:rPr>
          <w:rFonts w:cs="Arial"/>
          <w:sz w:val="24"/>
          <w:szCs w:val="24"/>
        </w:rPr>
      </w:pPr>
      <w:r>
        <w:rPr>
          <w:rFonts w:cs="Arial"/>
          <w:sz w:val="24"/>
          <w:szCs w:val="24"/>
        </w:rPr>
        <w:t xml:space="preserve">Lowering the permissible lead content to account for background levels of lead. </w:t>
      </w:r>
    </w:p>
    <w:p w14:paraId="59812714" w14:textId="77777777" w:rsidR="00442DC7" w:rsidRPr="002207A1" w:rsidRDefault="00442DC7" w:rsidP="00DA119A">
      <w:pPr>
        <w:pStyle w:val="ListParagraph"/>
        <w:numPr>
          <w:ilvl w:val="0"/>
          <w:numId w:val="45"/>
        </w:numPr>
        <w:spacing w:line="360" w:lineRule="auto"/>
        <w:jc w:val="both"/>
        <w:rPr>
          <w:rFonts w:cs="Arial"/>
          <w:sz w:val="24"/>
          <w:szCs w:val="24"/>
        </w:rPr>
      </w:pPr>
      <w:r w:rsidRPr="00520803">
        <w:rPr>
          <w:rFonts w:cs="Arial"/>
          <w:sz w:val="24"/>
          <w:szCs w:val="24"/>
        </w:rPr>
        <w:t>Aligning product testing and compliance requirements with in-field, water sampling testing and guidelines to remove interpretation and comparison error</w:t>
      </w:r>
      <w:r>
        <w:rPr>
          <w:rFonts w:cs="Arial"/>
          <w:sz w:val="24"/>
          <w:szCs w:val="24"/>
        </w:rPr>
        <w:t>.</w:t>
      </w:r>
    </w:p>
    <w:p w14:paraId="051B5BE3" w14:textId="27BC2518" w:rsidR="00442DC7" w:rsidRDefault="00442DC7" w:rsidP="00DA119A">
      <w:pPr>
        <w:spacing w:line="360" w:lineRule="auto"/>
        <w:jc w:val="both"/>
        <w:rPr>
          <w:rFonts w:eastAsiaTheme="majorEastAsia"/>
          <w:color w:val="002060"/>
          <w:sz w:val="40"/>
          <w:szCs w:val="28"/>
        </w:rPr>
      </w:pPr>
      <w:r>
        <w:rPr>
          <w:rFonts w:cs="Arial"/>
          <w:sz w:val="24"/>
          <w:szCs w:val="24"/>
        </w:rPr>
        <w:t>There appears to be strong support for a future review of AS/NZS 4020. This could include the testing requirements and threshold values for lead and other hazards currently specified by the Standard. Other changes may complement or support the other options under consideration,</w:t>
      </w:r>
      <w:bookmarkEnd w:id="242"/>
      <w:r>
        <w:rPr>
          <w:rFonts w:cs="Arial"/>
          <w:sz w:val="24"/>
          <w:szCs w:val="24"/>
        </w:rPr>
        <w:t xml:space="preserve"> subject to further regulatory analysis and consultation. </w:t>
      </w:r>
    </w:p>
    <w:p w14:paraId="05A0C8D1" w14:textId="77777777" w:rsidR="00442DC7" w:rsidRDefault="00442DC7" w:rsidP="00DA119A">
      <w:pPr>
        <w:rPr>
          <w:rFonts w:eastAsiaTheme="majorEastAsia" w:cs="Arial"/>
          <w:color w:val="002060"/>
          <w:sz w:val="40"/>
          <w:szCs w:val="28"/>
        </w:rPr>
      </w:pPr>
      <w:r>
        <w:rPr>
          <w:rFonts w:cs="Arial"/>
          <w:b/>
          <w:bCs/>
        </w:rPr>
        <w:br w:type="page"/>
      </w:r>
    </w:p>
    <w:p w14:paraId="0444B9FE" w14:textId="77777777" w:rsidR="00442DC7" w:rsidRPr="000B675B" w:rsidRDefault="00442DC7" w:rsidP="000B675B">
      <w:pPr>
        <w:pStyle w:val="Heading1"/>
        <w:spacing w:after="240"/>
        <w:rPr>
          <w:rFonts w:ascii="Arial" w:hAnsi="Arial" w:cs="Arial"/>
          <w:b w:val="0"/>
          <w:bCs w:val="0"/>
        </w:rPr>
      </w:pPr>
      <w:bookmarkStart w:id="243" w:name="_Toc71195751"/>
      <w:bookmarkStart w:id="244" w:name="_Toc71789278"/>
      <w:r w:rsidRPr="000B675B">
        <w:rPr>
          <w:rFonts w:ascii="Arial" w:hAnsi="Arial" w:cs="Arial"/>
          <w:b w:val="0"/>
          <w:bCs w:val="0"/>
        </w:rPr>
        <w:lastRenderedPageBreak/>
        <w:t>Impact Analysis</w:t>
      </w:r>
      <w:bookmarkEnd w:id="243"/>
      <w:bookmarkEnd w:id="244"/>
      <w:r w:rsidRPr="000B675B">
        <w:rPr>
          <w:rFonts w:ascii="Arial" w:hAnsi="Arial" w:cs="Arial"/>
          <w:b w:val="0"/>
          <w:bCs w:val="0"/>
        </w:rPr>
        <w:t xml:space="preserve"> </w:t>
      </w:r>
    </w:p>
    <w:p w14:paraId="5BA0045D" w14:textId="77777777" w:rsidR="00442DC7" w:rsidRDefault="00442DC7" w:rsidP="00397754">
      <w:pPr>
        <w:spacing w:line="360" w:lineRule="auto"/>
        <w:jc w:val="both"/>
        <w:rPr>
          <w:rFonts w:cs="Arial"/>
          <w:sz w:val="24"/>
          <w:szCs w:val="24"/>
        </w:rPr>
      </w:pPr>
      <w:r w:rsidRPr="00417057">
        <w:rPr>
          <w:rFonts w:cs="Arial"/>
          <w:sz w:val="24"/>
          <w:szCs w:val="24"/>
        </w:rPr>
        <w:t xml:space="preserve">This section provides an assessment of the incremental costs and benefits associated with </w:t>
      </w:r>
      <w:r>
        <w:rPr>
          <w:rFonts w:cs="Arial"/>
          <w:sz w:val="24"/>
          <w:szCs w:val="24"/>
        </w:rPr>
        <w:t>Option 2 and Option 3</w:t>
      </w:r>
      <w:r w:rsidRPr="00417057">
        <w:rPr>
          <w:rFonts w:cs="Arial"/>
          <w:sz w:val="24"/>
          <w:szCs w:val="24"/>
        </w:rPr>
        <w:t xml:space="preserve"> when compared with the status quo baseline. </w:t>
      </w:r>
    </w:p>
    <w:p w14:paraId="2017A6C8" w14:textId="77777777" w:rsidR="00442DC7" w:rsidRPr="00514E77" w:rsidRDefault="00442DC7" w:rsidP="00DA119A">
      <w:pPr>
        <w:pStyle w:val="Heading2"/>
        <w:rPr>
          <w:rFonts w:ascii="Arial" w:hAnsi="Arial" w:cs="Arial"/>
          <w:b w:val="0"/>
          <w:bCs w:val="0"/>
          <w:szCs w:val="28"/>
        </w:rPr>
      </w:pPr>
      <w:bookmarkStart w:id="245" w:name="_Toc47287768"/>
      <w:bookmarkStart w:id="246" w:name="_Toc47287909"/>
      <w:bookmarkStart w:id="247" w:name="_Toc71789279"/>
      <w:r w:rsidRPr="00514E77">
        <w:rPr>
          <w:rFonts w:ascii="Arial" w:hAnsi="Arial" w:cs="Arial"/>
          <w:b w:val="0"/>
          <w:bCs w:val="0"/>
          <w:szCs w:val="28"/>
        </w:rPr>
        <w:t>Option 1: Retain the status quo</w:t>
      </w:r>
      <w:bookmarkEnd w:id="245"/>
      <w:bookmarkEnd w:id="246"/>
      <w:bookmarkEnd w:id="247"/>
    </w:p>
    <w:p w14:paraId="466609B8" w14:textId="77777777" w:rsidR="00442DC7" w:rsidRPr="00FB4B0F" w:rsidRDefault="00442DC7" w:rsidP="005B64C7">
      <w:pPr>
        <w:spacing w:before="240" w:after="0"/>
        <w:jc w:val="both"/>
        <w:rPr>
          <w:sz w:val="24"/>
          <w:szCs w:val="24"/>
        </w:rPr>
      </w:pPr>
      <w:r w:rsidRPr="00FB4B0F">
        <w:rPr>
          <w:sz w:val="24"/>
          <w:szCs w:val="24"/>
        </w:rPr>
        <w:t>The impacts of the status quo are those reflected in the problem section of this RIS:</w:t>
      </w:r>
    </w:p>
    <w:p w14:paraId="538FA11F" w14:textId="77777777" w:rsidR="00442DC7" w:rsidRPr="00FB4B0F" w:rsidRDefault="00442DC7" w:rsidP="00DA119A">
      <w:pPr>
        <w:spacing w:after="0"/>
        <w:jc w:val="both"/>
        <w:rPr>
          <w:sz w:val="24"/>
          <w:szCs w:val="24"/>
        </w:rPr>
      </w:pPr>
    </w:p>
    <w:p w14:paraId="482514D4" w14:textId="77777777" w:rsidR="00442DC7" w:rsidRPr="00FB4B0F" w:rsidRDefault="00442DC7" w:rsidP="00DA119A">
      <w:pPr>
        <w:pStyle w:val="ListParagraph"/>
        <w:numPr>
          <w:ilvl w:val="0"/>
          <w:numId w:val="15"/>
        </w:numPr>
        <w:spacing w:after="0" w:line="360" w:lineRule="auto"/>
        <w:ind w:left="714" w:hanging="357"/>
        <w:jc w:val="both"/>
        <w:rPr>
          <w:sz w:val="24"/>
          <w:szCs w:val="24"/>
        </w:rPr>
      </w:pPr>
      <w:r w:rsidRPr="00FB4B0F">
        <w:rPr>
          <w:sz w:val="24"/>
          <w:szCs w:val="24"/>
        </w:rPr>
        <w:t xml:space="preserve">Plumbing products in contact with drinking water will continue to be allowed to contain small amounts of lead (up to </w:t>
      </w:r>
      <w:r>
        <w:rPr>
          <w:sz w:val="24"/>
          <w:szCs w:val="24"/>
        </w:rPr>
        <w:t>6</w:t>
      </w:r>
      <w:r w:rsidRPr="00FB4B0F">
        <w:rPr>
          <w:sz w:val="24"/>
          <w:szCs w:val="24"/>
        </w:rPr>
        <w:t>% lead for some products).</w:t>
      </w:r>
    </w:p>
    <w:p w14:paraId="519CD870" w14:textId="77777777" w:rsidR="00442DC7" w:rsidRPr="00FB4B0F" w:rsidRDefault="00442DC7" w:rsidP="00DA119A">
      <w:pPr>
        <w:pStyle w:val="ListParagraph"/>
        <w:numPr>
          <w:ilvl w:val="0"/>
          <w:numId w:val="15"/>
        </w:numPr>
        <w:spacing w:after="120" w:line="360" w:lineRule="auto"/>
        <w:jc w:val="both"/>
        <w:rPr>
          <w:sz w:val="24"/>
          <w:szCs w:val="24"/>
        </w:rPr>
      </w:pPr>
      <w:r w:rsidRPr="00FB4B0F">
        <w:rPr>
          <w:sz w:val="24"/>
          <w:szCs w:val="24"/>
        </w:rPr>
        <w:t xml:space="preserve">Instances of lead levels above those permitted by AS/NZS 4020 </w:t>
      </w:r>
      <w:r>
        <w:rPr>
          <w:sz w:val="24"/>
          <w:szCs w:val="24"/>
        </w:rPr>
        <w:t xml:space="preserve">will also likely </w:t>
      </w:r>
      <w:r w:rsidRPr="00FB4B0F">
        <w:rPr>
          <w:sz w:val="24"/>
          <w:szCs w:val="24"/>
        </w:rPr>
        <w:t xml:space="preserve">continue to occur. </w:t>
      </w:r>
    </w:p>
    <w:p w14:paraId="09282F36" w14:textId="2BC6186F" w:rsidR="00442DC7" w:rsidRDefault="00442DC7" w:rsidP="00DA119A">
      <w:pPr>
        <w:spacing w:after="240" w:line="360" w:lineRule="auto"/>
        <w:jc w:val="both"/>
        <w:rPr>
          <w:sz w:val="24"/>
          <w:szCs w:val="24"/>
        </w:rPr>
      </w:pPr>
      <w:r w:rsidRPr="00FB4B0F">
        <w:rPr>
          <w:sz w:val="24"/>
          <w:szCs w:val="24"/>
        </w:rPr>
        <w:t xml:space="preserve">The status quo will be regarded as the baseline. Where the incremental impacts of each option result in a net cost, the status quo will be recommended. </w:t>
      </w:r>
    </w:p>
    <w:p w14:paraId="327DDDDE" w14:textId="462E01D2" w:rsidR="00442DC7" w:rsidRPr="00514E77" w:rsidRDefault="00442DC7" w:rsidP="00DA119A">
      <w:pPr>
        <w:spacing w:line="360" w:lineRule="auto"/>
        <w:jc w:val="both"/>
        <w:rPr>
          <w:rFonts w:cs="Arial"/>
          <w:sz w:val="24"/>
          <w:szCs w:val="24"/>
        </w:rPr>
      </w:pPr>
      <w:r w:rsidRPr="00514E77">
        <w:rPr>
          <w:rFonts w:cs="Arial"/>
          <w:sz w:val="24"/>
          <w:szCs w:val="24"/>
        </w:rPr>
        <w:t xml:space="preserve">Enware’s submission suggested the regulatory burden and current issues associated with enforcing compliance with Watermark </w:t>
      </w:r>
      <w:r>
        <w:rPr>
          <w:rFonts w:cs="Arial"/>
          <w:sz w:val="24"/>
          <w:szCs w:val="24"/>
        </w:rPr>
        <w:t>product specifications</w:t>
      </w:r>
      <w:r w:rsidRPr="00514E77">
        <w:rPr>
          <w:rFonts w:cs="Arial"/>
          <w:sz w:val="24"/>
          <w:szCs w:val="24"/>
        </w:rPr>
        <w:t xml:space="preserve"> is overlooked</w:t>
      </w:r>
      <w:r>
        <w:rPr>
          <w:rFonts w:cs="Arial"/>
          <w:sz w:val="24"/>
          <w:szCs w:val="24"/>
        </w:rPr>
        <w:t xml:space="preserve"> as part of the status quo</w:t>
      </w:r>
      <w:r w:rsidRPr="00514E77">
        <w:rPr>
          <w:rFonts w:cs="Arial"/>
          <w:sz w:val="24"/>
          <w:szCs w:val="24"/>
        </w:rPr>
        <w:t xml:space="preserve">. Lowering lead content in plumbing products will require enforcement during certification and possibly at point of sale, also regular auditing will be required to ensure products produced meet the same high standards as the samples provided for certification. In their opinion, it is difficult to envisage how the regulatory burden can be balanced with ensuring all installed product becomes compliant, the cost of enforcement will be significant. </w:t>
      </w:r>
    </w:p>
    <w:p w14:paraId="21B56B33" w14:textId="21DA6DB6" w:rsidR="00442DC7" w:rsidRDefault="00442DC7" w:rsidP="00DA119A">
      <w:pPr>
        <w:spacing w:line="360" w:lineRule="auto"/>
        <w:jc w:val="both"/>
        <w:rPr>
          <w:rFonts w:cs="Arial"/>
          <w:sz w:val="24"/>
          <w:szCs w:val="24"/>
        </w:rPr>
      </w:pPr>
      <w:r w:rsidRPr="00514E77">
        <w:rPr>
          <w:rFonts w:cs="Arial"/>
          <w:sz w:val="24"/>
          <w:szCs w:val="24"/>
        </w:rPr>
        <w:t>Cost-benefit analysis typically assumes full compliance with existing mandatory schemes unless there are strong reasons not too. Imported plumbing products and materials for use in contact with drinking water must obtain WaterMark Certification. However, it is acknowledged that the effectiveness of the policy change will be influenced by the extent it is enforced by State and Territory authorities and enforcement of the existing WMC</w:t>
      </w:r>
      <w:r w:rsidRPr="001F2ECA">
        <w:rPr>
          <w:rFonts w:cs="Arial"/>
          <w:sz w:val="24"/>
          <w:szCs w:val="24"/>
        </w:rPr>
        <w:t xml:space="preserve">S. </w:t>
      </w:r>
      <w:r w:rsidRPr="008734AE">
        <w:rPr>
          <w:rFonts w:cs="Arial"/>
          <w:sz w:val="24"/>
          <w:szCs w:val="24"/>
        </w:rPr>
        <w:t>In this regard, the cost of enforcement is expected to be the same as that required under the status quo.</w:t>
      </w:r>
      <w:r>
        <w:rPr>
          <w:rFonts w:cs="Arial"/>
          <w:sz w:val="24"/>
          <w:szCs w:val="24"/>
        </w:rPr>
        <w:t xml:space="preserve"> See </w:t>
      </w:r>
      <w:r w:rsidR="005B64C7">
        <w:rPr>
          <w:rFonts w:cs="Arial"/>
          <w:sz w:val="24"/>
          <w:szCs w:val="24"/>
        </w:rPr>
        <w:t>section E</w:t>
      </w:r>
      <w:r>
        <w:rPr>
          <w:rFonts w:cs="Arial"/>
          <w:sz w:val="24"/>
          <w:szCs w:val="24"/>
        </w:rPr>
        <w:t>nforcement for more details.</w:t>
      </w:r>
    </w:p>
    <w:p w14:paraId="69A42BC5" w14:textId="77777777" w:rsidR="00442DC7" w:rsidRPr="00E03356" w:rsidRDefault="00442DC7" w:rsidP="00DA119A">
      <w:pPr>
        <w:spacing w:after="240" w:line="360" w:lineRule="auto"/>
        <w:jc w:val="both"/>
        <w:rPr>
          <w:sz w:val="24"/>
          <w:szCs w:val="24"/>
        </w:rPr>
      </w:pPr>
    </w:p>
    <w:p w14:paraId="65A7DB05" w14:textId="77777777" w:rsidR="00442DC7" w:rsidRPr="00514E77" w:rsidRDefault="00442DC7" w:rsidP="00DA119A">
      <w:pPr>
        <w:pStyle w:val="Heading2"/>
        <w:rPr>
          <w:rFonts w:ascii="Arial" w:hAnsi="Arial" w:cs="Arial"/>
          <w:b w:val="0"/>
          <w:bCs w:val="0"/>
          <w:szCs w:val="28"/>
        </w:rPr>
      </w:pPr>
      <w:bookmarkStart w:id="248" w:name="_Toc47287769"/>
      <w:bookmarkStart w:id="249" w:name="_Toc47287910"/>
      <w:bookmarkStart w:id="250" w:name="_Toc71789280"/>
      <w:r w:rsidRPr="00514E77">
        <w:rPr>
          <w:rFonts w:ascii="Arial" w:hAnsi="Arial" w:cs="Arial"/>
          <w:b w:val="0"/>
          <w:bCs w:val="0"/>
          <w:szCs w:val="28"/>
        </w:rPr>
        <w:lastRenderedPageBreak/>
        <w:t>Option 2: Require all products in contact with drinking water to contain a maximum lead content of 0.25%.</w:t>
      </w:r>
      <w:bookmarkEnd w:id="248"/>
      <w:bookmarkEnd w:id="249"/>
      <w:bookmarkEnd w:id="250"/>
      <w:r w:rsidRPr="00514E77">
        <w:rPr>
          <w:rFonts w:ascii="Arial" w:hAnsi="Arial" w:cs="Arial"/>
          <w:b w:val="0"/>
          <w:bCs w:val="0"/>
          <w:szCs w:val="28"/>
        </w:rPr>
        <w:t xml:space="preserve"> </w:t>
      </w:r>
    </w:p>
    <w:p w14:paraId="738A35B1" w14:textId="77777777" w:rsidR="00442DC7" w:rsidRPr="00773145" w:rsidRDefault="00442DC7" w:rsidP="00DA119A">
      <w:pPr>
        <w:pStyle w:val="Heading3"/>
        <w:rPr>
          <w:rFonts w:ascii="Arial" w:hAnsi="Arial" w:cs="Arial"/>
          <w:b w:val="0"/>
          <w:bCs w:val="0"/>
          <w:szCs w:val="28"/>
        </w:rPr>
      </w:pPr>
      <w:r w:rsidRPr="00773145">
        <w:rPr>
          <w:rFonts w:ascii="Arial" w:hAnsi="Arial" w:cs="Arial"/>
          <w:b w:val="0"/>
          <w:bCs w:val="0"/>
          <w:szCs w:val="28"/>
        </w:rPr>
        <w:t>Costs</w:t>
      </w:r>
    </w:p>
    <w:p w14:paraId="183AB034" w14:textId="77777777" w:rsidR="00442DC7" w:rsidRDefault="00442DC7" w:rsidP="005B64C7">
      <w:pPr>
        <w:spacing w:before="240" w:after="120" w:line="360" w:lineRule="auto"/>
        <w:jc w:val="both"/>
        <w:rPr>
          <w:sz w:val="24"/>
          <w:szCs w:val="24"/>
        </w:rPr>
      </w:pPr>
      <w:r w:rsidRPr="006251DB">
        <w:rPr>
          <w:sz w:val="24"/>
          <w:szCs w:val="24"/>
        </w:rPr>
        <w:t xml:space="preserve">The costs of Option 2 are difficult to quantify. </w:t>
      </w:r>
      <w:r>
        <w:rPr>
          <w:sz w:val="24"/>
          <w:szCs w:val="24"/>
        </w:rPr>
        <w:t xml:space="preserve">There are a number of product categories impacted by this option and within each product category exists a subset of many product types which range in size and value. </w:t>
      </w:r>
    </w:p>
    <w:p w14:paraId="1E8679C2" w14:textId="189DC794" w:rsidR="00442DC7" w:rsidRDefault="00442DC7" w:rsidP="00DA119A">
      <w:pPr>
        <w:spacing w:after="120" w:line="360" w:lineRule="auto"/>
        <w:jc w:val="both"/>
        <w:rPr>
          <w:sz w:val="24"/>
          <w:szCs w:val="24"/>
        </w:rPr>
      </w:pPr>
      <w:r>
        <w:rPr>
          <w:sz w:val="24"/>
          <w:szCs w:val="24"/>
        </w:rPr>
        <w:t xml:space="preserve">The product categories and annual sales are </w:t>
      </w:r>
      <w:r w:rsidRPr="00F31EF6">
        <w:rPr>
          <w:sz w:val="24"/>
          <w:szCs w:val="24"/>
        </w:rPr>
        <w:t xml:space="preserve">shown in </w:t>
      </w:r>
      <w:r>
        <w:rPr>
          <w:sz w:val="24"/>
          <w:szCs w:val="24"/>
        </w:rPr>
        <w:t>Table 12.</w:t>
      </w:r>
    </w:p>
    <w:p w14:paraId="73570C1D" w14:textId="4940C1C7" w:rsidR="00442DC7" w:rsidRDefault="00442DC7" w:rsidP="00DA119A">
      <w:pPr>
        <w:pStyle w:val="Caption"/>
      </w:pPr>
      <w:bookmarkStart w:id="251" w:name="_Toc73091870"/>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12</w:t>
      </w:r>
      <w:r w:rsidR="00362D62">
        <w:rPr>
          <w:noProof/>
        </w:rPr>
        <w:fldChar w:fldCharType="end"/>
      </w:r>
      <w:r w:rsidRPr="00D35664">
        <w:t>: Product categories and annual sales</w:t>
      </w:r>
      <w:bookmarkEnd w:id="251"/>
    </w:p>
    <w:tbl>
      <w:tblPr>
        <w:tblStyle w:val="TableGrid"/>
        <w:tblW w:w="0" w:type="auto"/>
        <w:tblLook w:val="04A0" w:firstRow="1" w:lastRow="0" w:firstColumn="1" w:lastColumn="0" w:noHBand="0" w:noVBand="1"/>
        <w:tblCaption w:val="Table 11: Product categories and annual sales"/>
        <w:tblDescription w:val="This table provides a break-down of total copper alloy plumbing products sold annually, by category. "/>
      </w:tblPr>
      <w:tblGrid>
        <w:gridCol w:w="4390"/>
        <w:gridCol w:w="4394"/>
      </w:tblGrid>
      <w:tr w:rsidR="00442DC7" w:rsidRPr="000F113D" w14:paraId="5CBC1B87" w14:textId="77777777" w:rsidTr="00C21D51">
        <w:trPr>
          <w:tblHeader/>
        </w:trPr>
        <w:tc>
          <w:tcPr>
            <w:tcW w:w="4390" w:type="dxa"/>
            <w:shd w:val="clear" w:color="auto" w:fill="002060"/>
          </w:tcPr>
          <w:p w14:paraId="34CD7A0F" w14:textId="77777777" w:rsidR="00442DC7" w:rsidRPr="00606555" w:rsidRDefault="00442DC7" w:rsidP="005B64C7">
            <w:pPr>
              <w:spacing w:before="120" w:after="120"/>
              <w:jc w:val="center"/>
              <w:rPr>
                <w:rFonts w:cs="Arial"/>
                <w:bCs/>
                <w:iCs/>
                <w:color w:val="FFFFFF" w:themeColor="background1"/>
                <w:sz w:val="24"/>
                <w:szCs w:val="24"/>
              </w:rPr>
            </w:pPr>
            <w:r w:rsidRPr="00606555">
              <w:rPr>
                <w:rFonts w:cs="Arial"/>
                <w:bCs/>
                <w:iCs/>
                <w:sz w:val="24"/>
                <w:szCs w:val="24"/>
              </w:rPr>
              <w:t>Product type</w:t>
            </w:r>
          </w:p>
        </w:tc>
        <w:tc>
          <w:tcPr>
            <w:tcW w:w="4394" w:type="dxa"/>
            <w:shd w:val="clear" w:color="auto" w:fill="002060"/>
          </w:tcPr>
          <w:p w14:paraId="49D07242" w14:textId="77777777" w:rsidR="00442DC7" w:rsidRPr="00606555" w:rsidRDefault="00442DC7" w:rsidP="005B64C7">
            <w:pPr>
              <w:spacing w:before="120" w:after="120"/>
              <w:jc w:val="center"/>
              <w:rPr>
                <w:rFonts w:cs="Arial"/>
                <w:bCs/>
                <w:iCs/>
                <w:sz w:val="24"/>
                <w:szCs w:val="24"/>
              </w:rPr>
            </w:pPr>
            <w:r w:rsidRPr="00606555">
              <w:rPr>
                <w:rFonts w:cs="Arial"/>
                <w:bCs/>
                <w:iCs/>
                <w:sz w:val="24"/>
                <w:szCs w:val="24"/>
              </w:rPr>
              <w:t>Units (annual sales)</w:t>
            </w:r>
          </w:p>
        </w:tc>
      </w:tr>
      <w:tr w:rsidR="00442DC7" w:rsidRPr="000F113D" w14:paraId="2554E96E" w14:textId="77777777" w:rsidTr="006212B6">
        <w:tc>
          <w:tcPr>
            <w:tcW w:w="4390" w:type="dxa"/>
          </w:tcPr>
          <w:p w14:paraId="3778E3CF" w14:textId="77777777" w:rsidR="00442DC7" w:rsidRPr="00606555" w:rsidRDefault="00442DC7" w:rsidP="005B64C7">
            <w:pPr>
              <w:spacing w:before="120" w:after="120"/>
              <w:rPr>
                <w:rFonts w:cs="Arial"/>
                <w:bCs/>
                <w:iCs/>
                <w:sz w:val="24"/>
                <w:szCs w:val="24"/>
              </w:rPr>
            </w:pPr>
            <w:r w:rsidRPr="00606555">
              <w:rPr>
                <w:sz w:val="24"/>
                <w:szCs w:val="24"/>
              </w:rPr>
              <w:t>Fittings</w:t>
            </w:r>
          </w:p>
        </w:tc>
        <w:tc>
          <w:tcPr>
            <w:tcW w:w="4394" w:type="dxa"/>
          </w:tcPr>
          <w:p w14:paraId="33C846E7" w14:textId="77777777" w:rsidR="00442DC7" w:rsidRPr="00606555" w:rsidRDefault="00442DC7" w:rsidP="005B64C7">
            <w:pPr>
              <w:spacing w:before="120" w:after="120"/>
              <w:jc w:val="center"/>
              <w:rPr>
                <w:rFonts w:cs="Arial"/>
                <w:bCs/>
                <w:iCs/>
                <w:sz w:val="24"/>
                <w:szCs w:val="24"/>
              </w:rPr>
            </w:pPr>
            <w:r w:rsidRPr="00606555">
              <w:rPr>
                <w:sz w:val="24"/>
                <w:szCs w:val="24"/>
              </w:rPr>
              <w:t>45 million</w:t>
            </w:r>
          </w:p>
        </w:tc>
      </w:tr>
      <w:tr w:rsidR="00442DC7" w:rsidRPr="000F113D" w14:paraId="7CD6A252" w14:textId="77777777" w:rsidTr="006212B6">
        <w:tc>
          <w:tcPr>
            <w:tcW w:w="4390" w:type="dxa"/>
          </w:tcPr>
          <w:p w14:paraId="458BEED0" w14:textId="77777777" w:rsidR="00442DC7" w:rsidRPr="00606555" w:rsidRDefault="00442DC7" w:rsidP="005B64C7">
            <w:pPr>
              <w:spacing w:before="120" w:after="120"/>
              <w:rPr>
                <w:rFonts w:cs="Arial"/>
                <w:bCs/>
                <w:iCs/>
                <w:sz w:val="24"/>
                <w:szCs w:val="24"/>
              </w:rPr>
            </w:pPr>
            <w:r w:rsidRPr="00606555">
              <w:rPr>
                <w:sz w:val="24"/>
                <w:szCs w:val="24"/>
              </w:rPr>
              <w:t>Valves</w:t>
            </w:r>
          </w:p>
        </w:tc>
        <w:tc>
          <w:tcPr>
            <w:tcW w:w="4394" w:type="dxa"/>
          </w:tcPr>
          <w:p w14:paraId="245570D7" w14:textId="77777777" w:rsidR="00442DC7" w:rsidRPr="00606555" w:rsidRDefault="00442DC7" w:rsidP="005B64C7">
            <w:pPr>
              <w:spacing w:before="120" w:after="120"/>
              <w:jc w:val="center"/>
              <w:rPr>
                <w:rFonts w:cs="Arial"/>
                <w:bCs/>
                <w:iCs/>
                <w:sz w:val="24"/>
                <w:szCs w:val="24"/>
              </w:rPr>
            </w:pPr>
            <w:r w:rsidRPr="00606555">
              <w:rPr>
                <w:sz w:val="24"/>
                <w:szCs w:val="24"/>
              </w:rPr>
              <w:t>13 million</w:t>
            </w:r>
          </w:p>
        </w:tc>
      </w:tr>
      <w:tr w:rsidR="00442DC7" w:rsidRPr="000F113D" w14:paraId="508DDFC2" w14:textId="77777777" w:rsidTr="006212B6">
        <w:tc>
          <w:tcPr>
            <w:tcW w:w="4390" w:type="dxa"/>
          </w:tcPr>
          <w:p w14:paraId="511E2929" w14:textId="77777777" w:rsidR="00442DC7" w:rsidRPr="00606555" w:rsidRDefault="00442DC7" w:rsidP="005B64C7">
            <w:pPr>
              <w:spacing w:before="120" w:after="120"/>
              <w:rPr>
                <w:rFonts w:cs="Arial"/>
                <w:bCs/>
                <w:iCs/>
                <w:sz w:val="24"/>
                <w:szCs w:val="24"/>
              </w:rPr>
            </w:pPr>
            <w:r>
              <w:rPr>
                <w:sz w:val="24"/>
                <w:szCs w:val="24"/>
              </w:rPr>
              <w:t>Fittings of s</w:t>
            </w:r>
            <w:r w:rsidRPr="00606555">
              <w:rPr>
                <w:sz w:val="24"/>
                <w:szCs w:val="24"/>
              </w:rPr>
              <w:t>tainless-steel braided hoses</w:t>
            </w:r>
          </w:p>
        </w:tc>
        <w:tc>
          <w:tcPr>
            <w:tcW w:w="4394" w:type="dxa"/>
          </w:tcPr>
          <w:p w14:paraId="0D1DF006" w14:textId="77777777" w:rsidR="00442DC7" w:rsidRPr="00606555" w:rsidRDefault="00442DC7" w:rsidP="005B64C7">
            <w:pPr>
              <w:spacing w:before="120" w:after="120"/>
              <w:jc w:val="center"/>
              <w:rPr>
                <w:rFonts w:cs="Arial"/>
                <w:bCs/>
                <w:iCs/>
                <w:sz w:val="24"/>
                <w:szCs w:val="24"/>
              </w:rPr>
            </w:pPr>
            <w:r w:rsidRPr="00606555">
              <w:rPr>
                <w:sz w:val="24"/>
                <w:szCs w:val="24"/>
              </w:rPr>
              <w:t>12 million</w:t>
            </w:r>
          </w:p>
        </w:tc>
      </w:tr>
      <w:tr w:rsidR="00442DC7" w:rsidRPr="000F113D" w14:paraId="10E5D7B3" w14:textId="77777777" w:rsidTr="006212B6">
        <w:tc>
          <w:tcPr>
            <w:tcW w:w="4390" w:type="dxa"/>
          </w:tcPr>
          <w:p w14:paraId="6DCDFD8D" w14:textId="77777777" w:rsidR="00442DC7" w:rsidRPr="00606555" w:rsidRDefault="00442DC7" w:rsidP="005B64C7">
            <w:pPr>
              <w:spacing w:before="120" w:after="120"/>
              <w:rPr>
                <w:rFonts w:cs="Arial"/>
                <w:bCs/>
                <w:iCs/>
                <w:sz w:val="24"/>
                <w:szCs w:val="24"/>
              </w:rPr>
            </w:pPr>
            <w:r w:rsidRPr="00606555">
              <w:rPr>
                <w:sz w:val="24"/>
                <w:szCs w:val="24"/>
              </w:rPr>
              <w:t>Taps</w:t>
            </w:r>
          </w:p>
        </w:tc>
        <w:tc>
          <w:tcPr>
            <w:tcW w:w="4394" w:type="dxa"/>
          </w:tcPr>
          <w:p w14:paraId="1284EF87" w14:textId="77777777" w:rsidR="00442DC7" w:rsidRPr="00606555" w:rsidRDefault="00442DC7" w:rsidP="005B64C7">
            <w:pPr>
              <w:spacing w:before="120" w:after="120"/>
              <w:jc w:val="center"/>
              <w:rPr>
                <w:rFonts w:cs="Arial"/>
                <w:bCs/>
                <w:iCs/>
                <w:sz w:val="24"/>
                <w:szCs w:val="24"/>
              </w:rPr>
            </w:pPr>
            <w:r w:rsidRPr="00606555">
              <w:rPr>
                <w:sz w:val="24"/>
                <w:szCs w:val="24"/>
              </w:rPr>
              <w:t>1 million</w:t>
            </w:r>
          </w:p>
        </w:tc>
      </w:tr>
      <w:tr w:rsidR="00442DC7" w:rsidRPr="000F113D" w14:paraId="36B5A738" w14:textId="77777777" w:rsidTr="006212B6">
        <w:tc>
          <w:tcPr>
            <w:tcW w:w="4390" w:type="dxa"/>
          </w:tcPr>
          <w:p w14:paraId="5C90B6B5" w14:textId="77777777" w:rsidR="00442DC7" w:rsidRPr="00606555" w:rsidRDefault="00442DC7" w:rsidP="005B64C7">
            <w:pPr>
              <w:spacing w:before="120" w:after="120"/>
              <w:rPr>
                <w:rFonts w:cs="Arial"/>
                <w:bCs/>
                <w:iCs/>
                <w:sz w:val="24"/>
                <w:szCs w:val="24"/>
              </w:rPr>
            </w:pPr>
            <w:r w:rsidRPr="00606555">
              <w:rPr>
                <w:sz w:val="24"/>
                <w:szCs w:val="24"/>
              </w:rPr>
              <w:t>Mixers</w:t>
            </w:r>
          </w:p>
        </w:tc>
        <w:tc>
          <w:tcPr>
            <w:tcW w:w="4394" w:type="dxa"/>
          </w:tcPr>
          <w:p w14:paraId="36BE1EF0" w14:textId="77777777" w:rsidR="00442DC7" w:rsidRPr="00606555" w:rsidRDefault="00442DC7" w:rsidP="005B64C7">
            <w:pPr>
              <w:spacing w:before="120" w:after="120"/>
              <w:jc w:val="center"/>
              <w:rPr>
                <w:rFonts w:cs="Arial"/>
                <w:bCs/>
                <w:iCs/>
                <w:sz w:val="24"/>
                <w:szCs w:val="24"/>
              </w:rPr>
            </w:pPr>
            <w:r w:rsidRPr="00606555">
              <w:rPr>
                <w:sz w:val="24"/>
                <w:szCs w:val="24"/>
              </w:rPr>
              <w:t>3 million</w:t>
            </w:r>
          </w:p>
        </w:tc>
      </w:tr>
      <w:tr w:rsidR="00442DC7" w:rsidRPr="000F113D" w14:paraId="55962C1A" w14:textId="77777777" w:rsidTr="006212B6">
        <w:tc>
          <w:tcPr>
            <w:tcW w:w="4390" w:type="dxa"/>
          </w:tcPr>
          <w:p w14:paraId="71DCD480" w14:textId="77777777" w:rsidR="00442DC7" w:rsidRPr="00606555" w:rsidRDefault="00442DC7" w:rsidP="005B64C7">
            <w:pPr>
              <w:spacing w:before="120" w:after="120"/>
              <w:rPr>
                <w:rFonts w:cs="Arial"/>
                <w:bCs/>
                <w:iCs/>
                <w:sz w:val="24"/>
                <w:szCs w:val="24"/>
              </w:rPr>
            </w:pPr>
            <w:r w:rsidRPr="00606555">
              <w:rPr>
                <w:sz w:val="24"/>
                <w:szCs w:val="24"/>
              </w:rPr>
              <w:t>Appliances</w:t>
            </w:r>
          </w:p>
        </w:tc>
        <w:tc>
          <w:tcPr>
            <w:tcW w:w="4394" w:type="dxa"/>
          </w:tcPr>
          <w:p w14:paraId="3FD12571" w14:textId="77777777" w:rsidR="00442DC7" w:rsidRPr="00606555" w:rsidRDefault="00442DC7" w:rsidP="005B64C7">
            <w:pPr>
              <w:spacing w:before="120" w:after="120"/>
              <w:jc w:val="center"/>
              <w:rPr>
                <w:rFonts w:cs="Arial"/>
                <w:bCs/>
                <w:iCs/>
                <w:sz w:val="24"/>
                <w:szCs w:val="24"/>
              </w:rPr>
            </w:pPr>
            <w:r w:rsidRPr="00606555">
              <w:rPr>
                <w:sz w:val="24"/>
                <w:szCs w:val="24"/>
              </w:rPr>
              <w:t>500,000</w:t>
            </w:r>
          </w:p>
        </w:tc>
      </w:tr>
      <w:tr w:rsidR="00442DC7" w:rsidRPr="000F113D" w14:paraId="6768D7D1" w14:textId="77777777" w:rsidTr="006212B6">
        <w:tc>
          <w:tcPr>
            <w:tcW w:w="4390" w:type="dxa"/>
          </w:tcPr>
          <w:p w14:paraId="7D26C94B" w14:textId="77777777" w:rsidR="00442DC7" w:rsidRPr="00606555" w:rsidRDefault="00442DC7" w:rsidP="005B64C7">
            <w:pPr>
              <w:spacing w:before="120" w:after="120"/>
              <w:rPr>
                <w:rFonts w:cs="Arial"/>
                <w:bCs/>
                <w:iCs/>
                <w:sz w:val="24"/>
                <w:szCs w:val="24"/>
              </w:rPr>
            </w:pPr>
            <w:r w:rsidRPr="00606555">
              <w:rPr>
                <w:sz w:val="24"/>
                <w:szCs w:val="24"/>
              </w:rPr>
              <w:t>Water heaters</w:t>
            </w:r>
          </w:p>
        </w:tc>
        <w:tc>
          <w:tcPr>
            <w:tcW w:w="4394" w:type="dxa"/>
          </w:tcPr>
          <w:p w14:paraId="54053902" w14:textId="77777777" w:rsidR="00442DC7" w:rsidRPr="00606555" w:rsidRDefault="00442DC7" w:rsidP="005B64C7">
            <w:pPr>
              <w:spacing w:before="120" w:after="120"/>
              <w:jc w:val="center"/>
              <w:rPr>
                <w:rFonts w:cs="Arial"/>
                <w:bCs/>
                <w:iCs/>
                <w:sz w:val="24"/>
                <w:szCs w:val="24"/>
              </w:rPr>
            </w:pPr>
            <w:r w:rsidRPr="00606555">
              <w:rPr>
                <w:sz w:val="24"/>
                <w:szCs w:val="24"/>
              </w:rPr>
              <w:t>7</w:t>
            </w:r>
            <w:r>
              <w:rPr>
                <w:sz w:val="24"/>
                <w:szCs w:val="24"/>
              </w:rPr>
              <w:t>00</w:t>
            </w:r>
            <w:r w:rsidRPr="00606555">
              <w:rPr>
                <w:sz w:val="24"/>
                <w:szCs w:val="24"/>
              </w:rPr>
              <w:t>,000</w:t>
            </w:r>
          </w:p>
        </w:tc>
      </w:tr>
      <w:tr w:rsidR="00442DC7" w:rsidRPr="000F113D" w14:paraId="665E234B" w14:textId="77777777" w:rsidTr="006212B6">
        <w:tc>
          <w:tcPr>
            <w:tcW w:w="4390" w:type="dxa"/>
          </w:tcPr>
          <w:p w14:paraId="3C2C61D1" w14:textId="77777777" w:rsidR="00442DC7" w:rsidRPr="00606555" w:rsidRDefault="00442DC7" w:rsidP="005B64C7">
            <w:pPr>
              <w:spacing w:before="120" w:after="120"/>
              <w:rPr>
                <w:sz w:val="24"/>
                <w:szCs w:val="24"/>
              </w:rPr>
            </w:pPr>
            <w:r>
              <w:rPr>
                <w:sz w:val="24"/>
                <w:szCs w:val="24"/>
              </w:rPr>
              <w:t>Water meters</w:t>
            </w:r>
          </w:p>
        </w:tc>
        <w:tc>
          <w:tcPr>
            <w:tcW w:w="4394" w:type="dxa"/>
          </w:tcPr>
          <w:p w14:paraId="0DB15031" w14:textId="77777777" w:rsidR="00442DC7" w:rsidRPr="00606555" w:rsidRDefault="00442DC7" w:rsidP="005B64C7">
            <w:pPr>
              <w:spacing w:before="120" w:after="120"/>
              <w:jc w:val="center"/>
              <w:rPr>
                <w:sz w:val="24"/>
                <w:szCs w:val="24"/>
              </w:rPr>
            </w:pPr>
            <w:r>
              <w:rPr>
                <w:sz w:val="24"/>
                <w:szCs w:val="24"/>
              </w:rPr>
              <w:t>760,000</w:t>
            </w:r>
          </w:p>
        </w:tc>
      </w:tr>
      <w:tr w:rsidR="00442DC7" w:rsidRPr="000F113D" w14:paraId="0BBDC1B0" w14:textId="77777777" w:rsidTr="0075596D">
        <w:trPr>
          <w:trHeight w:val="40"/>
        </w:trPr>
        <w:tc>
          <w:tcPr>
            <w:tcW w:w="4390" w:type="dxa"/>
          </w:tcPr>
          <w:p w14:paraId="447CD6A1" w14:textId="77777777" w:rsidR="00442DC7" w:rsidRPr="00606555" w:rsidRDefault="00442DC7" w:rsidP="005B64C7">
            <w:pPr>
              <w:spacing w:before="120" w:after="120"/>
              <w:rPr>
                <w:rFonts w:cs="Arial"/>
                <w:bCs/>
                <w:iCs/>
                <w:sz w:val="24"/>
                <w:szCs w:val="24"/>
              </w:rPr>
            </w:pPr>
            <w:r w:rsidRPr="00606555">
              <w:rPr>
                <w:sz w:val="24"/>
                <w:szCs w:val="24"/>
              </w:rPr>
              <w:t>Residential water filtration</w:t>
            </w:r>
          </w:p>
        </w:tc>
        <w:tc>
          <w:tcPr>
            <w:tcW w:w="4394" w:type="dxa"/>
          </w:tcPr>
          <w:p w14:paraId="0442A4ED" w14:textId="77777777" w:rsidR="00442DC7" w:rsidRPr="00606555" w:rsidRDefault="00442DC7" w:rsidP="005B64C7">
            <w:pPr>
              <w:spacing w:before="120" w:after="120"/>
              <w:jc w:val="center"/>
              <w:rPr>
                <w:rFonts w:cs="Arial"/>
                <w:bCs/>
                <w:iCs/>
                <w:sz w:val="24"/>
                <w:szCs w:val="24"/>
              </w:rPr>
            </w:pPr>
            <w:r w:rsidRPr="00606555">
              <w:rPr>
                <w:sz w:val="24"/>
                <w:szCs w:val="24"/>
              </w:rPr>
              <w:t>1</w:t>
            </w:r>
            <w:r>
              <w:rPr>
                <w:sz w:val="24"/>
                <w:szCs w:val="24"/>
              </w:rPr>
              <w:t>5</w:t>
            </w:r>
            <w:r w:rsidRPr="00606555">
              <w:rPr>
                <w:sz w:val="24"/>
                <w:szCs w:val="24"/>
              </w:rPr>
              <w:t>0,000</w:t>
            </w:r>
          </w:p>
        </w:tc>
      </w:tr>
      <w:tr w:rsidR="00442DC7" w:rsidRPr="000F113D" w14:paraId="52BCB2B5" w14:textId="77777777" w:rsidTr="006212B6">
        <w:tc>
          <w:tcPr>
            <w:tcW w:w="4390" w:type="dxa"/>
          </w:tcPr>
          <w:p w14:paraId="09BC2926" w14:textId="77777777" w:rsidR="00442DC7" w:rsidRPr="00606555" w:rsidRDefault="00442DC7" w:rsidP="005B64C7">
            <w:pPr>
              <w:spacing w:before="120" w:after="120"/>
              <w:rPr>
                <w:rFonts w:cs="Arial"/>
                <w:bCs/>
                <w:iCs/>
                <w:sz w:val="24"/>
                <w:szCs w:val="24"/>
              </w:rPr>
            </w:pPr>
            <w:r w:rsidRPr="00606555">
              <w:rPr>
                <w:sz w:val="24"/>
                <w:szCs w:val="24"/>
              </w:rPr>
              <w:t>Water dispensers</w:t>
            </w:r>
          </w:p>
        </w:tc>
        <w:tc>
          <w:tcPr>
            <w:tcW w:w="4394" w:type="dxa"/>
          </w:tcPr>
          <w:p w14:paraId="128350BA" w14:textId="77777777" w:rsidR="00442DC7" w:rsidRPr="00606555" w:rsidRDefault="00442DC7" w:rsidP="005B64C7">
            <w:pPr>
              <w:spacing w:before="120" w:after="120"/>
              <w:jc w:val="center"/>
              <w:rPr>
                <w:rFonts w:cs="Arial"/>
                <w:bCs/>
                <w:iCs/>
                <w:sz w:val="24"/>
                <w:szCs w:val="24"/>
              </w:rPr>
            </w:pPr>
            <w:r w:rsidRPr="00606555">
              <w:rPr>
                <w:sz w:val="24"/>
                <w:szCs w:val="24"/>
              </w:rPr>
              <w:t>20,000</w:t>
            </w:r>
          </w:p>
        </w:tc>
      </w:tr>
    </w:tbl>
    <w:p w14:paraId="1CB7E2D0" w14:textId="77777777" w:rsidR="00944D93" w:rsidRPr="00944D93" w:rsidRDefault="00944D93" w:rsidP="00944D93">
      <w:pPr>
        <w:spacing w:after="0" w:line="360" w:lineRule="auto"/>
        <w:jc w:val="both"/>
        <w:rPr>
          <w:sz w:val="18"/>
          <w:szCs w:val="24"/>
        </w:rPr>
      </w:pPr>
      <w:r w:rsidRPr="00944D93">
        <w:rPr>
          <w:sz w:val="18"/>
          <w:szCs w:val="24"/>
        </w:rPr>
        <w:t>Notes:</w:t>
      </w:r>
    </w:p>
    <w:p w14:paraId="5585052D" w14:textId="77777777" w:rsidR="00944D93" w:rsidRPr="00944D93" w:rsidRDefault="00944D93" w:rsidP="00944D93">
      <w:pPr>
        <w:spacing w:after="0" w:line="360" w:lineRule="auto"/>
        <w:jc w:val="both"/>
        <w:rPr>
          <w:sz w:val="18"/>
          <w:szCs w:val="24"/>
        </w:rPr>
      </w:pPr>
      <w:r w:rsidRPr="00944D93">
        <w:rPr>
          <w:sz w:val="18"/>
          <w:szCs w:val="24"/>
        </w:rPr>
        <w:t xml:space="preserve">1. All data is annual sales data. </w:t>
      </w:r>
    </w:p>
    <w:p w14:paraId="6B24715A" w14:textId="77777777" w:rsidR="00944D93" w:rsidRPr="00944D93" w:rsidRDefault="00944D93" w:rsidP="00944D93">
      <w:pPr>
        <w:spacing w:after="0" w:line="360" w:lineRule="auto"/>
        <w:jc w:val="both"/>
        <w:rPr>
          <w:sz w:val="18"/>
          <w:szCs w:val="24"/>
        </w:rPr>
      </w:pPr>
      <w:r w:rsidRPr="00944D93">
        <w:rPr>
          <w:sz w:val="18"/>
          <w:szCs w:val="24"/>
        </w:rPr>
        <w:t>2. All products contain lead and are subject to the WMCS.</w:t>
      </w:r>
    </w:p>
    <w:p w14:paraId="701D7A03" w14:textId="77777777" w:rsidR="00944D93" w:rsidRPr="00944D93" w:rsidRDefault="00944D93" w:rsidP="00944D93">
      <w:pPr>
        <w:spacing w:after="0" w:line="360" w:lineRule="auto"/>
        <w:jc w:val="both"/>
        <w:rPr>
          <w:sz w:val="18"/>
          <w:szCs w:val="24"/>
        </w:rPr>
      </w:pPr>
      <w:r w:rsidRPr="00944D93">
        <w:rPr>
          <w:sz w:val="18"/>
          <w:szCs w:val="24"/>
        </w:rPr>
        <w:t>4. Pipes are excluded on the basis they would meet proposed low lead requirements.</w:t>
      </w:r>
    </w:p>
    <w:p w14:paraId="4DBD817F" w14:textId="77777777" w:rsidR="00442DC7" w:rsidRDefault="00442DC7" w:rsidP="00944D93">
      <w:pPr>
        <w:spacing w:before="240" w:after="120" w:line="360" w:lineRule="auto"/>
        <w:jc w:val="both"/>
        <w:rPr>
          <w:sz w:val="24"/>
          <w:szCs w:val="24"/>
        </w:rPr>
      </w:pPr>
      <w:r>
        <w:rPr>
          <w:sz w:val="24"/>
          <w:szCs w:val="24"/>
        </w:rPr>
        <w:t>As shown in Table 12</w:t>
      </w:r>
      <w:r w:rsidRPr="00F31EF6">
        <w:rPr>
          <w:sz w:val="24"/>
          <w:szCs w:val="24"/>
        </w:rPr>
        <w:t>, Option 2 will impact</w:t>
      </w:r>
      <w:r w:rsidRPr="006251DB">
        <w:rPr>
          <w:sz w:val="24"/>
          <w:szCs w:val="24"/>
        </w:rPr>
        <w:t xml:space="preserve"> over 75 million plumbing product</w:t>
      </w:r>
      <w:r>
        <w:rPr>
          <w:sz w:val="24"/>
          <w:szCs w:val="24"/>
        </w:rPr>
        <w:t xml:space="preserve"> units intended for installation </w:t>
      </w:r>
      <w:r w:rsidRPr="006251DB">
        <w:rPr>
          <w:sz w:val="24"/>
          <w:szCs w:val="24"/>
        </w:rPr>
        <w:t>in contact with drinking water</w:t>
      </w:r>
      <w:r>
        <w:rPr>
          <w:sz w:val="24"/>
          <w:szCs w:val="24"/>
        </w:rPr>
        <w:t xml:space="preserve"> annually, with 77% of the impacted units being valves and fittings</w:t>
      </w:r>
      <w:r w:rsidRPr="006251DB">
        <w:rPr>
          <w:sz w:val="24"/>
          <w:szCs w:val="24"/>
        </w:rPr>
        <w:t xml:space="preserve">. </w:t>
      </w:r>
    </w:p>
    <w:p w14:paraId="618AB61F" w14:textId="7415EF09" w:rsidR="00442DC7" w:rsidRDefault="00442DC7" w:rsidP="00DA119A">
      <w:pPr>
        <w:spacing w:after="120" w:line="360" w:lineRule="auto"/>
        <w:jc w:val="both"/>
        <w:rPr>
          <w:sz w:val="24"/>
          <w:szCs w:val="24"/>
        </w:rPr>
      </w:pPr>
      <w:r>
        <w:rPr>
          <w:sz w:val="24"/>
          <w:szCs w:val="24"/>
        </w:rPr>
        <w:t xml:space="preserve">A representative subset of product types was determined, which broadly reflect each product category, with assistance from PPI Group and the AI Group. These product </w:t>
      </w:r>
      <w:r>
        <w:rPr>
          <w:sz w:val="24"/>
          <w:szCs w:val="24"/>
        </w:rPr>
        <w:lastRenderedPageBreak/>
        <w:t>types are shown in Attachment B. The proportion of each product type sold within each product category was then estimated using industry sales data. Finally, the cost increase for each product type was estimated based on the price of a low lead alternative, or the change experienced in the US in percentage terms applied to current costs provided by a national Australian plumbing retailer. Also see discussion on the substitutes for copper alloy products.</w:t>
      </w:r>
    </w:p>
    <w:p w14:paraId="2179A9B1" w14:textId="3FA6C19F" w:rsidR="00442DC7" w:rsidRDefault="00442DC7" w:rsidP="00DA119A">
      <w:pPr>
        <w:spacing w:after="120" w:line="360" w:lineRule="auto"/>
        <w:jc w:val="both"/>
        <w:rPr>
          <w:sz w:val="24"/>
          <w:szCs w:val="24"/>
        </w:rPr>
      </w:pPr>
      <w:r>
        <w:rPr>
          <w:sz w:val="24"/>
          <w:szCs w:val="24"/>
        </w:rPr>
        <w:t xml:space="preserve">Since the Consultation RIS, water meters have also been included in the costs to recognise in some instances </w:t>
      </w:r>
      <w:r w:rsidRPr="001F36F1">
        <w:rPr>
          <w:sz w:val="24"/>
          <w:szCs w:val="24"/>
        </w:rPr>
        <w:t>pipework ownership is that of the body corporate,</w:t>
      </w:r>
      <w:r>
        <w:rPr>
          <w:sz w:val="24"/>
          <w:szCs w:val="24"/>
        </w:rPr>
        <w:t xml:space="preserve"> these </w:t>
      </w:r>
      <w:r w:rsidRPr="001F36F1">
        <w:rPr>
          <w:sz w:val="24"/>
          <w:szCs w:val="24"/>
        </w:rPr>
        <w:t>would be class</w:t>
      </w:r>
      <w:r>
        <w:rPr>
          <w:sz w:val="24"/>
          <w:szCs w:val="24"/>
        </w:rPr>
        <w:t>ed as on-site plumbing and fall</w:t>
      </w:r>
      <w:r w:rsidRPr="001F36F1">
        <w:rPr>
          <w:sz w:val="24"/>
          <w:szCs w:val="24"/>
        </w:rPr>
        <w:t xml:space="preserve"> within the scope of the NCC</w:t>
      </w:r>
      <w:r w:rsidRPr="001F36F1" w:rsidDel="001F36F1">
        <w:rPr>
          <w:sz w:val="24"/>
          <w:szCs w:val="24"/>
        </w:rPr>
        <w:t xml:space="preserve"> </w:t>
      </w:r>
      <w:r>
        <w:rPr>
          <w:sz w:val="24"/>
          <w:szCs w:val="24"/>
        </w:rPr>
        <w:t xml:space="preserve">inclusion in the scope of the proposed changes. </w:t>
      </w:r>
    </w:p>
    <w:p w14:paraId="536FAA64" w14:textId="69F9FD3A" w:rsidR="00442DC7" w:rsidRPr="004071F1" w:rsidRDefault="00442DC7" w:rsidP="00DA119A">
      <w:pPr>
        <w:spacing w:after="120" w:line="360" w:lineRule="auto"/>
        <w:jc w:val="both"/>
        <w:rPr>
          <w:sz w:val="24"/>
          <w:szCs w:val="24"/>
        </w:rPr>
      </w:pPr>
      <w:r w:rsidRPr="007120CB">
        <w:rPr>
          <w:sz w:val="24"/>
          <w:szCs w:val="24"/>
        </w:rPr>
        <w:t xml:space="preserve">There is limited information on the price difference between plumbing products and low lead alternatives. Estimates reflect broad agreement between sources on changes experienced in the US following </w:t>
      </w:r>
      <w:r>
        <w:rPr>
          <w:sz w:val="24"/>
          <w:szCs w:val="24"/>
        </w:rPr>
        <w:t>the</w:t>
      </w:r>
      <w:r w:rsidRPr="007120CB">
        <w:rPr>
          <w:sz w:val="24"/>
          <w:szCs w:val="24"/>
        </w:rPr>
        <w:t xml:space="preserve"> transition to low lead products, ABCB’s desktop review</w:t>
      </w:r>
      <w:r>
        <w:rPr>
          <w:sz w:val="24"/>
          <w:szCs w:val="24"/>
        </w:rPr>
        <w:t>,</w:t>
      </w:r>
      <w:r w:rsidRPr="007120CB">
        <w:rPr>
          <w:sz w:val="24"/>
          <w:szCs w:val="24"/>
        </w:rPr>
        <w:t xml:space="preserve"> and advice of participants at the AB</w:t>
      </w:r>
      <w:r w:rsidR="005B64C7">
        <w:rPr>
          <w:sz w:val="24"/>
          <w:szCs w:val="24"/>
        </w:rPr>
        <w:t>CB’s Lead in Plumbing Products F</w:t>
      </w:r>
      <w:r w:rsidRPr="007120CB">
        <w:rPr>
          <w:sz w:val="24"/>
          <w:szCs w:val="24"/>
        </w:rPr>
        <w:t xml:space="preserve">orum. </w:t>
      </w:r>
      <w:r>
        <w:rPr>
          <w:sz w:val="24"/>
          <w:szCs w:val="24"/>
        </w:rPr>
        <w:t>The cost implications of Option 2 are sh</w:t>
      </w:r>
      <w:r w:rsidRPr="00967060">
        <w:rPr>
          <w:sz w:val="24"/>
          <w:szCs w:val="24"/>
        </w:rPr>
        <w:t xml:space="preserve">own in </w:t>
      </w:r>
      <w:r>
        <w:rPr>
          <w:sz w:val="24"/>
          <w:szCs w:val="24"/>
        </w:rPr>
        <w:t xml:space="preserve">Table 13.  </w:t>
      </w:r>
    </w:p>
    <w:p w14:paraId="07038FAC" w14:textId="4C24D496" w:rsidR="00442DC7" w:rsidRDefault="00442DC7" w:rsidP="00DA119A">
      <w:pPr>
        <w:pStyle w:val="Caption"/>
      </w:pPr>
      <w:bookmarkStart w:id="252" w:name="_Toc73091871"/>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13</w:t>
      </w:r>
      <w:r w:rsidR="00362D62">
        <w:rPr>
          <w:noProof/>
        </w:rPr>
        <w:fldChar w:fldCharType="end"/>
      </w:r>
      <w:r w:rsidRPr="0039488C">
        <w:t>: Incremental aggregate costs of Option 2</w:t>
      </w:r>
      <w:bookmarkEnd w:id="252"/>
    </w:p>
    <w:tbl>
      <w:tblPr>
        <w:tblStyle w:val="TableGrid"/>
        <w:tblW w:w="0" w:type="auto"/>
        <w:tblInd w:w="-5" w:type="dxa"/>
        <w:tblLook w:val="04A0" w:firstRow="1" w:lastRow="0" w:firstColumn="1" w:lastColumn="0" w:noHBand="0" w:noVBand="1"/>
        <w:tblCaption w:val="Table 12: Incremental aggregate costs of Option 2"/>
        <w:tblDescription w:val="This table provides an estimate of the total aggregate costs associated with Option 2, by category. "/>
      </w:tblPr>
      <w:tblGrid>
        <w:gridCol w:w="4248"/>
        <w:gridCol w:w="3118"/>
      </w:tblGrid>
      <w:tr w:rsidR="00442DC7" w14:paraId="0F19665C" w14:textId="77777777" w:rsidTr="007F069A">
        <w:trPr>
          <w:tblHeader/>
        </w:trPr>
        <w:tc>
          <w:tcPr>
            <w:tcW w:w="4248" w:type="dxa"/>
            <w:shd w:val="clear" w:color="auto" w:fill="002060"/>
          </w:tcPr>
          <w:p w14:paraId="5ECC3F2C" w14:textId="77777777" w:rsidR="00442DC7" w:rsidRDefault="00442DC7" w:rsidP="00DA119A">
            <w:pPr>
              <w:spacing w:after="120" w:line="360" w:lineRule="auto"/>
              <w:jc w:val="center"/>
              <w:rPr>
                <w:sz w:val="24"/>
                <w:szCs w:val="24"/>
              </w:rPr>
            </w:pPr>
            <w:r>
              <w:rPr>
                <w:sz w:val="24"/>
                <w:szCs w:val="24"/>
              </w:rPr>
              <w:t>Product Category</w:t>
            </w:r>
          </w:p>
        </w:tc>
        <w:tc>
          <w:tcPr>
            <w:tcW w:w="3118" w:type="dxa"/>
            <w:shd w:val="clear" w:color="auto" w:fill="002060"/>
          </w:tcPr>
          <w:p w14:paraId="5CA05CEA" w14:textId="77777777" w:rsidR="00442DC7" w:rsidRDefault="00442DC7" w:rsidP="00DA119A">
            <w:pPr>
              <w:spacing w:after="120" w:line="360" w:lineRule="auto"/>
              <w:jc w:val="center"/>
              <w:rPr>
                <w:sz w:val="24"/>
                <w:szCs w:val="24"/>
              </w:rPr>
            </w:pPr>
            <w:r>
              <w:rPr>
                <w:sz w:val="24"/>
                <w:szCs w:val="24"/>
              </w:rPr>
              <w:t>Annual Cost</w:t>
            </w:r>
          </w:p>
        </w:tc>
      </w:tr>
      <w:tr w:rsidR="00442DC7" w14:paraId="59154FCF" w14:textId="77777777" w:rsidTr="007F069A">
        <w:tc>
          <w:tcPr>
            <w:tcW w:w="4248" w:type="dxa"/>
          </w:tcPr>
          <w:p w14:paraId="5C7899BB" w14:textId="77777777" w:rsidR="00442DC7" w:rsidRDefault="00442DC7" w:rsidP="005B64C7">
            <w:pPr>
              <w:spacing w:before="120" w:after="120" w:line="360" w:lineRule="auto"/>
              <w:jc w:val="both"/>
              <w:rPr>
                <w:sz w:val="24"/>
                <w:szCs w:val="24"/>
              </w:rPr>
            </w:pPr>
            <w:r>
              <w:rPr>
                <w:sz w:val="24"/>
                <w:szCs w:val="24"/>
              </w:rPr>
              <w:t>Fittings</w:t>
            </w:r>
          </w:p>
        </w:tc>
        <w:tc>
          <w:tcPr>
            <w:tcW w:w="3118" w:type="dxa"/>
          </w:tcPr>
          <w:p w14:paraId="19AE919F" w14:textId="77777777" w:rsidR="00442DC7" w:rsidRPr="00144AC8" w:rsidRDefault="00442DC7" w:rsidP="005B64C7">
            <w:pPr>
              <w:spacing w:before="120" w:after="120" w:line="360" w:lineRule="auto"/>
              <w:jc w:val="right"/>
              <w:rPr>
                <w:sz w:val="24"/>
                <w:szCs w:val="24"/>
              </w:rPr>
            </w:pPr>
            <w:r w:rsidRPr="00B376C4">
              <w:rPr>
                <w:sz w:val="24"/>
                <w:szCs w:val="24"/>
              </w:rPr>
              <w:t>$35,595,900</w:t>
            </w:r>
          </w:p>
        </w:tc>
      </w:tr>
      <w:tr w:rsidR="00442DC7" w14:paraId="4C613369" w14:textId="77777777" w:rsidTr="007F069A">
        <w:tc>
          <w:tcPr>
            <w:tcW w:w="4248" w:type="dxa"/>
          </w:tcPr>
          <w:p w14:paraId="21A3AA3E" w14:textId="77777777" w:rsidR="00442DC7" w:rsidRDefault="00442DC7" w:rsidP="005B64C7">
            <w:pPr>
              <w:spacing w:before="120" w:after="120" w:line="360" w:lineRule="auto"/>
              <w:jc w:val="both"/>
              <w:rPr>
                <w:sz w:val="24"/>
                <w:szCs w:val="24"/>
              </w:rPr>
            </w:pPr>
            <w:r>
              <w:rPr>
                <w:sz w:val="24"/>
                <w:szCs w:val="24"/>
              </w:rPr>
              <w:t>Valves</w:t>
            </w:r>
          </w:p>
        </w:tc>
        <w:tc>
          <w:tcPr>
            <w:tcW w:w="3118" w:type="dxa"/>
          </w:tcPr>
          <w:p w14:paraId="1EC6D189" w14:textId="77777777" w:rsidR="00442DC7" w:rsidRPr="00144AC8" w:rsidRDefault="00442DC7" w:rsidP="005B64C7">
            <w:pPr>
              <w:spacing w:before="120" w:after="120" w:line="360" w:lineRule="auto"/>
              <w:jc w:val="right"/>
              <w:rPr>
                <w:sz w:val="24"/>
                <w:szCs w:val="24"/>
              </w:rPr>
            </w:pPr>
            <w:r w:rsidRPr="00B376C4">
              <w:rPr>
                <w:sz w:val="24"/>
                <w:szCs w:val="24"/>
              </w:rPr>
              <w:t>$93,383,388</w:t>
            </w:r>
          </w:p>
        </w:tc>
      </w:tr>
      <w:tr w:rsidR="00442DC7" w14:paraId="46DBEB0B" w14:textId="77777777" w:rsidTr="007F069A">
        <w:tc>
          <w:tcPr>
            <w:tcW w:w="4248" w:type="dxa"/>
          </w:tcPr>
          <w:p w14:paraId="47FE174A" w14:textId="77777777" w:rsidR="00442DC7" w:rsidRDefault="00442DC7" w:rsidP="005B64C7">
            <w:pPr>
              <w:spacing w:before="120" w:after="120" w:line="360" w:lineRule="auto"/>
              <w:rPr>
                <w:sz w:val="24"/>
                <w:szCs w:val="24"/>
              </w:rPr>
            </w:pPr>
            <w:r>
              <w:rPr>
                <w:sz w:val="24"/>
                <w:szCs w:val="24"/>
              </w:rPr>
              <w:t>Fittings of stainless-steel braided hoses</w:t>
            </w:r>
          </w:p>
        </w:tc>
        <w:tc>
          <w:tcPr>
            <w:tcW w:w="3118" w:type="dxa"/>
          </w:tcPr>
          <w:p w14:paraId="79D04B0B" w14:textId="77777777" w:rsidR="00442DC7" w:rsidRPr="00144AC8" w:rsidRDefault="00442DC7" w:rsidP="005B64C7">
            <w:pPr>
              <w:spacing w:before="120" w:after="120" w:line="360" w:lineRule="auto"/>
              <w:jc w:val="right"/>
              <w:rPr>
                <w:sz w:val="24"/>
                <w:szCs w:val="24"/>
              </w:rPr>
            </w:pPr>
            <w:r w:rsidRPr="00954FDF">
              <w:rPr>
                <w:sz w:val="24"/>
                <w:szCs w:val="24"/>
              </w:rPr>
              <w:t>$18,780,000</w:t>
            </w:r>
          </w:p>
        </w:tc>
      </w:tr>
      <w:tr w:rsidR="00442DC7" w14:paraId="4018674E" w14:textId="77777777" w:rsidTr="007F069A">
        <w:tc>
          <w:tcPr>
            <w:tcW w:w="4248" w:type="dxa"/>
          </w:tcPr>
          <w:p w14:paraId="7DD4DD2F" w14:textId="77777777" w:rsidR="00442DC7" w:rsidRDefault="00442DC7" w:rsidP="005B64C7">
            <w:pPr>
              <w:spacing w:before="120" w:after="120" w:line="360" w:lineRule="auto"/>
              <w:jc w:val="both"/>
              <w:rPr>
                <w:sz w:val="24"/>
                <w:szCs w:val="24"/>
              </w:rPr>
            </w:pPr>
            <w:r>
              <w:rPr>
                <w:sz w:val="24"/>
                <w:szCs w:val="24"/>
              </w:rPr>
              <w:t>Taps and combinations</w:t>
            </w:r>
          </w:p>
        </w:tc>
        <w:tc>
          <w:tcPr>
            <w:tcW w:w="3118" w:type="dxa"/>
          </w:tcPr>
          <w:p w14:paraId="6A364C42" w14:textId="77777777" w:rsidR="00442DC7" w:rsidRPr="00144AC8" w:rsidRDefault="00442DC7" w:rsidP="005B64C7">
            <w:pPr>
              <w:spacing w:before="120" w:after="120" w:line="360" w:lineRule="auto"/>
              <w:jc w:val="right"/>
              <w:rPr>
                <w:sz w:val="24"/>
                <w:szCs w:val="24"/>
              </w:rPr>
            </w:pPr>
            <w:r w:rsidRPr="00707006">
              <w:rPr>
                <w:sz w:val="24"/>
                <w:szCs w:val="24"/>
              </w:rPr>
              <w:t>$4,990,000</w:t>
            </w:r>
          </w:p>
        </w:tc>
      </w:tr>
      <w:tr w:rsidR="00442DC7" w14:paraId="41BDA92F" w14:textId="77777777" w:rsidTr="007F069A">
        <w:tc>
          <w:tcPr>
            <w:tcW w:w="4248" w:type="dxa"/>
          </w:tcPr>
          <w:p w14:paraId="033FE153" w14:textId="77777777" w:rsidR="00442DC7" w:rsidRDefault="00442DC7" w:rsidP="005B64C7">
            <w:pPr>
              <w:spacing w:before="120" w:after="120" w:line="360" w:lineRule="auto"/>
              <w:jc w:val="both"/>
              <w:rPr>
                <w:sz w:val="24"/>
                <w:szCs w:val="24"/>
              </w:rPr>
            </w:pPr>
            <w:r>
              <w:rPr>
                <w:sz w:val="24"/>
                <w:szCs w:val="24"/>
              </w:rPr>
              <w:t>Mixers</w:t>
            </w:r>
          </w:p>
        </w:tc>
        <w:tc>
          <w:tcPr>
            <w:tcW w:w="3118" w:type="dxa"/>
          </w:tcPr>
          <w:p w14:paraId="44B3D34A" w14:textId="77777777" w:rsidR="00442DC7" w:rsidRPr="00144AC8" w:rsidRDefault="00442DC7" w:rsidP="005B64C7">
            <w:pPr>
              <w:spacing w:before="120" w:after="120" w:line="360" w:lineRule="auto"/>
              <w:jc w:val="right"/>
              <w:rPr>
                <w:sz w:val="24"/>
                <w:szCs w:val="24"/>
              </w:rPr>
            </w:pPr>
            <w:r w:rsidRPr="00707006">
              <w:rPr>
                <w:sz w:val="24"/>
                <w:szCs w:val="24"/>
              </w:rPr>
              <w:t>$79,312,500</w:t>
            </w:r>
          </w:p>
        </w:tc>
      </w:tr>
      <w:tr w:rsidR="00442DC7" w14:paraId="35CAB5E4" w14:textId="77777777" w:rsidTr="007F069A">
        <w:tc>
          <w:tcPr>
            <w:tcW w:w="4248" w:type="dxa"/>
          </w:tcPr>
          <w:p w14:paraId="24103EC0" w14:textId="77777777" w:rsidR="00442DC7" w:rsidRDefault="00442DC7" w:rsidP="005B64C7">
            <w:pPr>
              <w:spacing w:before="120" w:after="120" w:line="360" w:lineRule="auto"/>
              <w:jc w:val="both"/>
              <w:rPr>
                <w:sz w:val="24"/>
                <w:szCs w:val="24"/>
              </w:rPr>
            </w:pPr>
            <w:r>
              <w:rPr>
                <w:sz w:val="24"/>
                <w:szCs w:val="24"/>
              </w:rPr>
              <w:t>Water heater systems</w:t>
            </w:r>
          </w:p>
        </w:tc>
        <w:tc>
          <w:tcPr>
            <w:tcW w:w="3118" w:type="dxa"/>
          </w:tcPr>
          <w:p w14:paraId="1E441AF4" w14:textId="77777777" w:rsidR="00442DC7" w:rsidRPr="00144AC8" w:rsidRDefault="00442DC7" w:rsidP="005B64C7">
            <w:pPr>
              <w:spacing w:before="120" w:after="120" w:line="360" w:lineRule="auto"/>
              <w:jc w:val="right"/>
              <w:rPr>
                <w:sz w:val="24"/>
                <w:szCs w:val="24"/>
              </w:rPr>
            </w:pPr>
            <w:r w:rsidRPr="00954FDF">
              <w:rPr>
                <w:sz w:val="24"/>
                <w:szCs w:val="24"/>
              </w:rPr>
              <w:t>$8,212,575</w:t>
            </w:r>
          </w:p>
        </w:tc>
      </w:tr>
      <w:tr w:rsidR="00442DC7" w14:paraId="3A3F4994" w14:textId="77777777" w:rsidTr="007F069A">
        <w:tc>
          <w:tcPr>
            <w:tcW w:w="4248" w:type="dxa"/>
          </w:tcPr>
          <w:p w14:paraId="3CB0CEF5" w14:textId="77777777" w:rsidR="00442DC7" w:rsidRDefault="00442DC7" w:rsidP="005B64C7">
            <w:pPr>
              <w:spacing w:before="120" w:after="120" w:line="360" w:lineRule="auto"/>
              <w:jc w:val="both"/>
              <w:rPr>
                <w:sz w:val="24"/>
                <w:szCs w:val="24"/>
              </w:rPr>
            </w:pPr>
            <w:r>
              <w:rPr>
                <w:sz w:val="24"/>
                <w:szCs w:val="24"/>
              </w:rPr>
              <w:t>Residential water filtration systems</w:t>
            </w:r>
          </w:p>
        </w:tc>
        <w:tc>
          <w:tcPr>
            <w:tcW w:w="3118" w:type="dxa"/>
          </w:tcPr>
          <w:p w14:paraId="660072C1" w14:textId="77777777" w:rsidR="00442DC7" w:rsidRPr="00144AC8" w:rsidRDefault="00442DC7" w:rsidP="005B64C7">
            <w:pPr>
              <w:spacing w:before="120" w:after="120" w:line="360" w:lineRule="auto"/>
              <w:jc w:val="right"/>
              <w:rPr>
                <w:sz w:val="24"/>
                <w:szCs w:val="24"/>
              </w:rPr>
            </w:pPr>
            <w:r w:rsidRPr="00D8417D">
              <w:rPr>
                <w:sz w:val="24"/>
                <w:szCs w:val="24"/>
              </w:rPr>
              <w:t>$29,745,000</w:t>
            </w:r>
          </w:p>
        </w:tc>
      </w:tr>
      <w:tr w:rsidR="00442DC7" w14:paraId="34EEF0B6" w14:textId="77777777" w:rsidTr="007F069A">
        <w:tc>
          <w:tcPr>
            <w:tcW w:w="4248" w:type="dxa"/>
          </w:tcPr>
          <w:p w14:paraId="28F68916" w14:textId="77777777" w:rsidR="00442DC7" w:rsidRDefault="00442DC7" w:rsidP="005B64C7">
            <w:pPr>
              <w:spacing w:before="120" w:after="120" w:line="360" w:lineRule="auto"/>
              <w:jc w:val="both"/>
              <w:rPr>
                <w:sz w:val="24"/>
                <w:szCs w:val="24"/>
              </w:rPr>
            </w:pPr>
            <w:r>
              <w:rPr>
                <w:sz w:val="24"/>
                <w:szCs w:val="24"/>
              </w:rPr>
              <w:t>Water dispensers</w:t>
            </w:r>
          </w:p>
        </w:tc>
        <w:tc>
          <w:tcPr>
            <w:tcW w:w="3118" w:type="dxa"/>
          </w:tcPr>
          <w:p w14:paraId="14F5CE10" w14:textId="77777777" w:rsidR="00442DC7" w:rsidRPr="00144AC8" w:rsidRDefault="00442DC7" w:rsidP="005B64C7">
            <w:pPr>
              <w:spacing w:before="120" w:after="120" w:line="360" w:lineRule="auto"/>
              <w:jc w:val="right"/>
              <w:rPr>
                <w:sz w:val="24"/>
                <w:szCs w:val="24"/>
              </w:rPr>
            </w:pPr>
            <w:r w:rsidRPr="00E31650">
              <w:rPr>
                <w:sz w:val="24"/>
                <w:szCs w:val="24"/>
              </w:rPr>
              <w:t>$9,899,447</w:t>
            </w:r>
          </w:p>
        </w:tc>
      </w:tr>
      <w:tr w:rsidR="00442DC7" w14:paraId="7A71ABE5" w14:textId="77777777" w:rsidTr="007F069A">
        <w:tc>
          <w:tcPr>
            <w:tcW w:w="4248" w:type="dxa"/>
          </w:tcPr>
          <w:p w14:paraId="4D955919" w14:textId="77777777" w:rsidR="00442DC7" w:rsidRDefault="00442DC7" w:rsidP="005B64C7">
            <w:pPr>
              <w:spacing w:before="120" w:after="120" w:line="360" w:lineRule="auto"/>
              <w:jc w:val="both"/>
              <w:rPr>
                <w:sz w:val="24"/>
                <w:szCs w:val="24"/>
              </w:rPr>
            </w:pPr>
            <w:r>
              <w:rPr>
                <w:sz w:val="24"/>
                <w:szCs w:val="24"/>
              </w:rPr>
              <w:lastRenderedPageBreak/>
              <w:t xml:space="preserve">Water meters </w:t>
            </w:r>
          </w:p>
        </w:tc>
        <w:tc>
          <w:tcPr>
            <w:tcW w:w="3118" w:type="dxa"/>
          </w:tcPr>
          <w:p w14:paraId="7587EBE5" w14:textId="77777777" w:rsidR="00442DC7" w:rsidRPr="00E31650" w:rsidRDefault="00442DC7" w:rsidP="005B64C7">
            <w:pPr>
              <w:spacing w:before="120" w:after="120" w:line="360" w:lineRule="auto"/>
              <w:jc w:val="right"/>
              <w:rPr>
                <w:sz w:val="24"/>
                <w:szCs w:val="24"/>
              </w:rPr>
            </w:pPr>
            <w:r>
              <w:rPr>
                <w:sz w:val="24"/>
                <w:szCs w:val="24"/>
              </w:rPr>
              <w:t>$28,880,000</w:t>
            </w:r>
          </w:p>
        </w:tc>
      </w:tr>
      <w:tr w:rsidR="00442DC7" w14:paraId="53DA133E" w14:textId="77777777" w:rsidTr="007F069A">
        <w:tc>
          <w:tcPr>
            <w:tcW w:w="4248" w:type="dxa"/>
          </w:tcPr>
          <w:p w14:paraId="75DC6C32" w14:textId="77777777" w:rsidR="00442DC7" w:rsidRPr="005B64C7" w:rsidRDefault="00442DC7" w:rsidP="005B64C7">
            <w:pPr>
              <w:spacing w:before="120" w:after="120" w:line="360" w:lineRule="auto"/>
              <w:jc w:val="both"/>
              <w:rPr>
                <w:b/>
                <w:sz w:val="24"/>
                <w:szCs w:val="24"/>
              </w:rPr>
            </w:pPr>
            <w:r w:rsidRPr="005B64C7">
              <w:rPr>
                <w:b/>
                <w:sz w:val="24"/>
                <w:szCs w:val="24"/>
              </w:rPr>
              <w:t>Annual cost</w:t>
            </w:r>
          </w:p>
        </w:tc>
        <w:tc>
          <w:tcPr>
            <w:tcW w:w="3118" w:type="dxa"/>
          </w:tcPr>
          <w:p w14:paraId="242FABAF" w14:textId="77777777" w:rsidR="00442DC7" w:rsidRPr="005B64C7" w:rsidRDefault="00442DC7" w:rsidP="005B64C7">
            <w:pPr>
              <w:spacing w:before="120" w:after="120" w:line="360" w:lineRule="auto"/>
              <w:jc w:val="right"/>
              <w:rPr>
                <w:b/>
                <w:bCs/>
                <w:sz w:val="24"/>
                <w:szCs w:val="24"/>
              </w:rPr>
            </w:pPr>
            <w:r w:rsidRPr="005B64C7">
              <w:rPr>
                <w:b/>
                <w:bCs/>
                <w:sz w:val="24"/>
                <w:szCs w:val="24"/>
              </w:rPr>
              <w:t>$308,798,810</w:t>
            </w:r>
          </w:p>
        </w:tc>
      </w:tr>
      <w:tr w:rsidR="00442DC7" w14:paraId="1A2EB366" w14:textId="77777777" w:rsidTr="007F069A">
        <w:tc>
          <w:tcPr>
            <w:tcW w:w="4248" w:type="dxa"/>
          </w:tcPr>
          <w:p w14:paraId="702113FA" w14:textId="77777777" w:rsidR="00442DC7" w:rsidRPr="005B64C7" w:rsidRDefault="00442DC7" w:rsidP="005B64C7">
            <w:pPr>
              <w:spacing w:before="120" w:after="120" w:line="360" w:lineRule="auto"/>
              <w:jc w:val="both"/>
              <w:rPr>
                <w:b/>
                <w:sz w:val="24"/>
                <w:szCs w:val="24"/>
              </w:rPr>
            </w:pPr>
            <w:r w:rsidRPr="005B64C7">
              <w:rPr>
                <w:b/>
                <w:sz w:val="24"/>
                <w:szCs w:val="24"/>
              </w:rPr>
              <w:t>Present Value cost</w:t>
            </w:r>
          </w:p>
        </w:tc>
        <w:tc>
          <w:tcPr>
            <w:tcW w:w="3118" w:type="dxa"/>
          </w:tcPr>
          <w:p w14:paraId="40085196" w14:textId="77777777" w:rsidR="00442DC7" w:rsidRPr="00E31650" w:rsidRDefault="00442DC7" w:rsidP="005B64C7">
            <w:pPr>
              <w:spacing w:before="120" w:after="120" w:line="360" w:lineRule="auto"/>
              <w:jc w:val="right"/>
              <w:rPr>
                <w:b/>
                <w:bCs/>
                <w:sz w:val="24"/>
                <w:szCs w:val="24"/>
              </w:rPr>
            </w:pPr>
            <w:r w:rsidRPr="00954FDF">
              <w:rPr>
                <w:b/>
                <w:bCs/>
                <w:sz w:val="24"/>
                <w:szCs w:val="24"/>
              </w:rPr>
              <w:t>$</w:t>
            </w:r>
            <w:r>
              <w:rPr>
                <w:b/>
                <w:bCs/>
                <w:sz w:val="24"/>
                <w:szCs w:val="24"/>
              </w:rPr>
              <w:t>2,320,694,777</w:t>
            </w:r>
          </w:p>
        </w:tc>
      </w:tr>
    </w:tbl>
    <w:p w14:paraId="0CA5039C" w14:textId="77777777" w:rsidR="00442DC7" w:rsidRDefault="00442DC7" w:rsidP="00DA119A">
      <w:pPr>
        <w:spacing w:before="240" w:after="120" w:line="360" w:lineRule="auto"/>
        <w:jc w:val="both"/>
        <w:rPr>
          <w:sz w:val="24"/>
          <w:szCs w:val="24"/>
        </w:rPr>
      </w:pPr>
      <w:r>
        <w:rPr>
          <w:sz w:val="24"/>
          <w:szCs w:val="24"/>
        </w:rPr>
        <w:t xml:space="preserve">As shown by the above table, the cost of Option 2 is $310 million annually or $2.3 billion in Present Value terms, using a discount rate of 7% over 10 years. </w:t>
      </w:r>
    </w:p>
    <w:p w14:paraId="318829F3" w14:textId="77777777" w:rsidR="00442DC7" w:rsidRDefault="00442DC7" w:rsidP="00DA119A">
      <w:pPr>
        <w:spacing w:after="120" w:line="360" w:lineRule="auto"/>
        <w:jc w:val="both"/>
        <w:rPr>
          <w:sz w:val="24"/>
          <w:szCs w:val="24"/>
        </w:rPr>
      </w:pPr>
      <w:r>
        <w:rPr>
          <w:sz w:val="24"/>
          <w:szCs w:val="24"/>
        </w:rPr>
        <w:t>This cost will need to be considered against the expected benefits of transitioning to low lead plumbing products as well as the goal of reducing the use of lead to non-essential levels.</w:t>
      </w:r>
      <w:r>
        <w:rPr>
          <w:rStyle w:val="FootnoteReference"/>
          <w:sz w:val="24"/>
          <w:szCs w:val="24"/>
        </w:rPr>
        <w:footnoteReference w:id="104"/>
      </w:r>
    </w:p>
    <w:p w14:paraId="4FBE248C" w14:textId="319AD49E" w:rsidR="00442DC7" w:rsidRDefault="00442DC7" w:rsidP="00DA119A">
      <w:pPr>
        <w:spacing w:after="120" w:line="360" w:lineRule="auto"/>
        <w:jc w:val="both"/>
        <w:rPr>
          <w:sz w:val="24"/>
          <w:szCs w:val="24"/>
        </w:rPr>
      </w:pPr>
      <w:bookmarkStart w:id="253" w:name="_Hlk53570432"/>
      <w:r>
        <w:rPr>
          <w:sz w:val="24"/>
          <w:szCs w:val="24"/>
        </w:rPr>
        <w:t>There is some pre-existing industry capability to deliver lead free products, both domestically and with overseas suppliers. The price increases for each product type are derived from comparison, which would include costs borne by manufacturers in sourcing new raw material containing low lead, upgrading of equipment and re-tooling to machine low lead plumbing products and the associated testing that will be required to demonstrate compliance with the new requirements. The retail cost therefore also implicitly reflects existing costs for products to comply with the WMCS.</w:t>
      </w:r>
      <w:r w:rsidRPr="001F36F1">
        <w:rPr>
          <w:sz w:val="24"/>
          <w:szCs w:val="24"/>
        </w:rPr>
        <w:t xml:space="preserve"> </w:t>
      </w:r>
      <w:r>
        <w:rPr>
          <w:rStyle w:val="FootnoteReference"/>
          <w:sz w:val="24"/>
          <w:szCs w:val="24"/>
        </w:rPr>
        <w:footnoteReference w:id="105"/>
      </w:r>
    </w:p>
    <w:bookmarkEnd w:id="253"/>
    <w:p w14:paraId="4C8CDD75" w14:textId="77777777" w:rsidR="00442DC7" w:rsidRPr="00781E80" w:rsidRDefault="00442DC7" w:rsidP="00DA119A">
      <w:pPr>
        <w:spacing w:after="120" w:line="360" w:lineRule="auto"/>
        <w:jc w:val="both"/>
        <w:rPr>
          <w:sz w:val="24"/>
          <w:szCs w:val="24"/>
        </w:rPr>
      </w:pPr>
      <w:r>
        <w:rPr>
          <w:sz w:val="24"/>
          <w:szCs w:val="24"/>
        </w:rPr>
        <w:t>T</w:t>
      </w:r>
      <w:r w:rsidRPr="00263CBB">
        <w:rPr>
          <w:sz w:val="24"/>
          <w:szCs w:val="24"/>
        </w:rPr>
        <w:t>he difference in material cost</w:t>
      </w:r>
      <w:r>
        <w:rPr>
          <w:sz w:val="24"/>
          <w:szCs w:val="24"/>
        </w:rPr>
        <w:t xml:space="preserve"> </w:t>
      </w:r>
      <w:r w:rsidRPr="00263CBB">
        <w:rPr>
          <w:sz w:val="24"/>
          <w:szCs w:val="24"/>
        </w:rPr>
        <w:t>may decrease over time</w:t>
      </w:r>
      <w:r>
        <w:rPr>
          <w:sz w:val="24"/>
          <w:szCs w:val="24"/>
        </w:rPr>
        <w:t xml:space="preserve"> (as a result of an increase in supply and demand of low lead brass). However, it is not known at what rate or time period this reduction would occur. As such, taking a conservative approach to calculating costs, reductions over time have not been assumed as part of calculating the central estimate, but rather tested under the heading of ‘Sensitivity Analysis’. </w:t>
      </w:r>
    </w:p>
    <w:p w14:paraId="5318C019" w14:textId="77777777" w:rsidR="00442DC7" w:rsidRPr="00773145" w:rsidRDefault="00442DC7" w:rsidP="00DA119A">
      <w:pPr>
        <w:pStyle w:val="Heading3"/>
        <w:rPr>
          <w:rFonts w:ascii="Arial" w:hAnsi="Arial" w:cs="Arial"/>
          <w:b w:val="0"/>
          <w:bCs w:val="0"/>
          <w:szCs w:val="28"/>
        </w:rPr>
      </w:pPr>
      <w:bookmarkStart w:id="254" w:name="_Toc47287770"/>
      <w:bookmarkStart w:id="255" w:name="_Toc47287911"/>
      <w:r w:rsidRPr="00773145">
        <w:rPr>
          <w:rFonts w:ascii="Arial" w:hAnsi="Arial" w:cs="Arial"/>
          <w:b w:val="0"/>
          <w:bCs w:val="0"/>
          <w:szCs w:val="28"/>
        </w:rPr>
        <w:t>Benefits</w:t>
      </w:r>
      <w:bookmarkEnd w:id="254"/>
      <w:bookmarkEnd w:id="255"/>
    </w:p>
    <w:p w14:paraId="778E5CD0" w14:textId="77777777" w:rsidR="00442DC7" w:rsidRPr="00E31650" w:rsidRDefault="00442DC7" w:rsidP="0018494A">
      <w:pPr>
        <w:spacing w:before="240" w:after="240" w:line="360" w:lineRule="auto"/>
        <w:jc w:val="both"/>
        <w:rPr>
          <w:rFonts w:cs="Arial"/>
          <w:sz w:val="24"/>
          <w:szCs w:val="24"/>
        </w:rPr>
      </w:pPr>
      <w:r w:rsidRPr="009035E3">
        <w:rPr>
          <w:rFonts w:cs="Arial"/>
          <w:sz w:val="24"/>
          <w:szCs w:val="24"/>
        </w:rPr>
        <w:t xml:space="preserve">The benefits of Option 2 are </w:t>
      </w:r>
      <w:r>
        <w:rPr>
          <w:rFonts w:cs="Arial"/>
          <w:sz w:val="24"/>
          <w:szCs w:val="24"/>
        </w:rPr>
        <w:t xml:space="preserve">also </w:t>
      </w:r>
      <w:r w:rsidRPr="009035E3">
        <w:rPr>
          <w:rFonts w:cs="Arial"/>
          <w:sz w:val="24"/>
          <w:szCs w:val="24"/>
        </w:rPr>
        <w:t>difficult to quantify.</w:t>
      </w:r>
      <w:r>
        <w:rPr>
          <w:rFonts w:cs="Arial"/>
          <w:sz w:val="24"/>
          <w:szCs w:val="24"/>
        </w:rPr>
        <w:t xml:space="preserve"> Research has not revealed any recent cost-benefit analyses which quantify the benefits of reducing low lead exposure from drinking water. Further, t</w:t>
      </w:r>
      <w:r w:rsidRPr="009035E3">
        <w:rPr>
          <w:rFonts w:cs="Arial"/>
          <w:sz w:val="24"/>
          <w:szCs w:val="24"/>
        </w:rPr>
        <w:t xml:space="preserve">he available studies and data used to derive the benefits </w:t>
      </w:r>
      <w:r>
        <w:rPr>
          <w:rFonts w:cs="Arial"/>
          <w:sz w:val="24"/>
          <w:szCs w:val="24"/>
        </w:rPr>
        <w:t xml:space="preserve">of reducing low lead exposure more broadly </w:t>
      </w:r>
      <w:r w:rsidRPr="009035E3">
        <w:rPr>
          <w:rFonts w:cs="Arial"/>
          <w:sz w:val="24"/>
          <w:szCs w:val="24"/>
        </w:rPr>
        <w:t xml:space="preserve">were not collected for the </w:t>
      </w:r>
      <w:r>
        <w:rPr>
          <w:rFonts w:cs="Arial"/>
          <w:sz w:val="24"/>
          <w:szCs w:val="24"/>
        </w:rPr>
        <w:t xml:space="preserve">specific </w:t>
      </w:r>
      <w:r w:rsidRPr="009035E3">
        <w:rPr>
          <w:rFonts w:cs="Arial"/>
          <w:sz w:val="24"/>
          <w:szCs w:val="24"/>
        </w:rPr>
        <w:t>purpose of this analysis</w:t>
      </w:r>
      <w:r>
        <w:rPr>
          <w:rFonts w:cs="Arial"/>
          <w:sz w:val="24"/>
          <w:szCs w:val="24"/>
        </w:rPr>
        <w:t xml:space="preserve"> and are small in sample size. On this basis, the consideration of future </w:t>
      </w:r>
      <w:r>
        <w:rPr>
          <w:rFonts w:cs="Arial"/>
          <w:sz w:val="24"/>
          <w:szCs w:val="24"/>
        </w:rPr>
        <w:lastRenderedPageBreak/>
        <w:t xml:space="preserve">regulatory interventions would benefit from national sampling of blood lead levels (particularly in children) and water lead levels. </w:t>
      </w:r>
      <w:bookmarkStart w:id="256" w:name="_Hlk70073206"/>
      <w:r>
        <w:rPr>
          <w:rFonts w:cs="Arial"/>
          <w:sz w:val="24"/>
          <w:szCs w:val="24"/>
        </w:rPr>
        <w:t xml:space="preserve">Greater quantification of the health impacts of low lead exposure from drinking water in Australia would also benefit policy setting and standards writing bodies such as the ABCB. </w:t>
      </w:r>
      <w:bookmarkEnd w:id="256"/>
    </w:p>
    <w:p w14:paraId="2B8BA0AF" w14:textId="77777777" w:rsidR="00442DC7" w:rsidRPr="00C21D51" w:rsidRDefault="00442DC7" w:rsidP="00DA119A">
      <w:pPr>
        <w:pStyle w:val="Heading3"/>
        <w:rPr>
          <w:rFonts w:ascii="Arial" w:hAnsi="Arial" w:cs="Arial"/>
          <w:b w:val="0"/>
          <w:bCs w:val="0"/>
          <w:szCs w:val="28"/>
        </w:rPr>
      </w:pPr>
      <w:r w:rsidRPr="00C21D51">
        <w:rPr>
          <w:rFonts w:ascii="Arial" w:hAnsi="Arial" w:cs="Arial"/>
          <w:b w:val="0"/>
          <w:bCs w:val="0"/>
          <w:szCs w:val="28"/>
        </w:rPr>
        <w:t>Health benefits</w:t>
      </w:r>
    </w:p>
    <w:p w14:paraId="26A01CA3" w14:textId="5871FB0B" w:rsidR="00442DC7" w:rsidRDefault="00442DC7" w:rsidP="0018494A">
      <w:pPr>
        <w:spacing w:before="240" w:line="360" w:lineRule="auto"/>
        <w:jc w:val="both"/>
        <w:rPr>
          <w:rFonts w:cs="Arial"/>
          <w:sz w:val="24"/>
          <w:szCs w:val="24"/>
        </w:rPr>
      </w:pPr>
      <w:r>
        <w:rPr>
          <w:rFonts w:cs="Arial"/>
          <w:sz w:val="24"/>
          <w:szCs w:val="24"/>
        </w:rPr>
        <w:t xml:space="preserve">Health benefits have been quantified using information from the GBD database, which reports the DALYs attributable to lead exposure in Australia. The composition of the DALY rate in Australia </w:t>
      </w:r>
      <w:r w:rsidRPr="006846AB">
        <w:rPr>
          <w:rFonts w:cs="Arial"/>
          <w:sz w:val="24"/>
          <w:szCs w:val="24"/>
        </w:rPr>
        <w:t>is shown in</w:t>
      </w:r>
      <w:r>
        <w:rPr>
          <w:rFonts w:cs="Arial"/>
          <w:sz w:val="24"/>
          <w:szCs w:val="24"/>
        </w:rPr>
        <w:t xml:space="preserve"> Table 14</w:t>
      </w:r>
      <w:r w:rsidRPr="006846AB">
        <w:rPr>
          <w:rFonts w:cs="Arial"/>
          <w:sz w:val="24"/>
          <w:szCs w:val="24"/>
        </w:rPr>
        <w:t>.</w:t>
      </w:r>
    </w:p>
    <w:p w14:paraId="4A231B28" w14:textId="1F4538FF" w:rsidR="00442DC7" w:rsidRDefault="00442DC7" w:rsidP="00DA119A">
      <w:pPr>
        <w:pStyle w:val="Caption"/>
      </w:pPr>
      <w:bookmarkStart w:id="257" w:name="_Toc73091872"/>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14</w:t>
      </w:r>
      <w:r w:rsidR="00362D62">
        <w:rPr>
          <w:noProof/>
        </w:rPr>
        <w:fldChar w:fldCharType="end"/>
      </w:r>
      <w:r w:rsidRPr="002E22EF">
        <w:t>: Composition of the DALY rate in Australia attributable to lead exposure</w:t>
      </w:r>
      <w:bookmarkEnd w:id="257"/>
    </w:p>
    <w:tbl>
      <w:tblPr>
        <w:tblStyle w:val="TableGrid"/>
        <w:tblW w:w="8635" w:type="dxa"/>
        <w:tblLook w:val="04A0" w:firstRow="1" w:lastRow="0" w:firstColumn="1" w:lastColumn="0" w:noHBand="0" w:noVBand="1"/>
        <w:tblCaption w:val="Table 13: Composition of the DALY rate in Australia attributable to lead exposure"/>
        <w:tblDescription w:val="This table provides a summary of the diseases associated with the lead exposure DALY rate in Australia. "/>
      </w:tblPr>
      <w:tblGrid>
        <w:gridCol w:w="4765"/>
        <w:gridCol w:w="1890"/>
        <w:gridCol w:w="1980"/>
      </w:tblGrid>
      <w:tr w:rsidR="00442DC7" w:rsidRPr="00106216" w14:paraId="2809F295" w14:textId="77777777" w:rsidTr="00514E77">
        <w:trPr>
          <w:trHeight w:val="300"/>
          <w:tblHeader/>
        </w:trPr>
        <w:tc>
          <w:tcPr>
            <w:tcW w:w="4765" w:type="dxa"/>
            <w:shd w:val="clear" w:color="auto" w:fill="002060"/>
            <w:noWrap/>
            <w:hideMark/>
          </w:tcPr>
          <w:p w14:paraId="6A0A6E56" w14:textId="77777777" w:rsidR="00442DC7" w:rsidRPr="00106216" w:rsidRDefault="00442DC7" w:rsidP="00DA119A">
            <w:pPr>
              <w:spacing w:line="360" w:lineRule="auto"/>
              <w:jc w:val="center"/>
              <w:rPr>
                <w:rFonts w:cs="Arial"/>
                <w:sz w:val="24"/>
                <w:szCs w:val="24"/>
              </w:rPr>
            </w:pPr>
            <w:r w:rsidRPr="00246D16">
              <w:t xml:space="preserve">Disease </w:t>
            </w:r>
          </w:p>
        </w:tc>
        <w:tc>
          <w:tcPr>
            <w:tcW w:w="1890" w:type="dxa"/>
            <w:shd w:val="clear" w:color="auto" w:fill="002060"/>
          </w:tcPr>
          <w:p w14:paraId="2D37CF08" w14:textId="13CF384C" w:rsidR="00442DC7" w:rsidRPr="00106216" w:rsidRDefault="00442DC7" w:rsidP="00DA119A">
            <w:pPr>
              <w:spacing w:line="360" w:lineRule="auto"/>
              <w:jc w:val="center"/>
              <w:rPr>
                <w:rFonts w:cs="Arial"/>
                <w:sz w:val="24"/>
                <w:szCs w:val="24"/>
              </w:rPr>
            </w:pPr>
            <w:r w:rsidRPr="00246D16">
              <w:t>Rate per 100,000</w:t>
            </w:r>
          </w:p>
        </w:tc>
        <w:tc>
          <w:tcPr>
            <w:tcW w:w="1980" w:type="dxa"/>
            <w:shd w:val="clear" w:color="auto" w:fill="002060"/>
          </w:tcPr>
          <w:p w14:paraId="510E2E10" w14:textId="77777777" w:rsidR="00442DC7" w:rsidRPr="00246D16" w:rsidRDefault="00442DC7" w:rsidP="00DA119A">
            <w:pPr>
              <w:spacing w:line="360" w:lineRule="auto"/>
              <w:jc w:val="center"/>
            </w:pPr>
            <w:r w:rsidRPr="00246D16">
              <w:t>Proportion of total DALYs</w:t>
            </w:r>
          </w:p>
        </w:tc>
      </w:tr>
      <w:tr w:rsidR="00442DC7" w:rsidRPr="00106216" w14:paraId="72E98EE8" w14:textId="77777777" w:rsidTr="00514E77">
        <w:trPr>
          <w:trHeight w:val="615"/>
        </w:trPr>
        <w:tc>
          <w:tcPr>
            <w:tcW w:w="4765" w:type="dxa"/>
            <w:hideMark/>
          </w:tcPr>
          <w:p w14:paraId="20ABFEA5" w14:textId="77777777" w:rsidR="00442DC7" w:rsidRPr="00106216" w:rsidRDefault="00442DC7" w:rsidP="0018494A">
            <w:pPr>
              <w:spacing w:before="120" w:after="120" w:line="360" w:lineRule="auto"/>
              <w:rPr>
                <w:rFonts w:cs="Arial"/>
                <w:sz w:val="24"/>
                <w:szCs w:val="24"/>
              </w:rPr>
            </w:pPr>
            <w:r w:rsidRPr="00106216">
              <w:rPr>
                <w:rFonts w:cs="Arial"/>
                <w:sz w:val="24"/>
                <w:szCs w:val="24"/>
              </w:rPr>
              <w:t>Rheumatic heart disease</w:t>
            </w:r>
          </w:p>
        </w:tc>
        <w:tc>
          <w:tcPr>
            <w:tcW w:w="1890" w:type="dxa"/>
            <w:hideMark/>
          </w:tcPr>
          <w:p w14:paraId="0154C27B" w14:textId="58930D2C" w:rsidR="00442DC7" w:rsidRPr="00106216" w:rsidRDefault="00442DC7" w:rsidP="0018494A">
            <w:pPr>
              <w:spacing w:before="120" w:after="120" w:line="360" w:lineRule="auto"/>
              <w:jc w:val="center"/>
              <w:rPr>
                <w:rFonts w:cs="Arial"/>
                <w:sz w:val="24"/>
                <w:szCs w:val="24"/>
              </w:rPr>
            </w:pPr>
            <w:r>
              <w:rPr>
                <w:rFonts w:cs="Arial"/>
                <w:sz w:val="24"/>
                <w:szCs w:val="24"/>
              </w:rPr>
              <w:t>0.36</w:t>
            </w:r>
          </w:p>
        </w:tc>
        <w:tc>
          <w:tcPr>
            <w:tcW w:w="1980" w:type="dxa"/>
          </w:tcPr>
          <w:p w14:paraId="2BB5A78D" w14:textId="1C6D2E33" w:rsidR="00442DC7" w:rsidRDefault="00442DC7" w:rsidP="0018494A">
            <w:pPr>
              <w:spacing w:before="120" w:after="120" w:line="360" w:lineRule="auto"/>
              <w:jc w:val="center"/>
              <w:rPr>
                <w:rFonts w:cs="Arial"/>
                <w:sz w:val="24"/>
                <w:szCs w:val="24"/>
              </w:rPr>
            </w:pPr>
            <w:r>
              <w:rPr>
                <w:rFonts w:cs="Arial"/>
                <w:sz w:val="24"/>
                <w:szCs w:val="24"/>
              </w:rPr>
              <w:t>0.35%</w:t>
            </w:r>
          </w:p>
        </w:tc>
      </w:tr>
      <w:tr w:rsidR="00442DC7" w:rsidRPr="00106216" w14:paraId="1C6D12B4" w14:textId="77777777" w:rsidTr="00514E77">
        <w:trPr>
          <w:trHeight w:val="615"/>
        </w:trPr>
        <w:tc>
          <w:tcPr>
            <w:tcW w:w="4765" w:type="dxa"/>
            <w:hideMark/>
          </w:tcPr>
          <w:p w14:paraId="051C58F4" w14:textId="77777777" w:rsidR="00442DC7" w:rsidRPr="00106216" w:rsidRDefault="00442DC7" w:rsidP="0018494A">
            <w:pPr>
              <w:spacing w:before="120" w:after="120" w:line="360" w:lineRule="auto"/>
              <w:rPr>
                <w:rFonts w:cs="Arial"/>
                <w:sz w:val="24"/>
                <w:szCs w:val="24"/>
              </w:rPr>
            </w:pPr>
            <w:r w:rsidRPr="00106216">
              <w:rPr>
                <w:rFonts w:cs="Arial"/>
                <w:sz w:val="24"/>
                <w:szCs w:val="24"/>
              </w:rPr>
              <w:t>Ischemic heart disease</w:t>
            </w:r>
          </w:p>
        </w:tc>
        <w:tc>
          <w:tcPr>
            <w:tcW w:w="1890" w:type="dxa"/>
            <w:hideMark/>
          </w:tcPr>
          <w:p w14:paraId="2B8D2B7C" w14:textId="23920C82" w:rsidR="00442DC7" w:rsidRPr="00106216" w:rsidRDefault="00442DC7" w:rsidP="0018494A">
            <w:pPr>
              <w:spacing w:before="120" w:after="120" w:line="360" w:lineRule="auto"/>
              <w:jc w:val="center"/>
              <w:rPr>
                <w:rFonts w:cs="Arial"/>
                <w:sz w:val="24"/>
                <w:szCs w:val="24"/>
              </w:rPr>
            </w:pPr>
            <w:r>
              <w:rPr>
                <w:rFonts w:cs="Arial"/>
                <w:sz w:val="24"/>
                <w:szCs w:val="24"/>
              </w:rPr>
              <w:t>46.45</w:t>
            </w:r>
          </w:p>
        </w:tc>
        <w:tc>
          <w:tcPr>
            <w:tcW w:w="1980" w:type="dxa"/>
          </w:tcPr>
          <w:p w14:paraId="61C9F947" w14:textId="34F6909F" w:rsidR="00442DC7" w:rsidRDefault="00442DC7" w:rsidP="0018494A">
            <w:pPr>
              <w:spacing w:before="120" w:after="120" w:line="360" w:lineRule="auto"/>
              <w:jc w:val="center"/>
              <w:rPr>
                <w:rFonts w:cs="Arial"/>
                <w:sz w:val="24"/>
                <w:szCs w:val="24"/>
              </w:rPr>
            </w:pPr>
            <w:r>
              <w:rPr>
                <w:rFonts w:cs="Arial"/>
                <w:sz w:val="24"/>
                <w:szCs w:val="24"/>
              </w:rPr>
              <w:t>45.62%</w:t>
            </w:r>
          </w:p>
        </w:tc>
      </w:tr>
      <w:tr w:rsidR="00442DC7" w:rsidRPr="00106216" w14:paraId="150DA4E4" w14:textId="77777777" w:rsidTr="00514E77">
        <w:trPr>
          <w:trHeight w:val="615"/>
        </w:trPr>
        <w:tc>
          <w:tcPr>
            <w:tcW w:w="4765" w:type="dxa"/>
            <w:hideMark/>
          </w:tcPr>
          <w:p w14:paraId="1F734B2D" w14:textId="77777777" w:rsidR="00442DC7" w:rsidRPr="00106216" w:rsidRDefault="00442DC7" w:rsidP="0018494A">
            <w:pPr>
              <w:spacing w:before="120" w:after="120" w:line="360" w:lineRule="auto"/>
              <w:rPr>
                <w:rFonts w:cs="Arial"/>
                <w:sz w:val="24"/>
                <w:szCs w:val="24"/>
              </w:rPr>
            </w:pPr>
            <w:r w:rsidRPr="00106216">
              <w:rPr>
                <w:rFonts w:cs="Arial"/>
                <w:sz w:val="24"/>
                <w:szCs w:val="24"/>
              </w:rPr>
              <w:t>Hypertensive heart disease</w:t>
            </w:r>
          </w:p>
        </w:tc>
        <w:tc>
          <w:tcPr>
            <w:tcW w:w="1890" w:type="dxa"/>
            <w:hideMark/>
          </w:tcPr>
          <w:p w14:paraId="2517B146" w14:textId="721702D8" w:rsidR="00442DC7" w:rsidRPr="00106216" w:rsidRDefault="00442DC7" w:rsidP="0018494A">
            <w:pPr>
              <w:spacing w:before="120" w:after="120" w:line="360" w:lineRule="auto"/>
              <w:jc w:val="center"/>
              <w:rPr>
                <w:rFonts w:cs="Arial"/>
                <w:sz w:val="24"/>
                <w:szCs w:val="24"/>
              </w:rPr>
            </w:pPr>
            <w:r>
              <w:rPr>
                <w:rFonts w:cs="Arial"/>
                <w:sz w:val="24"/>
                <w:szCs w:val="24"/>
              </w:rPr>
              <w:t>3.91</w:t>
            </w:r>
          </w:p>
        </w:tc>
        <w:tc>
          <w:tcPr>
            <w:tcW w:w="1980" w:type="dxa"/>
          </w:tcPr>
          <w:p w14:paraId="18F89F8D" w14:textId="42435122" w:rsidR="00442DC7" w:rsidRDefault="00442DC7" w:rsidP="0018494A">
            <w:pPr>
              <w:spacing w:before="120" w:after="120" w:line="360" w:lineRule="auto"/>
              <w:jc w:val="center"/>
              <w:rPr>
                <w:rFonts w:cs="Arial"/>
                <w:sz w:val="24"/>
                <w:szCs w:val="24"/>
              </w:rPr>
            </w:pPr>
            <w:r>
              <w:rPr>
                <w:rFonts w:cs="Arial"/>
                <w:sz w:val="24"/>
                <w:szCs w:val="24"/>
              </w:rPr>
              <w:t>3.84%</w:t>
            </w:r>
          </w:p>
        </w:tc>
      </w:tr>
      <w:tr w:rsidR="00442DC7" w:rsidRPr="00106216" w14:paraId="6EEA3DC6" w14:textId="77777777" w:rsidTr="00514E77">
        <w:trPr>
          <w:trHeight w:val="315"/>
        </w:trPr>
        <w:tc>
          <w:tcPr>
            <w:tcW w:w="4765" w:type="dxa"/>
            <w:hideMark/>
          </w:tcPr>
          <w:p w14:paraId="477B68F0" w14:textId="77777777" w:rsidR="00442DC7" w:rsidRPr="00106216" w:rsidRDefault="00442DC7" w:rsidP="0018494A">
            <w:pPr>
              <w:spacing w:before="120" w:after="120" w:line="360" w:lineRule="auto"/>
              <w:rPr>
                <w:rFonts w:cs="Arial"/>
                <w:sz w:val="24"/>
                <w:szCs w:val="24"/>
              </w:rPr>
            </w:pPr>
            <w:r w:rsidRPr="00106216">
              <w:rPr>
                <w:rFonts w:cs="Arial"/>
                <w:sz w:val="24"/>
                <w:szCs w:val="24"/>
              </w:rPr>
              <w:t>Stroke</w:t>
            </w:r>
          </w:p>
        </w:tc>
        <w:tc>
          <w:tcPr>
            <w:tcW w:w="1890" w:type="dxa"/>
            <w:hideMark/>
          </w:tcPr>
          <w:p w14:paraId="64759C2C" w14:textId="2B8C6DE1" w:rsidR="00442DC7" w:rsidRPr="00106216" w:rsidRDefault="00442DC7" w:rsidP="0018494A">
            <w:pPr>
              <w:spacing w:before="120" w:after="120" w:line="360" w:lineRule="auto"/>
              <w:jc w:val="center"/>
              <w:rPr>
                <w:rFonts w:cs="Arial"/>
                <w:sz w:val="24"/>
                <w:szCs w:val="24"/>
              </w:rPr>
            </w:pPr>
            <w:r>
              <w:rPr>
                <w:rFonts w:cs="Arial"/>
                <w:sz w:val="24"/>
                <w:szCs w:val="24"/>
              </w:rPr>
              <w:t>20.69</w:t>
            </w:r>
          </w:p>
        </w:tc>
        <w:tc>
          <w:tcPr>
            <w:tcW w:w="1980" w:type="dxa"/>
          </w:tcPr>
          <w:p w14:paraId="0EF52DC9" w14:textId="45601320" w:rsidR="00442DC7" w:rsidRDefault="00442DC7" w:rsidP="0018494A">
            <w:pPr>
              <w:spacing w:before="120" w:after="120" w:line="360" w:lineRule="auto"/>
              <w:jc w:val="center"/>
              <w:rPr>
                <w:rFonts w:cs="Arial"/>
                <w:sz w:val="24"/>
                <w:szCs w:val="24"/>
              </w:rPr>
            </w:pPr>
            <w:r>
              <w:rPr>
                <w:rFonts w:cs="Arial"/>
                <w:sz w:val="24"/>
                <w:szCs w:val="24"/>
              </w:rPr>
              <w:t>20.32%</w:t>
            </w:r>
          </w:p>
        </w:tc>
      </w:tr>
      <w:tr w:rsidR="00442DC7" w:rsidRPr="00106216" w14:paraId="2A3C0433" w14:textId="77777777" w:rsidTr="00514E77">
        <w:trPr>
          <w:trHeight w:val="615"/>
        </w:trPr>
        <w:tc>
          <w:tcPr>
            <w:tcW w:w="4765" w:type="dxa"/>
            <w:hideMark/>
          </w:tcPr>
          <w:p w14:paraId="2B50D941" w14:textId="77777777" w:rsidR="00442DC7" w:rsidRPr="00106216" w:rsidRDefault="00442DC7" w:rsidP="0018494A">
            <w:pPr>
              <w:spacing w:before="120" w:after="120" w:line="360" w:lineRule="auto"/>
              <w:rPr>
                <w:rFonts w:cs="Arial"/>
                <w:sz w:val="24"/>
                <w:szCs w:val="24"/>
              </w:rPr>
            </w:pPr>
            <w:r w:rsidRPr="00106216">
              <w:rPr>
                <w:rFonts w:cs="Arial"/>
                <w:sz w:val="24"/>
                <w:szCs w:val="24"/>
              </w:rPr>
              <w:t>Atrial fibrillation and flutter</w:t>
            </w:r>
          </w:p>
        </w:tc>
        <w:tc>
          <w:tcPr>
            <w:tcW w:w="1890" w:type="dxa"/>
            <w:hideMark/>
          </w:tcPr>
          <w:p w14:paraId="57AB640F" w14:textId="11CA89EB" w:rsidR="00442DC7" w:rsidRPr="00106216" w:rsidRDefault="00442DC7" w:rsidP="0018494A">
            <w:pPr>
              <w:spacing w:before="120" w:after="120" w:line="360" w:lineRule="auto"/>
              <w:jc w:val="center"/>
              <w:rPr>
                <w:rFonts w:cs="Arial"/>
                <w:sz w:val="24"/>
                <w:szCs w:val="24"/>
              </w:rPr>
            </w:pPr>
            <w:r>
              <w:rPr>
                <w:rFonts w:cs="Arial"/>
                <w:sz w:val="24"/>
                <w:szCs w:val="24"/>
              </w:rPr>
              <w:t>6.13</w:t>
            </w:r>
          </w:p>
        </w:tc>
        <w:tc>
          <w:tcPr>
            <w:tcW w:w="1980" w:type="dxa"/>
          </w:tcPr>
          <w:p w14:paraId="652A7E4C" w14:textId="2219C74D" w:rsidR="00442DC7" w:rsidRDefault="00442DC7" w:rsidP="0018494A">
            <w:pPr>
              <w:spacing w:before="120" w:after="120" w:line="360" w:lineRule="auto"/>
              <w:jc w:val="center"/>
              <w:rPr>
                <w:rFonts w:cs="Arial"/>
                <w:sz w:val="24"/>
                <w:szCs w:val="24"/>
              </w:rPr>
            </w:pPr>
            <w:r>
              <w:rPr>
                <w:rFonts w:cs="Arial"/>
                <w:sz w:val="24"/>
                <w:szCs w:val="24"/>
              </w:rPr>
              <w:t>6.02%</w:t>
            </w:r>
          </w:p>
        </w:tc>
      </w:tr>
      <w:tr w:rsidR="00442DC7" w:rsidRPr="00106216" w14:paraId="72DECE6C" w14:textId="77777777" w:rsidTr="00514E77">
        <w:trPr>
          <w:trHeight w:val="315"/>
        </w:trPr>
        <w:tc>
          <w:tcPr>
            <w:tcW w:w="4765" w:type="dxa"/>
            <w:hideMark/>
          </w:tcPr>
          <w:p w14:paraId="5B79E328" w14:textId="77777777" w:rsidR="00442DC7" w:rsidRPr="00106216" w:rsidRDefault="00442DC7" w:rsidP="0018494A">
            <w:pPr>
              <w:spacing w:before="120" w:after="120" w:line="360" w:lineRule="auto"/>
              <w:rPr>
                <w:rFonts w:cs="Arial"/>
                <w:sz w:val="24"/>
                <w:szCs w:val="24"/>
              </w:rPr>
            </w:pPr>
            <w:r w:rsidRPr="00106216">
              <w:rPr>
                <w:rFonts w:cs="Arial"/>
                <w:sz w:val="24"/>
                <w:szCs w:val="24"/>
              </w:rPr>
              <w:t>Aortic aneurysm</w:t>
            </w:r>
          </w:p>
        </w:tc>
        <w:tc>
          <w:tcPr>
            <w:tcW w:w="1890" w:type="dxa"/>
            <w:hideMark/>
          </w:tcPr>
          <w:p w14:paraId="6E0C4C12" w14:textId="51FFA106" w:rsidR="00442DC7" w:rsidRPr="00106216" w:rsidRDefault="00442DC7" w:rsidP="0018494A">
            <w:pPr>
              <w:spacing w:before="120" w:after="120" w:line="360" w:lineRule="auto"/>
              <w:jc w:val="center"/>
              <w:rPr>
                <w:rFonts w:cs="Arial"/>
                <w:sz w:val="24"/>
                <w:szCs w:val="24"/>
              </w:rPr>
            </w:pPr>
            <w:r>
              <w:rPr>
                <w:rFonts w:cs="Arial"/>
                <w:sz w:val="24"/>
                <w:szCs w:val="24"/>
              </w:rPr>
              <w:t>1.45</w:t>
            </w:r>
          </w:p>
        </w:tc>
        <w:tc>
          <w:tcPr>
            <w:tcW w:w="1980" w:type="dxa"/>
          </w:tcPr>
          <w:p w14:paraId="68CF46DF" w14:textId="56D14B07" w:rsidR="00442DC7" w:rsidRDefault="00442DC7" w:rsidP="0018494A">
            <w:pPr>
              <w:spacing w:before="120" w:after="120" w:line="360" w:lineRule="auto"/>
              <w:jc w:val="center"/>
              <w:rPr>
                <w:rFonts w:cs="Arial"/>
                <w:sz w:val="24"/>
                <w:szCs w:val="24"/>
              </w:rPr>
            </w:pPr>
            <w:r>
              <w:rPr>
                <w:rFonts w:cs="Arial"/>
                <w:sz w:val="24"/>
                <w:szCs w:val="24"/>
              </w:rPr>
              <w:t>1.42%</w:t>
            </w:r>
          </w:p>
        </w:tc>
      </w:tr>
      <w:tr w:rsidR="00442DC7" w:rsidRPr="00106216" w14:paraId="1E1C7440" w14:textId="77777777" w:rsidTr="00514E77">
        <w:trPr>
          <w:trHeight w:val="615"/>
        </w:trPr>
        <w:tc>
          <w:tcPr>
            <w:tcW w:w="4765" w:type="dxa"/>
            <w:hideMark/>
          </w:tcPr>
          <w:p w14:paraId="68A1F746" w14:textId="77777777" w:rsidR="00442DC7" w:rsidRPr="00106216" w:rsidRDefault="00442DC7" w:rsidP="0018494A">
            <w:pPr>
              <w:spacing w:before="120" w:after="120" w:line="360" w:lineRule="auto"/>
              <w:rPr>
                <w:rFonts w:cs="Arial"/>
                <w:sz w:val="24"/>
                <w:szCs w:val="24"/>
              </w:rPr>
            </w:pPr>
            <w:r w:rsidRPr="00106216">
              <w:rPr>
                <w:rFonts w:cs="Arial"/>
                <w:sz w:val="24"/>
                <w:szCs w:val="24"/>
              </w:rPr>
              <w:t>Peripheral artery disease</w:t>
            </w:r>
          </w:p>
        </w:tc>
        <w:tc>
          <w:tcPr>
            <w:tcW w:w="1890" w:type="dxa"/>
            <w:hideMark/>
          </w:tcPr>
          <w:p w14:paraId="289823F4" w14:textId="3638424E" w:rsidR="00442DC7" w:rsidRPr="00106216" w:rsidRDefault="00442DC7" w:rsidP="0018494A">
            <w:pPr>
              <w:spacing w:before="120" w:after="120" w:line="360" w:lineRule="auto"/>
              <w:jc w:val="center"/>
              <w:rPr>
                <w:rFonts w:cs="Arial"/>
                <w:sz w:val="24"/>
                <w:szCs w:val="24"/>
              </w:rPr>
            </w:pPr>
            <w:r>
              <w:rPr>
                <w:rFonts w:cs="Arial"/>
                <w:sz w:val="24"/>
                <w:szCs w:val="24"/>
              </w:rPr>
              <w:t>0.87</w:t>
            </w:r>
          </w:p>
        </w:tc>
        <w:tc>
          <w:tcPr>
            <w:tcW w:w="1980" w:type="dxa"/>
          </w:tcPr>
          <w:p w14:paraId="6FA81437" w14:textId="2754805B" w:rsidR="00442DC7" w:rsidRDefault="00442DC7" w:rsidP="0018494A">
            <w:pPr>
              <w:spacing w:before="120" w:after="120" w:line="360" w:lineRule="auto"/>
              <w:jc w:val="center"/>
              <w:rPr>
                <w:rFonts w:cs="Arial"/>
                <w:sz w:val="24"/>
                <w:szCs w:val="24"/>
              </w:rPr>
            </w:pPr>
            <w:r>
              <w:rPr>
                <w:rFonts w:cs="Arial"/>
                <w:sz w:val="24"/>
                <w:szCs w:val="24"/>
              </w:rPr>
              <w:t>0.85%</w:t>
            </w:r>
          </w:p>
        </w:tc>
      </w:tr>
      <w:tr w:rsidR="00442DC7" w:rsidRPr="00106216" w14:paraId="25CB55B7" w14:textId="77777777" w:rsidTr="00514E77">
        <w:trPr>
          <w:trHeight w:val="315"/>
        </w:trPr>
        <w:tc>
          <w:tcPr>
            <w:tcW w:w="4765" w:type="dxa"/>
            <w:hideMark/>
          </w:tcPr>
          <w:p w14:paraId="44A46EE0" w14:textId="77777777" w:rsidR="00442DC7" w:rsidRPr="00106216" w:rsidRDefault="00442DC7" w:rsidP="0018494A">
            <w:pPr>
              <w:spacing w:before="120" w:after="120" w:line="360" w:lineRule="auto"/>
              <w:rPr>
                <w:rFonts w:cs="Arial"/>
                <w:sz w:val="24"/>
                <w:szCs w:val="24"/>
              </w:rPr>
            </w:pPr>
            <w:r w:rsidRPr="00106216">
              <w:rPr>
                <w:rFonts w:cs="Arial"/>
                <w:sz w:val="24"/>
                <w:szCs w:val="24"/>
              </w:rPr>
              <w:t>Endocarditis</w:t>
            </w:r>
          </w:p>
        </w:tc>
        <w:tc>
          <w:tcPr>
            <w:tcW w:w="1890" w:type="dxa"/>
            <w:hideMark/>
          </w:tcPr>
          <w:p w14:paraId="733E66FB" w14:textId="235174C9" w:rsidR="00442DC7" w:rsidRPr="00106216" w:rsidRDefault="00442DC7" w:rsidP="0018494A">
            <w:pPr>
              <w:spacing w:before="120" w:after="120" w:line="360" w:lineRule="auto"/>
              <w:jc w:val="center"/>
              <w:rPr>
                <w:rFonts w:cs="Arial"/>
                <w:sz w:val="24"/>
                <w:szCs w:val="24"/>
              </w:rPr>
            </w:pPr>
            <w:r>
              <w:rPr>
                <w:rFonts w:cs="Arial"/>
                <w:sz w:val="24"/>
                <w:szCs w:val="24"/>
              </w:rPr>
              <w:t>0.43</w:t>
            </w:r>
          </w:p>
        </w:tc>
        <w:tc>
          <w:tcPr>
            <w:tcW w:w="1980" w:type="dxa"/>
          </w:tcPr>
          <w:p w14:paraId="3C01A2B2" w14:textId="06F9FE4B" w:rsidR="00442DC7" w:rsidRDefault="00442DC7" w:rsidP="0018494A">
            <w:pPr>
              <w:spacing w:before="120" w:after="120" w:line="360" w:lineRule="auto"/>
              <w:jc w:val="center"/>
              <w:rPr>
                <w:rFonts w:cs="Arial"/>
                <w:sz w:val="24"/>
                <w:szCs w:val="24"/>
              </w:rPr>
            </w:pPr>
            <w:r>
              <w:rPr>
                <w:rFonts w:cs="Arial"/>
                <w:sz w:val="24"/>
                <w:szCs w:val="24"/>
              </w:rPr>
              <w:t>0.42%</w:t>
            </w:r>
          </w:p>
        </w:tc>
      </w:tr>
      <w:tr w:rsidR="00442DC7" w:rsidRPr="00106216" w14:paraId="7D58D9E0" w14:textId="77777777" w:rsidTr="0018494A">
        <w:trPr>
          <w:trHeight w:val="523"/>
        </w:trPr>
        <w:tc>
          <w:tcPr>
            <w:tcW w:w="4765" w:type="dxa"/>
            <w:hideMark/>
          </w:tcPr>
          <w:p w14:paraId="04A41929" w14:textId="77777777" w:rsidR="00442DC7" w:rsidRPr="00106216" w:rsidRDefault="00442DC7" w:rsidP="0018494A">
            <w:pPr>
              <w:spacing w:before="120" w:after="120" w:line="360" w:lineRule="auto"/>
              <w:rPr>
                <w:rFonts w:cs="Arial"/>
                <w:sz w:val="24"/>
                <w:szCs w:val="24"/>
              </w:rPr>
            </w:pPr>
            <w:r w:rsidRPr="00106216">
              <w:rPr>
                <w:rFonts w:cs="Arial"/>
                <w:sz w:val="24"/>
                <w:szCs w:val="24"/>
              </w:rPr>
              <w:t>Non-rheumatic valvular heart disease</w:t>
            </w:r>
          </w:p>
        </w:tc>
        <w:tc>
          <w:tcPr>
            <w:tcW w:w="1890" w:type="dxa"/>
            <w:hideMark/>
          </w:tcPr>
          <w:p w14:paraId="2665FEE8" w14:textId="0B6EDE39" w:rsidR="00442DC7" w:rsidRPr="00106216" w:rsidRDefault="00442DC7" w:rsidP="0018494A">
            <w:pPr>
              <w:spacing w:before="120" w:after="120" w:line="360" w:lineRule="auto"/>
              <w:jc w:val="center"/>
              <w:rPr>
                <w:rFonts w:cs="Arial"/>
                <w:sz w:val="24"/>
                <w:szCs w:val="24"/>
              </w:rPr>
            </w:pPr>
            <w:r>
              <w:rPr>
                <w:rFonts w:cs="Arial"/>
                <w:sz w:val="24"/>
                <w:szCs w:val="24"/>
              </w:rPr>
              <w:t>1.35</w:t>
            </w:r>
          </w:p>
        </w:tc>
        <w:tc>
          <w:tcPr>
            <w:tcW w:w="1980" w:type="dxa"/>
          </w:tcPr>
          <w:p w14:paraId="31F0C8EC" w14:textId="374FD92B" w:rsidR="00442DC7" w:rsidRDefault="00442DC7" w:rsidP="0018494A">
            <w:pPr>
              <w:spacing w:before="120" w:after="120" w:line="360" w:lineRule="auto"/>
              <w:jc w:val="center"/>
              <w:rPr>
                <w:rFonts w:cs="Arial"/>
                <w:sz w:val="24"/>
                <w:szCs w:val="24"/>
              </w:rPr>
            </w:pPr>
            <w:r>
              <w:rPr>
                <w:rFonts w:cs="Arial"/>
                <w:sz w:val="24"/>
                <w:szCs w:val="24"/>
              </w:rPr>
              <w:t>1.33%</w:t>
            </w:r>
          </w:p>
        </w:tc>
      </w:tr>
      <w:tr w:rsidR="00442DC7" w:rsidRPr="00106216" w14:paraId="2083DE73" w14:textId="77777777" w:rsidTr="00514E77">
        <w:trPr>
          <w:trHeight w:val="915"/>
        </w:trPr>
        <w:tc>
          <w:tcPr>
            <w:tcW w:w="4765" w:type="dxa"/>
            <w:hideMark/>
          </w:tcPr>
          <w:p w14:paraId="54AB65E7" w14:textId="77777777" w:rsidR="00442DC7" w:rsidRPr="00106216" w:rsidRDefault="00442DC7" w:rsidP="0018494A">
            <w:pPr>
              <w:spacing w:before="120" w:after="120" w:line="360" w:lineRule="auto"/>
              <w:rPr>
                <w:rFonts w:cs="Arial"/>
                <w:sz w:val="24"/>
                <w:szCs w:val="24"/>
              </w:rPr>
            </w:pPr>
            <w:r w:rsidRPr="00106216">
              <w:rPr>
                <w:rFonts w:cs="Arial"/>
                <w:sz w:val="24"/>
                <w:szCs w:val="24"/>
              </w:rPr>
              <w:t>Other cardiovascular and circulatory diseases</w:t>
            </w:r>
          </w:p>
        </w:tc>
        <w:tc>
          <w:tcPr>
            <w:tcW w:w="1890" w:type="dxa"/>
            <w:hideMark/>
          </w:tcPr>
          <w:p w14:paraId="4E712EC0" w14:textId="0D4B23C3" w:rsidR="00442DC7" w:rsidRPr="00106216" w:rsidRDefault="00442DC7" w:rsidP="0018494A">
            <w:pPr>
              <w:spacing w:before="120" w:after="120" w:line="360" w:lineRule="auto"/>
              <w:jc w:val="center"/>
              <w:rPr>
                <w:rFonts w:cs="Arial"/>
                <w:sz w:val="24"/>
                <w:szCs w:val="24"/>
              </w:rPr>
            </w:pPr>
            <w:r>
              <w:rPr>
                <w:rFonts w:cs="Arial"/>
                <w:sz w:val="24"/>
                <w:szCs w:val="24"/>
              </w:rPr>
              <w:t>1.37</w:t>
            </w:r>
          </w:p>
        </w:tc>
        <w:tc>
          <w:tcPr>
            <w:tcW w:w="1980" w:type="dxa"/>
          </w:tcPr>
          <w:p w14:paraId="671B61CD" w14:textId="36EC5AB6" w:rsidR="00442DC7" w:rsidRDefault="00442DC7" w:rsidP="0018494A">
            <w:pPr>
              <w:spacing w:before="120" w:after="120" w:line="360" w:lineRule="auto"/>
              <w:jc w:val="center"/>
              <w:rPr>
                <w:rFonts w:cs="Arial"/>
                <w:sz w:val="24"/>
                <w:szCs w:val="24"/>
              </w:rPr>
            </w:pPr>
            <w:r>
              <w:rPr>
                <w:rFonts w:cs="Arial"/>
                <w:sz w:val="24"/>
                <w:szCs w:val="24"/>
              </w:rPr>
              <w:t>1.35%</w:t>
            </w:r>
          </w:p>
        </w:tc>
      </w:tr>
      <w:tr w:rsidR="00442DC7" w:rsidRPr="00106216" w14:paraId="01468F7F" w14:textId="77777777" w:rsidTr="00514E77">
        <w:trPr>
          <w:trHeight w:val="615"/>
        </w:trPr>
        <w:tc>
          <w:tcPr>
            <w:tcW w:w="4765" w:type="dxa"/>
            <w:hideMark/>
          </w:tcPr>
          <w:p w14:paraId="7DF9A79B" w14:textId="77777777" w:rsidR="00442DC7" w:rsidRPr="00106216" w:rsidRDefault="00442DC7" w:rsidP="0018494A">
            <w:pPr>
              <w:spacing w:before="120" w:after="120" w:line="360" w:lineRule="auto"/>
              <w:rPr>
                <w:rFonts w:cs="Arial"/>
                <w:sz w:val="24"/>
                <w:szCs w:val="24"/>
              </w:rPr>
            </w:pPr>
            <w:r w:rsidRPr="00106216">
              <w:rPr>
                <w:rFonts w:cs="Arial"/>
                <w:sz w:val="24"/>
                <w:szCs w:val="24"/>
              </w:rPr>
              <w:t>Cardiomyopathy and myocarditis</w:t>
            </w:r>
          </w:p>
        </w:tc>
        <w:tc>
          <w:tcPr>
            <w:tcW w:w="1890" w:type="dxa"/>
            <w:hideMark/>
          </w:tcPr>
          <w:p w14:paraId="6D9FF099" w14:textId="321E4D45" w:rsidR="00442DC7" w:rsidRPr="00106216" w:rsidRDefault="00442DC7" w:rsidP="0018494A">
            <w:pPr>
              <w:spacing w:before="120" w:after="120" w:line="360" w:lineRule="auto"/>
              <w:jc w:val="center"/>
              <w:rPr>
                <w:rFonts w:cs="Arial"/>
                <w:sz w:val="24"/>
                <w:szCs w:val="24"/>
              </w:rPr>
            </w:pPr>
            <w:r>
              <w:rPr>
                <w:rFonts w:cs="Arial"/>
                <w:sz w:val="24"/>
                <w:szCs w:val="24"/>
              </w:rPr>
              <w:t>1.14</w:t>
            </w:r>
          </w:p>
        </w:tc>
        <w:tc>
          <w:tcPr>
            <w:tcW w:w="1980" w:type="dxa"/>
          </w:tcPr>
          <w:p w14:paraId="2BDE1133" w14:textId="4F872A21" w:rsidR="00442DC7" w:rsidRDefault="00442DC7" w:rsidP="0018494A">
            <w:pPr>
              <w:spacing w:before="120" w:after="120" w:line="360" w:lineRule="auto"/>
              <w:jc w:val="center"/>
              <w:rPr>
                <w:rFonts w:cs="Arial"/>
                <w:sz w:val="24"/>
                <w:szCs w:val="24"/>
              </w:rPr>
            </w:pPr>
            <w:r>
              <w:rPr>
                <w:rFonts w:cs="Arial"/>
                <w:sz w:val="24"/>
                <w:szCs w:val="24"/>
              </w:rPr>
              <w:t>1.12%</w:t>
            </w:r>
          </w:p>
        </w:tc>
      </w:tr>
      <w:tr w:rsidR="00442DC7" w:rsidRPr="00106216" w14:paraId="64B94F5C" w14:textId="77777777" w:rsidTr="00514E77">
        <w:trPr>
          <w:trHeight w:val="615"/>
        </w:trPr>
        <w:tc>
          <w:tcPr>
            <w:tcW w:w="4765" w:type="dxa"/>
            <w:hideMark/>
          </w:tcPr>
          <w:p w14:paraId="0AFBB6EF" w14:textId="77777777" w:rsidR="00442DC7" w:rsidRPr="00106216" w:rsidRDefault="00442DC7" w:rsidP="0018494A">
            <w:pPr>
              <w:spacing w:before="120" w:after="120" w:line="360" w:lineRule="auto"/>
              <w:rPr>
                <w:rFonts w:cs="Arial"/>
                <w:sz w:val="24"/>
                <w:szCs w:val="24"/>
              </w:rPr>
            </w:pPr>
            <w:r w:rsidRPr="00106216">
              <w:rPr>
                <w:rFonts w:cs="Arial"/>
                <w:sz w:val="24"/>
                <w:szCs w:val="24"/>
              </w:rPr>
              <w:t>Chronic kidney disease</w:t>
            </w:r>
          </w:p>
        </w:tc>
        <w:tc>
          <w:tcPr>
            <w:tcW w:w="1890" w:type="dxa"/>
            <w:hideMark/>
          </w:tcPr>
          <w:p w14:paraId="75A5A05A" w14:textId="0F681A92" w:rsidR="00442DC7" w:rsidRPr="00106216" w:rsidRDefault="00442DC7" w:rsidP="0018494A">
            <w:pPr>
              <w:spacing w:before="120" w:after="120" w:line="360" w:lineRule="auto"/>
              <w:jc w:val="center"/>
              <w:rPr>
                <w:rFonts w:cs="Arial"/>
                <w:sz w:val="24"/>
                <w:szCs w:val="24"/>
              </w:rPr>
            </w:pPr>
            <w:r>
              <w:rPr>
                <w:rFonts w:cs="Arial"/>
                <w:sz w:val="24"/>
                <w:szCs w:val="24"/>
              </w:rPr>
              <w:t>9.53</w:t>
            </w:r>
          </w:p>
        </w:tc>
        <w:tc>
          <w:tcPr>
            <w:tcW w:w="1980" w:type="dxa"/>
          </w:tcPr>
          <w:p w14:paraId="6E058482" w14:textId="27CFF9B4" w:rsidR="00442DC7" w:rsidRDefault="00442DC7" w:rsidP="0018494A">
            <w:pPr>
              <w:spacing w:before="120" w:after="120" w:line="360" w:lineRule="auto"/>
              <w:jc w:val="center"/>
              <w:rPr>
                <w:rFonts w:cs="Arial"/>
                <w:sz w:val="24"/>
                <w:szCs w:val="24"/>
              </w:rPr>
            </w:pPr>
            <w:r>
              <w:rPr>
                <w:rFonts w:cs="Arial"/>
                <w:sz w:val="24"/>
                <w:szCs w:val="24"/>
              </w:rPr>
              <w:t>9.36%</w:t>
            </w:r>
          </w:p>
        </w:tc>
      </w:tr>
      <w:tr w:rsidR="00442DC7" w:rsidRPr="00106216" w14:paraId="5AB1C7C6" w14:textId="77777777" w:rsidTr="00514E77">
        <w:trPr>
          <w:trHeight w:val="915"/>
        </w:trPr>
        <w:tc>
          <w:tcPr>
            <w:tcW w:w="4765" w:type="dxa"/>
            <w:hideMark/>
          </w:tcPr>
          <w:p w14:paraId="3426580F" w14:textId="77777777" w:rsidR="00442DC7" w:rsidRPr="00106216" w:rsidRDefault="00442DC7" w:rsidP="0018494A">
            <w:pPr>
              <w:spacing w:before="120" w:after="120" w:line="360" w:lineRule="auto"/>
              <w:rPr>
                <w:rFonts w:cs="Arial"/>
                <w:sz w:val="24"/>
                <w:szCs w:val="24"/>
              </w:rPr>
            </w:pPr>
            <w:r w:rsidRPr="00106216">
              <w:rPr>
                <w:rFonts w:cs="Arial"/>
                <w:sz w:val="24"/>
                <w:szCs w:val="24"/>
              </w:rPr>
              <w:lastRenderedPageBreak/>
              <w:t>Idiopathic developmental intellectual disability</w:t>
            </w:r>
          </w:p>
        </w:tc>
        <w:tc>
          <w:tcPr>
            <w:tcW w:w="1890" w:type="dxa"/>
            <w:hideMark/>
          </w:tcPr>
          <w:p w14:paraId="3E0D16E9" w14:textId="70AB3DBD" w:rsidR="00442DC7" w:rsidRPr="00106216" w:rsidRDefault="00442DC7" w:rsidP="0018494A">
            <w:pPr>
              <w:spacing w:before="120" w:after="120" w:line="360" w:lineRule="auto"/>
              <w:jc w:val="center"/>
              <w:rPr>
                <w:rFonts w:cs="Arial"/>
                <w:sz w:val="24"/>
                <w:szCs w:val="24"/>
              </w:rPr>
            </w:pPr>
            <w:r>
              <w:rPr>
                <w:rFonts w:cs="Arial"/>
                <w:sz w:val="24"/>
                <w:szCs w:val="24"/>
              </w:rPr>
              <w:t>8.14</w:t>
            </w:r>
          </w:p>
        </w:tc>
        <w:tc>
          <w:tcPr>
            <w:tcW w:w="1980" w:type="dxa"/>
          </w:tcPr>
          <w:p w14:paraId="1734ABDC" w14:textId="7D26E9A7" w:rsidR="00442DC7" w:rsidRDefault="00442DC7" w:rsidP="0018494A">
            <w:pPr>
              <w:spacing w:before="120" w:after="120" w:line="360" w:lineRule="auto"/>
              <w:jc w:val="center"/>
              <w:rPr>
                <w:rFonts w:cs="Arial"/>
                <w:sz w:val="24"/>
                <w:szCs w:val="24"/>
              </w:rPr>
            </w:pPr>
            <w:r>
              <w:rPr>
                <w:rFonts w:cs="Arial"/>
                <w:sz w:val="24"/>
                <w:szCs w:val="24"/>
              </w:rPr>
              <w:t>7.99%</w:t>
            </w:r>
          </w:p>
        </w:tc>
      </w:tr>
      <w:tr w:rsidR="00442DC7" w:rsidRPr="00106216" w14:paraId="5BB1E3CC" w14:textId="77777777" w:rsidTr="00514E77">
        <w:trPr>
          <w:trHeight w:val="315"/>
        </w:trPr>
        <w:tc>
          <w:tcPr>
            <w:tcW w:w="4765" w:type="dxa"/>
            <w:hideMark/>
          </w:tcPr>
          <w:p w14:paraId="7149E140" w14:textId="77777777" w:rsidR="00442DC7" w:rsidRPr="00106216" w:rsidRDefault="00442DC7" w:rsidP="0018494A">
            <w:pPr>
              <w:spacing w:before="120" w:after="120" w:line="360" w:lineRule="auto"/>
              <w:rPr>
                <w:rFonts w:cs="Arial"/>
                <w:b/>
                <w:bCs/>
                <w:sz w:val="24"/>
                <w:szCs w:val="24"/>
              </w:rPr>
            </w:pPr>
            <w:r w:rsidRPr="00106216">
              <w:rPr>
                <w:rFonts w:cs="Arial"/>
                <w:b/>
                <w:bCs/>
                <w:sz w:val="24"/>
                <w:szCs w:val="24"/>
              </w:rPr>
              <w:t xml:space="preserve">Total </w:t>
            </w:r>
          </w:p>
        </w:tc>
        <w:tc>
          <w:tcPr>
            <w:tcW w:w="1890" w:type="dxa"/>
            <w:hideMark/>
          </w:tcPr>
          <w:p w14:paraId="3A534ACA" w14:textId="58DEA02E" w:rsidR="00442DC7" w:rsidRPr="00106216" w:rsidRDefault="00442DC7" w:rsidP="0018494A">
            <w:pPr>
              <w:spacing w:before="120" w:after="120" w:line="360" w:lineRule="auto"/>
              <w:jc w:val="center"/>
              <w:rPr>
                <w:rFonts w:cs="Arial"/>
                <w:b/>
                <w:bCs/>
                <w:sz w:val="24"/>
                <w:szCs w:val="24"/>
              </w:rPr>
            </w:pPr>
            <w:r>
              <w:rPr>
                <w:rFonts w:cs="Arial"/>
                <w:b/>
                <w:bCs/>
                <w:sz w:val="24"/>
                <w:szCs w:val="24"/>
              </w:rPr>
              <w:t>101.83</w:t>
            </w:r>
          </w:p>
        </w:tc>
        <w:tc>
          <w:tcPr>
            <w:tcW w:w="1980" w:type="dxa"/>
          </w:tcPr>
          <w:p w14:paraId="2868E8A6" w14:textId="77777777" w:rsidR="00442DC7" w:rsidRDefault="00442DC7" w:rsidP="0018494A">
            <w:pPr>
              <w:spacing w:before="120" w:after="120" w:line="360" w:lineRule="auto"/>
              <w:jc w:val="center"/>
              <w:rPr>
                <w:rFonts w:cs="Arial"/>
                <w:b/>
                <w:bCs/>
                <w:sz w:val="24"/>
                <w:szCs w:val="24"/>
              </w:rPr>
            </w:pPr>
            <w:r w:rsidRPr="00106216">
              <w:rPr>
                <w:rFonts w:cs="Arial"/>
                <w:b/>
                <w:bCs/>
                <w:sz w:val="24"/>
                <w:szCs w:val="24"/>
              </w:rPr>
              <w:t>100%</w:t>
            </w:r>
          </w:p>
        </w:tc>
      </w:tr>
    </w:tbl>
    <w:p w14:paraId="527CEB7D" w14:textId="67709650" w:rsidR="00442DC7" w:rsidRDefault="00442DC7" w:rsidP="00DA119A">
      <w:pPr>
        <w:spacing w:before="240" w:after="120" w:line="360" w:lineRule="auto"/>
        <w:jc w:val="both"/>
        <w:rPr>
          <w:rFonts w:cs="Arial"/>
          <w:sz w:val="24"/>
          <w:szCs w:val="24"/>
        </w:rPr>
      </w:pPr>
      <w:r>
        <w:rPr>
          <w:rFonts w:cs="Arial"/>
          <w:sz w:val="24"/>
          <w:szCs w:val="24"/>
        </w:rPr>
        <w:t xml:space="preserve">The majority of the burden of disease from lead exposure in Australia is linked to ischemic heart disease, stroke and chronic kidney disease. These conditions represent nearly 75% of the total burden associated with lead exposure. While health literature typically associates these conditions with high lead exposure, the cumulative effect (i.e. lead exposure from multiple sources) is important when considering further regulatory intervention. Individuals who are already exposed to high levels of lead (e.g. through their environment or occupation) are at greater risk from lead exposure from drinking water than individuals who are not. Therefore, reducing the compounding effect of lead exposure in Australia is the basis of current regulatory intervention and is reflected in the goal of reducing lead use to non-essential levels in all goods and consumables, including drinking water. </w:t>
      </w:r>
    </w:p>
    <w:p w14:paraId="7B184C33" w14:textId="2A8248FC" w:rsidR="00442DC7" w:rsidRPr="00DA119A" w:rsidRDefault="00442DC7" w:rsidP="00DA119A">
      <w:pPr>
        <w:spacing w:before="240" w:after="120" w:line="360" w:lineRule="auto"/>
        <w:jc w:val="both"/>
        <w:rPr>
          <w:rFonts w:cs="Arial"/>
          <w:sz w:val="24"/>
          <w:szCs w:val="24"/>
        </w:rPr>
      </w:pPr>
      <w:r w:rsidRPr="00726B83">
        <w:rPr>
          <w:rFonts w:cs="Arial"/>
          <w:sz w:val="24"/>
          <w:szCs w:val="24"/>
        </w:rPr>
        <w:t>The GB</w:t>
      </w:r>
      <w:r>
        <w:rPr>
          <w:rFonts w:cs="Arial"/>
          <w:sz w:val="24"/>
          <w:szCs w:val="24"/>
        </w:rPr>
        <w:t>D</w:t>
      </w:r>
      <w:r w:rsidRPr="00726B83">
        <w:rPr>
          <w:rFonts w:cs="Arial"/>
          <w:sz w:val="24"/>
          <w:szCs w:val="24"/>
        </w:rPr>
        <w:t xml:space="preserve"> database presents</w:t>
      </w:r>
      <w:r>
        <w:rPr>
          <w:rFonts w:cs="Arial"/>
          <w:sz w:val="24"/>
          <w:szCs w:val="24"/>
        </w:rPr>
        <w:t xml:space="preserve"> a DALY range </w:t>
      </w:r>
      <w:r w:rsidRPr="00726B83">
        <w:rPr>
          <w:rFonts w:cs="Arial"/>
          <w:sz w:val="24"/>
          <w:szCs w:val="24"/>
        </w:rPr>
        <w:t>for</w:t>
      </w:r>
      <w:r>
        <w:rPr>
          <w:rFonts w:cs="Arial"/>
          <w:sz w:val="24"/>
          <w:szCs w:val="24"/>
        </w:rPr>
        <w:t xml:space="preserve"> the</w:t>
      </w:r>
      <w:r w:rsidRPr="00726B83">
        <w:rPr>
          <w:rFonts w:cs="Arial"/>
          <w:sz w:val="24"/>
          <w:szCs w:val="24"/>
        </w:rPr>
        <w:t xml:space="preserve"> total lead exposure in Australia.  </w:t>
      </w:r>
      <w:r>
        <w:rPr>
          <w:rFonts w:cs="Arial"/>
          <w:sz w:val="24"/>
          <w:szCs w:val="24"/>
        </w:rPr>
        <w:t>Based on the range of health consequences, t</w:t>
      </w:r>
      <w:r w:rsidRPr="00726B83">
        <w:rPr>
          <w:rFonts w:cs="Arial"/>
          <w:sz w:val="24"/>
          <w:szCs w:val="24"/>
        </w:rPr>
        <w:t xml:space="preserve">he total health related </w:t>
      </w:r>
      <w:r>
        <w:rPr>
          <w:rFonts w:cs="Arial"/>
          <w:sz w:val="24"/>
          <w:szCs w:val="24"/>
        </w:rPr>
        <w:t xml:space="preserve">benefits are </w:t>
      </w:r>
      <w:r w:rsidRPr="00E10F9A">
        <w:rPr>
          <w:rFonts w:cs="Arial"/>
          <w:sz w:val="24"/>
          <w:szCs w:val="24"/>
        </w:rPr>
        <w:t>estimated in</w:t>
      </w:r>
      <w:r>
        <w:rPr>
          <w:rFonts w:cs="Arial"/>
          <w:sz w:val="24"/>
          <w:szCs w:val="24"/>
        </w:rPr>
        <w:t xml:space="preserve"> Table 15</w:t>
      </w:r>
      <w:r w:rsidRPr="00E10F9A">
        <w:rPr>
          <w:rFonts w:cs="Arial"/>
          <w:sz w:val="24"/>
          <w:szCs w:val="24"/>
        </w:rPr>
        <w:t>. These</w:t>
      </w:r>
      <w:r>
        <w:rPr>
          <w:rFonts w:cs="Arial"/>
          <w:sz w:val="24"/>
          <w:szCs w:val="24"/>
        </w:rPr>
        <w:t xml:space="preserve"> benefits have been calculated using the Value of Statistical Life Year (VSLY) and reflects the population’s willingness to pay to avoid such diseases.</w:t>
      </w:r>
      <w:r>
        <w:rPr>
          <w:rStyle w:val="FootnoteReference"/>
          <w:rFonts w:cs="Arial"/>
          <w:sz w:val="24"/>
          <w:szCs w:val="24"/>
        </w:rPr>
        <w:footnoteReference w:id="106"/>
      </w:r>
      <w:r>
        <w:rPr>
          <w:rFonts w:cs="Arial"/>
          <w:sz w:val="24"/>
          <w:szCs w:val="24"/>
        </w:rPr>
        <w:t xml:space="preserve"> </w:t>
      </w:r>
    </w:p>
    <w:p w14:paraId="22C32AC6" w14:textId="5BEE9351" w:rsidR="00442DC7" w:rsidRDefault="00442DC7" w:rsidP="00DA119A">
      <w:pPr>
        <w:pStyle w:val="Caption"/>
      </w:pPr>
      <w:bookmarkStart w:id="258" w:name="_Toc73091873"/>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15</w:t>
      </w:r>
      <w:r w:rsidR="00362D62">
        <w:rPr>
          <w:noProof/>
        </w:rPr>
        <w:fldChar w:fldCharType="end"/>
      </w:r>
      <w:r w:rsidRPr="005A3581">
        <w:t>: Total annual cost of lead exposure in Australia (2019)</w:t>
      </w:r>
      <w:bookmarkEnd w:id="258"/>
    </w:p>
    <w:tbl>
      <w:tblPr>
        <w:tblStyle w:val="TableGrid"/>
        <w:tblW w:w="0" w:type="auto"/>
        <w:tblLayout w:type="fixed"/>
        <w:tblLook w:val="04A0" w:firstRow="1" w:lastRow="0" w:firstColumn="1" w:lastColumn="0" w:noHBand="0" w:noVBand="1"/>
        <w:tblCaption w:val="Table 14: Total annual cost of lead exposure in Australia (2019)"/>
        <w:tblDescription w:val="This table provides a summary of the total cost of lead exposure in Australia in 2019 terms. "/>
      </w:tblPr>
      <w:tblGrid>
        <w:gridCol w:w="2965"/>
        <w:gridCol w:w="2273"/>
        <w:gridCol w:w="1886"/>
        <w:gridCol w:w="1892"/>
      </w:tblGrid>
      <w:tr w:rsidR="00442DC7" w14:paraId="6E91D3DE" w14:textId="77777777" w:rsidTr="00514E77">
        <w:trPr>
          <w:tblHeader/>
        </w:trPr>
        <w:tc>
          <w:tcPr>
            <w:tcW w:w="2965" w:type="dxa"/>
            <w:shd w:val="clear" w:color="auto" w:fill="002060"/>
          </w:tcPr>
          <w:p w14:paraId="6E303976" w14:textId="77777777" w:rsidR="00442DC7" w:rsidRDefault="00442DC7" w:rsidP="00DA119A">
            <w:pPr>
              <w:spacing w:line="360" w:lineRule="auto"/>
              <w:jc w:val="both"/>
              <w:rPr>
                <w:rFonts w:cs="Arial"/>
                <w:sz w:val="24"/>
                <w:szCs w:val="24"/>
              </w:rPr>
            </w:pPr>
            <w:bookmarkStart w:id="259" w:name="_Hlk45877970"/>
          </w:p>
        </w:tc>
        <w:tc>
          <w:tcPr>
            <w:tcW w:w="2273" w:type="dxa"/>
            <w:shd w:val="clear" w:color="auto" w:fill="002060"/>
          </w:tcPr>
          <w:p w14:paraId="4B19444D" w14:textId="77777777" w:rsidR="00442DC7" w:rsidRDefault="00442DC7" w:rsidP="00DA119A">
            <w:pPr>
              <w:spacing w:line="360" w:lineRule="auto"/>
              <w:jc w:val="center"/>
              <w:rPr>
                <w:rFonts w:cs="Arial"/>
                <w:sz w:val="24"/>
                <w:szCs w:val="24"/>
              </w:rPr>
            </w:pPr>
            <w:r>
              <w:rPr>
                <w:rFonts w:cs="Arial"/>
                <w:sz w:val="24"/>
                <w:szCs w:val="24"/>
              </w:rPr>
              <w:t xml:space="preserve">Lower bound estimate </w:t>
            </w:r>
          </w:p>
        </w:tc>
        <w:tc>
          <w:tcPr>
            <w:tcW w:w="1886" w:type="dxa"/>
            <w:shd w:val="clear" w:color="auto" w:fill="002060"/>
          </w:tcPr>
          <w:p w14:paraId="235E0F1F" w14:textId="77777777" w:rsidR="00442DC7" w:rsidRDefault="00442DC7" w:rsidP="00DA119A">
            <w:pPr>
              <w:spacing w:line="360" w:lineRule="auto"/>
              <w:jc w:val="center"/>
              <w:rPr>
                <w:rFonts w:cs="Arial"/>
                <w:sz w:val="24"/>
                <w:szCs w:val="24"/>
              </w:rPr>
            </w:pPr>
            <w:r>
              <w:rPr>
                <w:rFonts w:cs="Arial"/>
                <w:sz w:val="24"/>
                <w:szCs w:val="24"/>
              </w:rPr>
              <w:t>Central estimate</w:t>
            </w:r>
          </w:p>
        </w:tc>
        <w:tc>
          <w:tcPr>
            <w:tcW w:w="1892" w:type="dxa"/>
            <w:shd w:val="clear" w:color="auto" w:fill="002060"/>
          </w:tcPr>
          <w:p w14:paraId="6A76E73C" w14:textId="77777777" w:rsidR="00442DC7" w:rsidRDefault="00442DC7" w:rsidP="00DA119A">
            <w:pPr>
              <w:spacing w:line="360" w:lineRule="auto"/>
              <w:jc w:val="center"/>
              <w:rPr>
                <w:rFonts w:cs="Arial"/>
                <w:sz w:val="24"/>
                <w:szCs w:val="24"/>
              </w:rPr>
            </w:pPr>
            <w:r>
              <w:rPr>
                <w:rFonts w:cs="Arial"/>
                <w:sz w:val="24"/>
                <w:szCs w:val="24"/>
              </w:rPr>
              <w:t xml:space="preserve">Upper bound estimate </w:t>
            </w:r>
          </w:p>
        </w:tc>
      </w:tr>
      <w:tr w:rsidR="00442DC7" w14:paraId="6D2D6047" w14:textId="77777777" w:rsidTr="0016589D">
        <w:tc>
          <w:tcPr>
            <w:tcW w:w="2965" w:type="dxa"/>
          </w:tcPr>
          <w:p w14:paraId="6B79DB24" w14:textId="77777777" w:rsidR="00442DC7" w:rsidRPr="0039350A" w:rsidRDefault="00442DC7" w:rsidP="0018494A">
            <w:pPr>
              <w:spacing w:before="120" w:after="120" w:line="360" w:lineRule="auto"/>
              <w:rPr>
                <w:rFonts w:cs="Arial"/>
                <w:sz w:val="24"/>
                <w:szCs w:val="24"/>
              </w:rPr>
            </w:pPr>
            <w:r w:rsidRPr="0039350A">
              <w:rPr>
                <w:rFonts w:cs="Arial"/>
                <w:sz w:val="24"/>
                <w:szCs w:val="24"/>
              </w:rPr>
              <w:t>Total lead exposure annually</w:t>
            </w:r>
          </w:p>
        </w:tc>
        <w:tc>
          <w:tcPr>
            <w:tcW w:w="2273" w:type="dxa"/>
          </w:tcPr>
          <w:p w14:paraId="3CD8D8B5" w14:textId="115F595E" w:rsidR="00442DC7" w:rsidRPr="0039350A" w:rsidRDefault="00442DC7" w:rsidP="0018494A">
            <w:pPr>
              <w:spacing w:before="120" w:after="120" w:line="600" w:lineRule="auto"/>
              <w:jc w:val="right"/>
              <w:rPr>
                <w:rFonts w:cs="Arial"/>
                <w:sz w:val="24"/>
                <w:szCs w:val="24"/>
              </w:rPr>
            </w:pPr>
            <w:r w:rsidRPr="0039350A">
              <w:rPr>
                <w:sz w:val="24"/>
                <w:szCs w:val="24"/>
              </w:rPr>
              <w:t>$</w:t>
            </w:r>
            <w:r>
              <w:rPr>
                <w:sz w:val="24"/>
                <w:szCs w:val="24"/>
              </w:rPr>
              <w:t>2,366,201,976</w:t>
            </w:r>
          </w:p>
        </w:tc>
        <w:tc>
          <w:tcPr>
            <w:tcW w:w="1886" w:type="dxa"/>
          </w:tcPr>
          <w:p w14:paraId="65FE6F7E" w14:textId="11F42B24" w:rsidR="00442DC7" w:rsidRPr="0039350A" w:rsidRDefault="00442DC7" w:rsidP="0018494A">
            <w:pPr>
              <w:spacing w:before="120" w:after="120" w:line="600" w:lineRule="auto"/>
              <w:jc w:val="right"/>
              <w:rPr>
                <w:rFonts w:cs="Arial"/>
                <w:sz w:val="24"/>
                <w:szCs w:val="24"/>
              </w:rPr>
            </w:pPr>
            <w:r w:rsidRPr="0039350A">
              <w:rPr>
                <w:sz w:val="24"/>
                <w:szCs w:val="24"/>
              </w:rPr>
              <w:t>$</w:t>
            </w:r>
            <w:r>
              <w:rPr>
                <w:sz w:val="24"/>
                <w:szCs w:val="24"/>
              </w:rPr>
              <w:t>4,941,467,259</w:t>
            </w:r>
          </w:p>
        </w:tc>
        <w:tc>
          <w:tcPr>
            <w:tcW w:w="1892" w:type="dxa"/>
          </w:tcPr>
          <w:p w14:paraId="6D082982" w14:textId="5F27BC33" w:rsidR="00442DC7" w:rsidRPr="0039350A" w:rsidRDefault="00442DC7" w:rsidP="0018494A">
            <w:pPr>
              <w:spacing w:before="120" w:after="120" w:line="600" w:lineRule="auto"/>
              <w:jc w:val="right"/>
              <w:rPr>
                <w:rFonts w:cs="Arial"/>
                <w:sz w:val="24"/>
                <w:szCs w:val="24"/>
              </w:rPr>
            </w:pPr>
            <w:r w:rsidRPr="0039350A">
              <w:rPr>
                <w:sz w:val="24"/>
                <w:szCs w:val="24"/>
              </w:rPr>
              <w:t>$</w:t>
            </w:r>
            <w:r>
              <w:rPr>
                <w:sz w:val="24"/>
                <w:szCs w:val="24"/>
              </w:rPr>
              <w:t>7,846,352,924</w:t>
            </w:r>
          </w:p>
        </w:tc>
      </w:tr>
      <w:tr w:rsidR="00442DC7" w14:paraId="36CB70D0" w14:textId="77777777" w:rsidTr="0016589D">
        <w:tc>
          <w:tcPr>
            <w:tcW w:w="2965" w:type="dxa"/>
          </w:tcPr>
          <w:p w14:paraId="00D36DF8" w14:textId="77777777" w:rsidR="00442DC7" w:rsidRPr="0039350A" w:rsidRDefault="00442DC7" w:rsidP="0018494A">
            <w:pPr>
              <w:spacing w:before="120" w:after="120" w:line="360" w:lineRule="auto"/>
              <w:rPr>
                <w:rFonts w:cs="Arial"/>
                <w:sz w:val="24"/>
                <w:szCs w:val="24"/>
              </w:rPr>
            </w:pPr>
            <w:r w:rsidRPr="0039350A">
              <w:rPr>
                <w:rFonts w:cs="Arial"/>
                <w:sz w:val="24"/>
                <w:szCs w:val="24"/>
              </w:rPr>
              <w:lastRenderedPageBreak/>
              <w:t>Exposure from drinking water annually</w:t>
            </w:r>
            <w:r>
              <w:rPr>
                <w:rFonts w:cs="Arial"/>
                <w:sz w:val="24"/>
                <w:szCs w:val="24"/>
              </w:rPr>
              <w:t xml:space="preserve"> (20% of total exposure)</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bottom"/>
          </w:tcPr>
          <w:p w14:paraId="4A2E8568" w14:textId="6E4F7481" w:rsidR="00442DC7" w:rsidRPr="0039350A" w:rsidRDefault="00442DC7" w:rsidP="0018494A">
            <w:pPr>
              <w:spacing w:before="120" w:after="120" w:line="600" w:lineRule="auto"/>
              <w:jc w:val="right"/>
              <w:rPr>
                <w:sz w:val="24"/>
                <w:szCs w:val="24"/>
              </w:rPr>
            </w:pPr>
            <w:r w:rsidRPr="0039350A">
              <w:rPr>
                <w:sz w:val="24"/>
                <w:szCs w:val="24"/>
              </w:rPr>
              <w:t>$</w:t>
            </w:r>
            <w:r>
              <w:rPr>
                <w:sz w:val="24"/>
                <w:szCs w:val="24"/>
              </w:rPr>
              <w:t>473,240,395</w:t>
            </w:r>
          </w:p>
        </w:tc>
        <w:tc>
          <w:tcPr>
            <w:tcW w:w="1886" w:type="dxa"/>
            <w:tcBorders>
              <w:top w:val="single" w:sz="4" w:space="0" w:color="auto"/>
              <w:left w:val="nil"/>
              <w:bottom w:val="single" w:sz="4" w:space="0" w:color="auto"/>
              <w:right w:val="single" w:sz="4" w:space="0" w:color="auto"/>
            </w:tcBorders>
            <w:shd w:val="clear" w:color="auto" w:fill="auto"/>
            <w:vAlign w:val="bottom"/>
          </w:tcPr>
          <w:p w14:paraId="75C0B71A" w14:textId="79355FBD" w:rsidR="00442DC7" w:rsidRPr="0039350A" w:rsidRDefault="00442DC7" w:rsidP="0018494A">
            <w:pPr>
              <w:spacing w:before="120" w:after="120" w:line="600" w:lineRule="auto"/>
              <w:jc w:val="right"/>
              <w:rPr>
                <w:sz w:val="24"/>
                <w:szCs w:val="24"/>
              </w:rPr>
            </w:pPr>
            <w:r w:rsidRPr="0039350A">
              <w:rPr>
                <w:sz w:val="24"/>
                <w:szCs w:val="24"/>
              </w:rPr>
              <w:t>$</w:t>
            </w:r>
            <w:r>
              <w:rPr>
                <w:sz w:val="24"/>
                <w:szCs w:val="24"/>
              </w:rPr>
              <w:t>988,293,452</w:t>
            </w:r>
          </w:p>
        </w:tc>
        <w:tc>
          <w:tcPr>
            <w:tcW w:w="1892" w:type="dxa"/>
            <w:tcBorders>
              <w:top w:val="single" w:sz="4" w:space="0" w:color="auto"/>
              <w:left w:val="nil"/>
              <w:bottom w:val="single" w:sz="4" w:space="0" w:color="auto"/>
              <w:right w:val="single" w:sz="4" w:space="0" w:color="auto"/>
            </w:tcBorders>
            <w:shd w:val="clear" w:color="auto" w:fill="auto"/>
            <w:vAlign w:val="bottom"/>
          </w:tcPr>
          <w:p w14:paraId="7D3D6152" w14:textId="0FA6BEA3" w:rsidR="00442DC7" w:rsidRPr="0039350A" w:rsidRDefault="00442DC7" w:rsidP="0018494A">
            <w:pPr>
              <w:spacing w:before="120" w:after="120" w:line="600" w:lineRule="auto"/>
              <w:jc w:val="right"/>
              <w:rPr>
                <w:sz w:val="24"/>
                <w:szCs w:val="24"/>
              </w:rPr>
            </w:pPr>
            <w:r w:rsidRPr="0039350A">
              <w:rPr>
                <w:sz w:val="24"/>
                <w:szCs w:val="24"/>
              </w:rPr>
              <w:t>$</w:t>
            </w:r>
            <w:r>
              <w:rPr>
                <w:sz w:val="24"/>
                <w:szCs w:val="24"/>
              </w:rPr>
              <w:t>1,569,270,585</w:t>
            </w:r>
          </w:p>
        </w:tc>
      </w:tr>
    </w:tbl>
    <w:bookmarkEnd w:id="259"/>
    <w:p w14:paraId="35B3B64D" w14:textId="77777777" w:rsidR="00442DC7" w:rsidRPr="00770852" w:rsidRDefault="00442DC7" w:rsidP="00DA119A">
      <w:pPr>
        <w:spacing w:after="120" w:line="360" w:lineRule="auto"/>
        <w:jc w:val="both"/>
        <w:rPr>
          <w:rFonts w:cs="Arial"/>
          <w:sz w:val="20"/>
          <w:szCs w:val="20"/>
        </w:rPr>
      </w:pPr>
      <w:r w:rsidRPr="00770852">
        <w:rPr>
          <w:rFonts w:cs="Arial"/>
          <w:sz w:val="20"/>
          <w:szCs w:val="20"/>
        </w:rPr>
        <w:t xml:space="preserve">Notes: </w:t>
      </w:r>
    </w:p>
    <w:p w14:paraId="4A65808A" w14:textId="0C885BF4" w:rsidR="00442DC7" w:rsidRPr="00770852" w:rsidRDefault="00442DC7" w:rsidP="00DA119A">
      <w:pPr>
        <w:spacing w:after="0" w:line="360" w:lineRule="auto"/>
        <w:ind w:left="720" w:hanging="11"/>
        <w:jc w:val="both"/>
        <w:rPr>
          <w:rFonts w:cs="Arial"/>
          <w:sz w:val="20"/>
          <w:szCs w:val="20"/>
        </w:rPr>
      </w:pPr>
      <w:r w:rsidRPr="00770852">
        <w:rPr>
          <w:rFonts w:cs="Arial"/>
          <w:sz w:val="20"/>
          <w:szCs w:val="20"/>
        </w:rPr>
        <w:t xml:space="preserve">1. Total lead exposure is calculated by using the corresponding DALY rates for each bound. A </w:t>
      </w:r>
      <w:r>
        <w:rPr>
          <w:rFonts w:cs="Arial"/>
          <w:sz w:val="20"/>
          <w:szCs w:val="20"/>
        </w:rPr>
        <w:t xml:space="preserve">total DALY </w:t>
      </w:r>
      <w:r w:rsidRPr="00770852">
        <w:rPr>
          <w:rFonts w:cs="Arial"/>
          <w:sz w:val="20"/>
          <w:szCs w:val="20"/>
        </w:rPr>
        <w:t xml:space="preserve">rate of </w:t>
      </w:r>
      <w:r>
        <w:rPr>
          <w:rFonts w:cs="Arial"/>
          <w:sz w:val="20"/>
          <w:szCs w:val="20"/>
        </w:rPr>
        <w:t>11,979.09</w:t>
      </w:r>
      <w:r w:rsidRPr="00770852">
        <w:rPr>
          <w:rFonts w:cs="Arial"/>
          <w:sz w:val="20"/>
          <w:szCs w:val="20"/>
        </w:rPr>
        <w:t xml:space="preserve">, </w:t>
      </w:r>
      <w:r>
        <w:rPr>
          <w:rFonts w:cs="Arial"/>
          <w:sz w:val="20"/>
          <w:szCs w:val="20"/>
        </w:rPr>
        <w:t>25,016.58</w:t>
      </w:r>
      <w:r w:rsidRPr="00770852">
        <w:rPr>
          <w:rFonts w:cs="Arial"/>
          <w:sz w:val="20"/>
          <w:szCs w:val="20"/>
        </w:rPr>
        <w:t xml:space="preserve"> and </w:t>
      </w:r>
      <w:r>
        <w:rPr>
          <w:rFonts w:cs="Arial"/>
          <w:sz w:val="20"/>
          <w:szCs w:val="20"/>
        </w:rPr>
        <w:t>39,722.80</w:t>
      </w:r>
      <w:r w:rsidRPr="00770852">
        <w:rPr>
          <w:rFonts w:cs="Arial"/>
          <w:sz w:val="20"/>
          <w:szCs w:val="20"/>
        </w:rPr>
        <w:t xml:space="preserve"> has been used for the lower, central and upper bounds respectively. </w:t>
      </w:r>
    </w:p>
    <w:p w14:paraId="47E1010B" w14:textId="35F80DDA" w:rsidR="00442DC7" w:rsidRDefault="00442DC7" w:rsidP="00DA119A">
      <w:pPr>
        <w:spacing w:line="360" w:lineRule="auto"/>
        <w:ind w:left="709"/>
        <w:jc w:val="both"/>
        <w:rPr>
          <w:rFonts w:cs="Arial"/>
          <w:sz w:val="24"/>
          <w:szCs w:val="24"/>
        </w:rPr>
      </w:pPr>
      <w:r w:rsidRPr="00770852">
        <w:rPr>
          <w:rFonts w:cs="Arial"/>
          <w:sz w:val="20"/>
          <w:szCs w:val="20"/>
        </w:rPr>
        <w:t xml:space="preserve">2. Value of Statistical Life Year has been calculated at $197,528 in 2019 dollars. </w:t>
      </w:r>
    </w:p>
    <w:p w14:paraId="1DF1F138" w14:textId="77777777" w:rsidR="00442DC7" w:rsidRDefault="00442DC7" w:rsidP="00DA119A">
      <w:pPr>
        <w:spacing w:after="120" w:line="360" w:lineRule="auto"/>
        <w:jc w:val="both"/>
        <w:rPr>
          <w:rFonts w:cs="Arial"/>
          <w:sz w:val="24"/>
          <w:szCs w:val="24"/>
        </w:rPr>
      </w:pPr>
      <w:r>
        <w:rPr>
          <w:rFonts w:cs="Arial"/>
          <w:sz w:val="24"/>
          <w:szCs w:val="24"/>
        </w:rPr>
        <w:t xml:space="preserve">It should be noted that an Australian manufacturer (Enware) felt that the total cost of lead exposure from plumbing products was overstated by the Consultation RIS for three primary reasons: </w:t>
      </w:r>
    </w:p>
    <w:p w14:paraId="65BFAC3C" w14:textId="39D7DB2D" w:rsidR="00442DC7" w:rsidRPr="003D3F5E" w:rsidRDefault="00442DC7" w:rsidP="00DA119A">
      <w:pPr>
        <w:pStyle w:val="ListParagraph"/>
        <w:numPr>
          <w:ilvl w:val="0"/>
          <w:numId w:val="68"/>
        </w:numPr>
        <w:spacing w:after="120" w:line="360" w:lineRule="auto"/>
        <w:jc w:val="both"/>
        <w:rPr>
          <w:rFonts w:cs="Arial"/>
          <w:sz w:val="24"/>
          <w:szCs w:val="24"/>
        </w:rPr>
      </w:pPr>
      <w:r w:rsidRPr="003D3F5E">
        <w:rPr>
          <w:rFonts w:cs="Arial"/>
          <w:b/>
          <w:bCs/>
          <w:sz w:val="24"/>
          <w:szCs w:val="24"/>
        </w:rPr>
        <w:t>The total DALY rate reported from the Global Burden of Disease</w:t>
      </w:r>
      <w:r w:rsidRPr="003D3F5E">
        <w:rPr>
          <w:rFonts w:cs="Arial"/>
          <w:sz w:val="24"/>
          <w:szCs w:val="24"/>
        </w:rPr>
        <w:t>.</w:t>
      </w:r>
    </w:p>
    <w:p w14:paraId="225FDD9A" w14:textId="347C9AA4" w:rsidR="00442DC7" w:rsidRDefault="00442DC7" w:rsidP="00DA119A">
      <w:pPr>
        <w:spacing w:after="120" w:line="360" w:lineRule="auto"/>
        <w:jc w:val="both"/>
        <w:rPr>
          <w:sz w:val="24"/>
          <w:lang w:val="en-US"/>
        </w:rPr>
      </w:pPr>
      <w:r>
        <w:rPr>
          <w:rFonts w:cs="Arial"/>
          <w:sz w:val="24"/>
          <w:szCs w:val="24"/>
        </w:rPr>
        <w:t xml:space="preserve">Enware identified a different set of values for lead exposure reported by the GBD database. A review of these values revealed two different datasets for lead exposure for all ages. Since consultation, the ABCB sought advice from the Institute of Health Metrics and Evaluation </w:t>
      </w:r>
      <w:r w:rsidR="00EC716C">
        <w:rPr>
          <w:rFonts w:cs="Arial"/>
          <w:sz w:val="24"/>
          <w:szCs w:val="24"/>
        </w:rPr>
        <w:t xml:space="preserve">(IHME), </w:t>
      </w:r>
      <w:r>
        <w:rPr>
          <w:rFonts w:cs="Arial"/>
          <w:sz w:val="24"/>
          <w:szCs w:val="24"/>
        </w:rPr>
        <w:t>the owners of the GBD database</w:t>
      </w:r>
      <w:r w:rsidR="00EC716C">
        <w:rPr>
          <w:rFonts w:cs="Arial"/>
          <w:sz w:val="24"/>
          <w:szCs w:val="24"/>
        </w:rPr>
        <w:t>,</w:t>
      </w:r>
      <w:r>
        <w:rPr>
          <w:rFonts w:cs="Arial"/>
          <w:sz w:val="24"/>
          <w:szCs w:val="24"/>
        </w:rPr>
        <w:t xml:space="preserve"> to confirm which values were correct. IHME advised the differences were a result of an error in their tool and the Decision RIS relies on the updated estimates confirmed by the IHME.</w:t>
      </w:r>
      <w:r w:rsidRPr="0016589D">
        <w:rPr>
          <w:rStyle w:val="FootnoteReference"/>
          <w:sz w:val="24"/>
          <w:lang w:val="en-US"/>
        </w:rPr>
        <w:footnoteReference w:id="107"/>
      </w:r>
      <w:r w:rsidRPr="0016589D" w:rsidDel="0016589D">
        <w:rPr>
          <w:sz w:val="24"/>
          <w:lang w:val="en-US"/>
        </w:rPr>
        <w:t xml:space="preserve"> </w:t>
      </w:r>
    </w:p>
    <w:p w14:paraId="6DE4F2EE" w14:textId="36F6C9AF" w:rsidR="00442DC7" w:rsidRPr="003D3F5E" w:rsidRDefault="00442DC7" w:rsidP="00DA119A">
      <w:pPr>
        <w:pStyle w:val="ListParagraph"/>
        <w:numPr>
          <w:ilvl w:val="0"/>
          <w:numId w:val="68"/>
        </w:numPr>
        <w:spacing w:after="120" w:line="360" w:lineRule="auto"/>
        <w:jc w:val="both"/>
        <w:rPr>
          <w:rFonts w:cs="Arial"/>
          <w:b/>
          <w:bCs/>
          <w:sz w:val="24"/>
          <w:szCs w:val="24"/>
        </w:rPr>
      </w:pPr>
      <w:r w:rsidRPr="003D3F5E">
        <w:rPr>
          <w:rFonts w:cs="Arial"/>
          <w:b/>
          <w:bCs/>
          <w:sz w:val="24"/>
          <w:szCs w:val="24"/>
        </w:rPr>
        <w:t>The contribution drinking water makes to the total DALY rate (assumed to be 20%).</w:t>
      </w:r>
    </w:p>
    <w:p w14:paraId="7231CC7E" w14:textId="7CD72F51" w:rsidR="00442DC7" w:rsidRDefault="00442DC7" w:rsidP="00DA119A">
      <w:pPr>
        <w:spacing w:after="120" w:line="360" w:lineRule="auto"/>
        <w:jc w:val="both"/>
        <w:rPr>
          <w:rFonts w:cs="Arial"/>
          <w:sz w:val="24"/>
          <w:szCs w:val="24"/>
        </w:rPr>
      </w:pPr>
      <w:r>
        <w:rPr>
          <w:rFonts w:cs="Arial"/>
          <w:sz w:val="24"/>
          <w:szCs w:val="24"/>
        </w:rPr>
        <w:t xml:space="preserve">The Consultation RIS assumed 20% as the contribution drinking water makes to the problem of lead exposure from all sources.  This was based on two reports from WHO and the US EPA on the contribution drinking water makes to total exposure in the US. </w:t>
      </w:r>
    </w:p>
    <w:p w14:paraId="251C8308" w14:textId="663F3D98" w:rsidR="00442DC7" w:rsidRPr="00663022" w:rsidRDefault="00442DC7" w:rsidP="00DA119A">
      <w:pPr>
        <w:spacing w:after="120" w:line="360" w:lineRule="auto"/>
        <w:jc w:val="both"/>
        <w:rPr>
          <w:rFonts w:cs="Arial"/>
          <w:sz w:val="24"/>
          <w:szCs w:val="24"/>
        </w:rPr>
      </w:pPr>
      <w:r>
        <w:rPr>
          <w:rFonts w:cs="Arial"/>
          <w:sz w:val="24"/>
          <w:szCs w:val="24"/>
        </w:rPr>
        <w:t>However, u</w:t>
      </w:r>
      <w:r w:rsidRPr="00663022">
        <w:rPr>
          <w:rFonts w:cs="Arial"/>
          <w:sz w:val="24"/>
          <w:szCs w:val="24"/>
        </w:rPr>
        <w:t>sing</w:t>
      </w:r>
      <w:r>
        <w:rPr>
          <w:rFonts w:cs="Arial"/>
          <w:sz w:val="24"/>
          <w:szCs w:val="24"/>
        </w:rPr>
        <w:t xml:space="preserve"> alternative</w:t>
      </w:r>
      <w:r w:rsidRPr="00663022">
        <w:rPr>
          <w:rFonts w:cs="Arial"/>
          <w:sz w:val="24"/>
          <w:szCs w:val="24"/>
        </w:rPr>
        <w:t xml:space="preserve"> </w:t>
      </w:r>
      <w:r>
        <w:rPr>
          <w:rFonts w:cs="Arial"/>
          <w:sz w:val="24"/>
          <w:szCs w:val="24"/>
        </w:rPr>
        <w:t>sources,</w:t>
      </w:r>
      <w:r w:rsidRPr="00663022">
        <w:rPr>
          <w:rFonts w:cs="Arial"/>
          <w:sz w:val="24"/>
          <w:szCs w:val="24"/>
        </w:rPr>
        <w:t xml:space="preserve"> Enware disputed </w:t>
      </w:r>
      <w:r>
        <w:rPr>
          <w:rFonts w:cs="Arial"/>
          <w:sz w:val="24"/>
          <w:szCs w:val="24"/>
        </w:rPr>
        <w:t>the assumption and referenced the findings from three US studies, which reported the following values for the contribution drinking water made to blood lead levels:</w:t>
      </w:r>
      <w:r w:rsidRPr="00663022">
        <w:rPr>
          <w:rFonts w:cs="Arial"/>
          <w:sz w:val="24"/>
          <w:szCs w:val="24"/>
        </w:rPr>
        <w:t xml:space="preserve"> </w:t>
      </w:r>
    </w:p>
    <w:p w14:paraId="51DB90F0" w14:textId="77777777" w:rsidR="00442DC7" w:rsidRPr="00663022" w:rsidRDefault="00442DC7" w:rsidP="00DA119A">
      <w:pPr>
        <w:spacing w:after="120" w:line="360" w:lineRule="auto"/>
        <w:jc w:val="both"/>
        <w:rPr>
          <w:rFonts w:cs="Arial"/>
          <w:sz w:val="24"/>
          <w:szCs w:val="24"/>
        </w:rPr>
      </w:pPr>
      <w:r w:rsidRPr="00663022">
        <w:rPr>
          <w:rFonts w:ascii="Segoe UI Symbol" w:hAnsi="Segoe UI Symbol" w:cs="Segoe UI Symbol"/>
          <w:sz w:val="24"/>
          <w:szCs w:val="24"/>
        </w:rPr>
        <w:lastRenderedPageBreak/>
        <w:t>➢</w:t>
      </w:r>
      <w:r w:rsidRPr="00663022">
        <w:rPr>
          <w:rFonts w:cs="Arial"/>
          <w:sz w:val="24"/>
          <w:szCs w:val="24"/>
        </w:rPr>
        <w:t xml:space="preserve"> 39% for the 90th percentile of 0 – 6-month-olds</w:t>
      </w:r>
      <w:r>
        <w:rPr>
          <w:rStyle w:val="FootnoteReference"/>
          <w:rFonts w:cs="Arial"/>
          <w:sz w:val="24"/>
          <w:szCs w:val="24"/>
        </w:rPr>
        <w:footnoteReference w:id="108"/>
      </w:r>
      <w:r w:rsidRPr="00663022">
        <w:rPr>
          <w:rFonts w:cs="Arial"/>
          <w:sz w:val="24"/>
          <w:szCs w:val="24"/>
        </w:rPr>
        <w:t xml:space="preserve"> </w:t>
      </w:r>
      <w:r w:rsidRPr="00D21673">
        <w:rPr>
          <w:rFonts w:cs="Arial"/>
          <w:sz w:val="24"/>
          <w:szCs w:val="24"/>
        </w:rPr>
        <w:t>(BLL</w:t>
      </w:r>
      <w:r w:rsidRPr="00663022">
        <w:rPr>
          <w:rFonts w:cs="Arial"/>
          <w:sz w:val="24"/>
          <w:szCs w:val="24"/>
        </w:rPr>
        <w:t xml:space="preserve"> &gt; 2.15 µg/dL)</w:t>
      </w:r>
    </w:p>
    <w:p w14:paraId="6F542884" w14:textId="77777777" w:rsidR="00442DC7" w:rsidRPr="00663022" w:rsidRDefault="00442DC7" w:rsidP="00DA119A">
      <w:pPr>
        <w:spacing w:after="120" w:line="360" w:lineRule="auto"/>
        <w:jc w:val="both"/>
        <w:rPr>
          <w:rFonts w:cs="Arial"/>
          <w:sz w:val="24"/>
          <w:szCs w:val="24"/>
        </w:rPr>
      </w:pPr>
      <w:r w:rsidRPr="00663022">
        <w:rPr>
          <w:rFonts w:ascii="Segoe UI Symbol" w:hAnsi="Segoe UI Symbol" w:cs="Segoe UI Symbol"/>
          <w:sz w:val="24"/>
          <w:szCs w:val="24"/>
        </w:rPr>
        <w:t>➢</w:t>
      </w:r>
      <w:r w:rsidRPr="00663022">
        <w:rPr>
          <w:rFonts w:cs="Arial"/>
          <w:sz w:val="24"/>
          <w:szCs w:val="24"/>
        </w:rPr>
        <w:t xml:space="preserve"> 11.9% for population mean of children ≤ 7 years old</w:t>
      </w:r>
      <w:r>
        <w:rPr>
          <w:rStyle w:val="FootnoteReference"/>
          <w:rFonts w:cs="Arial"/>
          <w:sz w:val="24"/>
          <w:szCs w:val="24"/>
        </w:rPr>
        <w:footnoteReference w:id="109"/>
      </w:r>
    </w:p>
    <w:p w14:paraId="0AA34E49" w14:textId="77777777" w:rsidR="00442DC7" w:rsidRPr="00663022" w:rsidRDefault="00442DC7" w:rsidP="00DA119A">
      <w:pPr>
        <w:spacing w:after="120" w:line="360" w:lineRule="auto"/>
        <w:jc w:val="both"/>
        <w:rPr>
          <w:rFonts w:cs="Arial"/>
          <w:sz w:val="24"/>
          <w:szCs w:val="24"/>
        </w:rPr>
      </w:pPr>
      <w:r w:rsidRPr="00663022">
        <w:rPr>
          <w:rFonts w:ascii="Segoe UI Symbol" w:hAnsi="Segoe UI Symbol" w:cs="Segoe UI Symbol"/>
          <w:sz w:val="24"/>
          <w:szCs w:val="24"/>
        </w:rPr>
        <w:t>➢</w:t>
      </w:r>
      <w:r w:rsidRPr="00663022">
        <w:rPr>
          <w:rFonts w:cs="Arial"/>
          <w:sz w:val="24"/>
          <w:szCs w:val="24"/>
        </w:rPr>
        <w:t xml:space="preserve"> 7% for 90th percentile of 1 – 2-year-olds</w:t>
      </w:r>
      <w:r>
        <w:rPr>
          <w:rStyle w:val="FootnoteReference"/>
          <w:rFonts w:cs="Arial"/>
          <w:sz w:val="24"/>
          <w:szCs w:val="24"/>
        </w:rPr>
        <w:footnoteReference w:id="110"/>
      </w:r>
      <w:r w:rsidRPr="00663022">
        <w:rPr>
          <w:rFonts w:cs="Arial"/>
          <w:sz w:val="24"/>
          <w:szCs w:val="24"/>
        </w:rPr>
        <w:t xml:space="preserve"> (BLL &gt; 2.39 µg/dL)</w:t>
      </w:r>
      <w:r w:rsidRPr="0057376C">
        <w:rPr>
          <w:rStyle w:val="FootnoteReference"/>
          <w:rFonts w:cs="Arial"/>
          <w:sz w:val="24"/>
          <w:szCs w:val="24"/>
        </w:rPr>
        <w:t xml:space="preserve"> </w:t>
      </w:r>
    </w:p>
    <w:p w14:paraId="35FF0396" w14:textId="77777777" w:rsidR="00442DC7" w:rsidRPr="00663022" w:rsidRDefault="00442DC7" w:rsidP="00DA119A">
      <w:pPr>
        <w:spacing w:after="120" w:line="360" w:lineRule="auto"/>
        <w:jc w:val="both"/>
        <w:rPr>
          <w:rFonts w:cs="Arial"/>
          <w:sz w:val="24"/>
          <w:szCs w:val="24"/>
        </w:rPr>
      </w:pPr>
      <w:r w:rsidRPr="00663022">
        <w:rPr>
          <w:rFonts w:ascii="Segoe UI Symbol" w:hAnsi="Segoe UI Symbol" w:cs="Segoe UI Symbol"/>
          <w:sz w:val="24"/>
          <w:szCs w:val="24"/>
        </w:rPr>
        <w:t>➢</w:t>
      </w:r>
      <w:r w:rsidRPr="00663022">
        <w:rPr>
          <w:rFonts w:cs="Arial"/>
          <w:sz w:val="24"/>
          <w:szCs w:val="24"/>
        </w:rPr>
        <w:t xml:space="preserve"> 7.6% for 90th – 100th percentile of 2 – 6-year-olds</w:t>
      </w:r>
      <w:r>
        <w:rPr>
          <w:rStyle w:val="FootnoteReference"/>
          <w:rFonts w:cs="Arial"/>
          <w:sz w:val="24"/>
          <w:szCs w:val="24"/>
        </w:rPr>
        <w:footnoteReference w:id="111"/>
      </w:r>
      <w:r w:rsidRPr="00663022">
        <w:rPr>
          <w:rFonts w:cs="Arial"/>
          <w:sz w:val="24"/>
          <w:szCs w:val="24"/>
        </w:rPr>
        <w:t xml:space="preserve"> (BLL &gt; ~ 3.4 µg/dL)</w:t>
      </w:r>
    </w:p>
    <w:p w14:paraId="13396CC2" w14:textId="77777777" w:rsidR="00442DC7" w:rsidRPr="00663022" w:rsidRDefault="00442DC7" w:rsidP="00DA119A">
      <w:pPr>
        <w:spacing w:after="120" w:line="360" w:lineRule="auto"/>
        <w:jc w:val="both"/>
        <w:rPr>
          <w:rFonts w:cs="Arial"/>
          <w:sz w:val="24"/>
          <w:szCs w:val="24"/>
        </w:rPr>
      </w:pPr>
      <w:r w:rsidRPr="00663022">
        <w:rPr>
          <w:rFonts w:ascii="Segoe UI Symbol" w:hAnsi="Segoe UI Symbol" w:cs="Segoe UI Symbol"/>
          <w:sz w:val="24"/>
          <w:szCs w:val="24"/>
        </w:rPr>
        <w:t>➢</w:t>
      </w:r>
      <w:r w:rsidRPr="00663022">
        <w:rPr>
          <w:rFonts w:cs="Arial"/>
          <w:sz w:val="24"/>
          <w:szCs w:val="24"/>
        </w:rPr>
        <w:t xml:space="preserve"> 7% for adults</w:t>
      </w:r>
      <w:r>
        <w:rPr>
          <w:rStyle w:val="FootnoteReference"/>
          <w:rFonts w:cs="Arial"/>
          <w:sz w:val="24"/>
          <w:szCs w:val="24"/>
        </w:rPr>
        <w:footnoteReference w:id="112"/>
      </w:r>
    </w:p>
    <w:p w14:paraId="1D0E0B19" w14:textId="6AA8F6BF" w:rsidR="00442DC7" w:rsidRPr="00663022" w:rsidRDefault="00442DC7" w:rsidP="00DA119A">
      <w:pPr>
        <w:spacing w:after="120" w:line="360" w:lineRule="auto"/>
        <w:jc w:val="both"/>
        <w:rPr>
          <w:rFonts w:cs="Arial"/>
          <w:sz w:val="24"/>
          <w:szCs w:val="24"/>
        </w:rPr>
      </w:pPr>
      <w:r w:rsidRPr="00663022">
        <w:rPr>
          <w:rFonts w:cs="Arial"/>
          <w:sz w:val="24"/>
          <w:szCs w:val="24"/>
        </w:rPr>
        <w:t xml:space="preserve">To give recognition to </w:t>
      </w:r>
      <w:r>
        <w:rPr>
          <w:rFonts w:cs="Arial"/>
          <w:sz w:val="24"/>
          <w:szCs w:val="24"/>
        </w:rPr>
        <w:t xml:space="preserve">the lack of Australian specific data and uncertainty, the Decision RIS has been expanded to include a break-even analysis on the required contribution drinking water must make in order for the costs to at least equal the benefits. See Break-Even Analysis section for further information. </w:t>
      </w:r>
    </w:p>
    <w:p w14:paraId="3ECC6F89" w14:textId="50F59640" w:rsidR="00442DC7" w:rsidRPr="003D3F5E" w:rsidRDefault="00442DC7" w:rsidP="00DA119A">
      <w:pPr>
        <w:pStyle w:val="ListParagraph"/>
        <w:numPr>
          <w:ilvl w:val="0"/>
          <w:numId w:val="68"/>
        </w:numPr>
        <w:spacing w:after="120" w:line="360" w:lineRule="auto"/>
        <w:jc w:val="both"/>
        <w:rPr>
          <w:rFonts w:cs="Arial"/>
          <w:b/>
          <w:bCs/>
          <w:sz w:val="24"/>
          <w:szCs w:val="24"/>
        </w:rPr>
      </w:pPr>
      <w:r w:rsidRPr="003D3F5E">
        <w:rPr>
          <w:rFonts w:cs="Arial"/>
          <w:b/>
          <w:bCs/>
          <w:sz w:val="24"/>
          <w:szCs w:val="24"/>
        </w:rPr>
        <w:t xml:space="preserve">The </w:t>
      </w:r>
      <w:bookmarkStart w:id="260" w:name="_Hlk70428545"/>
      <w:r w:rsidRPr="003D3F5E">
        <w:rPr>
          <w:rFonts w:cs="Arial"/>
          <w:b/>
          <w:bCs/>
          <w:sz w:val="24"/>
          <w:szCs w:val="24"/>
        </w:rPr>
        <w:t>relationship between lead consumption from all sources and the total DALYs being linear</w:t>
      </w:r>
      <w:bookmarkEnd w:id="260"/>
    </w:p>
    <w:p w14:paraId="43DFB01D" w14:textId="056E7698" w:rsidR="00442DC7" w:rsidRDefault="00442DC7" w:rsidP="00DA119A">
      <w:pPr>
        <w:spacing w:after="120" w:line="360" w:lineRule="auto"/>
        <w:jc w:val="both"/>
        <w:rPr>
          <w:rFonts w:cs="Arial"/>
          <w:sz w:val="24"/>
          <w:szCs w:val="24"/>
        </w:rPr>
      </w:pPr>
      <w:r>
        <w:rPr>
          <w:rFonts w:cs="Arial"/>
          <w:sz w:val="24"/>
          <w:szCs w:val="24"/>
        </w:rPr>
        <w:t xml:space="preserve">As discussed under the stakeholder responses to the extent of the problem, Enware did not agree with the assumption that the </w:t>
      </w:r>
      <w:r w:rsidRPr="00663022">
        <w:rPr>
          <w:rFonts w:cs="Arial"/>
          <w:sz w:val="24"/>
          <w:szCs w:val="24"/>
        </w:rPr>
        <w:t xml:space="preserve">relationship between lead consumption from all sources and the total DALYs </w:t>
      </w:r>
      <w:r>
        <w:rPr>
          <w:rFonts w:cs="Arial"/>
          <w:sz w:val="24"/>
          <w:szCs w:val="24"/>
        </w:rPr>
        <w:t xml:space="preserve">was </w:t>
      </w:r>
      <w:r w:rsidRPr="00663022">
        <w:rPr>
          <w:rFonts w:cs="Arial"/>
          <w:sz w:val="24"/>
          <w:szCs w:val="24"/>
        </w:rPr>
        <w:t>linear</w:t>
      </w:r>
      <w:r>
        <w:rPr>
          <w:rFonts w:cs="Arial"/>
          <w:sz w:val="24"/>
          <w:szCs w:val="24"/>
        </w:rPr>
        <w:t>. Their opinion appears to be based in part on data from the Victorian Department of Health over the years 2011 to 2014, which showed plumbing was suspected to be a low contributing risk factor (between 0 and 6%) in reported elevated blood lead levels.</w:t>
      </w:r>
    </w:p>
    <w:p w14:paraId="77741E1A" w14:textId="36F92121" w:rsidR="00442DC7" w:rsidRDefault="00442DC7" w:rsidP="00DA119A">
      <w:pPr>
        <w:spacing w:after="120" w:line="360" w:lineRule="auto"/>
        <w:jc w:val="both"/>
        <w:rPr>
          <w:rFonts w:cs="Arial"/>
          <w:sz w:val="24"/>
          <w:szCs w:val="24"/>
        </w:rPr>
      </w:pPr>
      <w:r>
        <w:rPr>
          <w:rFonts w:cs="Arial"/>
          <w:sz w:val="24"/>
          <w:szCs w:val="24"/>
        </w:rPr>
        <w:t>If this data was to be representative of the relationship between plumbing and elevated blood lead levels for all jurisdictions,</w:t>
      </w:r>
      <w:r w:rsidRPr="00066599">
        <w:rPr>
          <w:rFonts w:eastAsiaTheme="majorEastAsia" w:cs="Arial"/>
          <w:color w:val="000000" w:themeColor="text1"/>
          <w:sz w:val="24"/>
          <w:szCs w:val="24"/>
        </w:rPr>
        <w:t xml:space="preserve"> </w:t>
      </w:r>
      <w:r>
        <w:rPr>
          <w:rFonts w:eastAsiaTheme="majorEastAsia" w:cs="Arial"/>
          <w:color w:val="000000" w:themeColor="text1"/>
          <w:sz w:val="24"/>
          <w:szCs w:val="24"/>
        </w:rPr>
        <w:t xml:space="preserve">the contribution plumbing makes to the total problem would be much smaller than that presented by the Consultation RIS and </w:t>
      </w:r>
      <w:r w:rsidRPr="00B321B3">
        <w:rPr>
          <w:rFonts w:eastAsiaTheme="majorEastAsia" w:cs="Arial"/>
          <w:color w:val="000000" w:themeColor="text1"/>
          <w:sz w:val="24"/>
          <w:szCs w:val="24"/>
        </w:rPr>
        <w:t>negligible</w:t>
      </w:r>
      <w:r>
        <w:rPr>
          <w:rFonts w:eastAsiaTheme="majorEastAsia" w:cs="Arial"/>
          <w:color w:val="000000" w:themeColor="text1"/>
          <w:sz w:val="24"/>
          <w:szCs w:val="24"/>
        </w:rPr>
        <w:t xml:space="preserve"> relative to all other sources. </w:t>
      </w:r>
    </w:p>
    <w:p w14:paraId="7B05F4D6" w14:textId="6F9D5A80" w:rsidR="00442DC7" w:rsidRDefault="00442DC7" w:rsidP="00DA119A">
      <w:pPr>
        <w:spacing w:after="120" w:line="360" w:lineRule="auto"/>
        <w:jc w:val="both"/>
        <w:rPr>
          <w:rFonts w:cs="Arial"/>
          <w:sz w:val="24"/>
          <w:szCs w:val="24"/>
        </w:rPr>
      </w:pPr>
      <w:r>
        <w:rPr>
          <w:rFonts w:cs="Arial"/>
          <w:sz w:val="24"/>
          <w:szCs w:val="24"/>
        </w:rPr>
        <w:t xml:space="preserve">However, sole reliance on this data should be treated with caution by decision makers as it is from only one jurisdiction. The nature of current testing is that these levels are only identified where lead exposure is suspected as a potential contributing factor by health practitioners. It was the view of health agencies (NHRMC and enHealth), there could be many instances where lead exposure does not get investigated or reported. </w:t>
      </w:r>
      <w:r>
        <w:rPr>
          <w:rFonts w:cs="Arial"/>
          <w:sz w:val="24"/>
          <w:szCs w:val="24"/>
        </w:rPr>
        <w:lastRenderedPageBreak/>
        <w:t>Drinking water is also essential unlike other sources, and therefore has the potential to contribute throughout life.</w:t>
      </w:r>
    </w:p>
    <w:p w14:paraId="3CB3B5EB" w14:textId="6BC6D6E0" w:rsidR="00442DC7" w:rsidRPr="00663022" w:rsidRDefault="00442DC7" w:rsidP="00DA119A">
      <w:pPr>
        <w:spacing w:after="120" w:line="360" w:lineRule="auto"/>
        <w:jc w:val="both"/>
        <w:rPr>
          <w:rFonts w:cs="Arial"/>
          <w:sz w:val="24"/>
          <w:szCs w:val="24"/>
        </w:rPr>
      </w:pPr>
      <w:r>
        <w:rPr>
          <w:rFonts w:cs="Arial"/>
          <w:sz w:val="24"/>
          <w:szCs w:val="24"/>
        </w:rPr>
        <w:t xml:space="preserve">Hence, </w:t>
      </w:r>
      <w:r>
        <w:rPr>
          <w:rFonts w:eastAsiaTheme="majorEastAsia" w:cs="Arial"/>
          <w:color w:val="000000" w:themeColor="text1"/>
          <w:sz w:val="24"/>
          <w:szCs w:val="24"/>
        </w:rPr>
        <w:t>a decision based on this data alone would</w:t>
      </w:r>
      <w:r>
        <w:rPr>
          <w:rFonts w:cs="Arial"/>
          <w:sz w:val="24"/>
          <w:szCs w:val="24"/>
        </w:rPr>
        <w:t xml:space="preserve"> not reflect the goal of reducing the cumulative effect of lead from all sources, not only those reported as historically high contributing risk factors. </w:t>
      </w:r>
    </w:p>
    <w:p w14:paraId="5556D68E" w14:textId="77777777" w:rsidR="00442DC7" w:rsidRPr="00663022" w:rsidRDefault="00442DC7" w:rsidP="00DA119A">
      <w:pPr>
        <w:pStyle w:val="Heading3"/>
        <w:rPr>
          <w:rFonts w:ascii="Arial" w:hAnsi="Arial" w:cs="Arial"/>
          <w:b w:val="0"/>
          <w:bCs w:val="0"/>
          <w:szCs w:val="28"/>
        </w:rPr>
      </w:pPr>
      <w:r w:rsidRPr="00663022">
        <w:rPr>
          <w:rFonts w:ascii="Arial" w:hAnsi="Arial" w:cs="Arial"/>
          <w:b w:val="0"/>
          <w:bCs w:val="0"/>
          <w:szCs w:val="28"/>
        </w:rPr>
        <w:t>Effectiveness of the option addressing the problem over time</w:t>
      </w:r>
    </w:p>
    <w:p w14:paraId="506F74EE" w14:textId="05D644F5" w:rsidR="00442DC7" w:rsidRPr="00532855" w:rsidRDefault="00442DC7" w:rsidP="00DA119A">
      <w:pPr>
        <w:spacing w:before="240" w:line="360" w:lineRule="auto"/>
        <w:jc w:val="both"/>
        <w:rPr>
          <w:rFonts w:cs="Arial"/>
          <w:sz w:val="24"/>
          <w:szCs w:val="24"/>
        </w:rPr>
      </w:pPr>
      <w:r w:rsidRPr="00532855">
        <w:rPr>
          <w:rFonts w:cs="Arial"/>
          <w:sz w:val="24"/>
          <w:szCs w:val="24"/>
        </w:rPr>
        <w:t>Under Option 2, the problem will reduce gradually over time at the rate new plumbing products are installed and existing plumbing products are replaced. The timeframe for the natural replacement of plumbing products is unlikely to be accurately estimated as there are several i</w:t>
      </w:r>
      <w:r w:rsidR="0018494A">
        <w:rPr>
          <w:rFonts w:cs="Arial"/>
          <w:sz w:val="24"/>
          <w:szCs w:val="24"/>
        </w:rPr>
        <w:t xml:space="preserve">nfluences on replacement rates. </w:t>
      </w:r>
      <w:r w:rsidRPr="00532855">
        <w:rPr>
          <w:rFonts w:cs="Arial"/>
          <w:sz w:val="24"/>
          <w:szCs w:val="24"/>
        </w:rPr>
        <w:t xml:space="preserve">These influences include: </w:t>
      </w:r>
    </w:p>
    <w:p w14:paraId="5EE5B27D" w14:textId="77777777" w:rsidR="00442DC7" w:rsidRPr="00532855" w:rsidRDefault="00442DC7" w:rsidP="00DA119A">
      <w:pPr>
        <w:pStyle w:val="ListParagraph"/>
        <w:numPr>
          <w:ilvl w:val="0"/>
          <w:numId w:val="25"/>
        </w:numPr>
        <w:spacing w:before="240" w:line="360" w:lineRule="auto"/>
        <w:jc w:val="both"/>
        <w:rPr>
          <w:rFonts w:cs="Arial"/>
          <w:sz w:val="24"/>
          <w:szCs w:val="24"/>
        </w:rPr>
      </w:pPr>
      <w:r w:rsidRPr="00532855">
        <w:rPr>
          <w:rFonts w:cs="Arial"/>
          <w:sz w:val="24"/>
          <w:szCs w:val="24"/>
        </w:rPr>
        <w:t>The extent retrofitting, refurbishment or change of use occurs within the existing building stock.</w:t>
      </w:r>
    </w:p>
    <w:p w14:paraId="2CFD520F" w14:textId="77777777" w:rsidR="00442DC7" w:rsidRPr="00532855" w:rsidRDefault="00442DC7" w:rsidP="00DA119A">
      <w:pPr>
        <w:pStyle w:val="ListParagraph"/>
        <w:numPr>
          <w:ilvl w:val="0"/>
          <w:numId w:val="25"/>
        </w:numPr>
        <w:spacing w:before="240" w:line="360" w:lineRule="auto"/>
        <w:jc w:val="both"/>
        <w:rPr>
          <w:rFonts w:cs="Arial"/>
          <w:sz w:val="24"/>
          <w:szCs w:val="24"/>
        </w:rPr>
      </w:pPr>
      <w:r w:rsidRPr="00532855">
        <w:rPr>
          <w:rFonts w:cs="Arial"/>
          <w:sz w:val="24"/>
          <w:szCs w:val="24"/>
        </w:rPr>
        <w:t xml:space="preserve">The rate new buildings replace existing older buildings (i.e. the building stock renewal rate).  </w:t>
      </w:r>
    </w:p>
    <w:p w14:paraId="0D41CB77" w14:textId="77777777" w:rsidR="00442DC7" w:rsidRPr="00532855" w:rsidRDefault="00442DC7" w:rsidP="00DA119A">
      <w:pPr>
        <w:pStyle w:val="ListParagraph"/>
        <w:numPr>
          <w:ilvl w:val="0"/>
          <w:numId w:val="25"/>
        </w:numPr>
        <w:spacing w:before="240" w:line="360" w:lineRule="auto"/>
        <w:jc w:val="both"/>
        <w:rPr>
          <w:rFonts w:cs="Arial"/>
          <w:sz w:val="24"/>
          <w:szCs w:val="24"/>
        </w:rPr>
      </w:pPr>
      <w:r w:rsidRPr="00532855">
        <w:rPr>
          <w:rFonts w:cs="Arial"/>
          <w:sz w:val="24"/>
          <w:szCs w:val="24"/>
        </w:rPr>
        <w:t xml:space="preserve">The rate plumbing products reach their end of design life or are replaced voluntarily (e.g. for aesthetic reasons). </w:t>
      </w:r>
    </w:p>
    <w:p w14:paraId="302748AE" w14:textId="082016B1" w:rsidR="00442DC7" w:rsidRDefault="00442DC7" w:rsidP="00DA119A">
      <w:pPr>
        <w:spacing w:before="240" w:line="360" w:lineRule="auto"/>
        <w:jc w:val="both"/>
        <w:rPr>
          <w:rFonts w:cs="Arial"/>
          <w:sz w:val="24"/>
          <w:szCs w:val="24"/>
        </w:rPr>
      </w:pPr>
      <w:r>
        <w:rPr>
          <w:rFonts w:cs="Arial"/>
          <w:sz w:val="24"/>
          <w:szCs w:val="24"/>
        </w:rPr>
        <w:t>As a result of the difficulty in accounting for these influences, a simplifying assumption that 5% of plumbing products are replaced each year (i.e. twice within a building’s assumed life) equates broadly to all plumbing products being replaced within 20 years. The</w:t>
      </w:r>
      <w:r w:rsidRPr="006846AB">
        <w:rPr>
          <w:rFonts w:cs="Arial"/>
          <w:sz w:val="24"/>
          <w:szCs w:val="24"/>
        </w:rPr>
        <w:t xml:space="preserve"> benefit</w:t>
      </w:r>
      <w:r w:rsidR="0018494A">
        <w:rPr>
          <w:rFonts w:cs="Arial"/>
          <w:sz w:val="24"/>
          <w:szCs w:val="24"/>
        </w:rPr>
        <w:t>s</w:t>
      </w:r>
      <w:r w:rsidRPr="006846AB">
        <w:rPr>
          <w:rFonts w:cs="Arial"/>
          <w:sz w:val="24"/>
          <w:szCs w:val="24"/>
        </w:rPr>
        <w:t xml:space="preserve"> of this option</w:t>
      </w:r>
      <w:r>
        <w:rPr>
          <w:rFonts w:cs="Arial"/>
          <w:sz w:val="24"/>
          <w:szCs w:val="24"/>
        </w:rPr>
        <w:t xml:space="preserve"> is </w:t>
      </w:r>
      <w:r w:rsidRPr="006846AB">
        <w:rPr>
          <w:rFonts w:cs="Arial"/>
          <w:sz w:val="24"/>
          <w:szCs w:val="24"/>
        </w:rPr>
        <w:t>shown in</w:t>
      </w:r>
      <w:r>
        <w:rPr>
          <w:rFonts w:cs="Arial"/>
          <w:sz w:val="24"/>
          <w:szCs w:val="24"/>
        </w:rPr>
        <w:t xml:space="preserve"> Table 16</w:t>
      </w:r>
      <w:r w:rsidRPr="006846AB">
        <w:rPr>
          <w:rFonts w:cs="Arial"/>
          <w:sz w:val="24"/>
          <w:szCs w:val="24"/>
        </w:rPr>
        <w:t xml:space="preserve">. </w:t>
      </w:r>
    </w:p>
    <w:p w14:paraId="58D69337" w14:textId="31086B05" w:rsidR="00442DC7" w:rsidRDefault="00442DC7" w:rsidP="00DA119A">
      <w:pPr>
        <w:pStyle w:val="Caption"/>
      </w:pPr>
      <w:bookmarkStart w:id="261" w:name="_Toc73091874"/>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16</w:t>
      </w:r>
      <w:r w:rsidR="00362D62">
        <w:rPr>
          <w:noProof/>
        </w:rPr>
        <w:fldChar w:fldCharType="end"/>
      </w:r>
      <w:r w:rsidRPr="00A64EC0">
        <w:t>: Present Value benefits of Option 2</w:t>
      </w:r>
      <w:bookmarkEnd w:id="261"/>
    </w:p>
    <w:tbl>
      <w:tblPr>
        <w:tblStyle w:val="TableGrid"/>
        <w:tblW w:w="0" w:type="auto"/>
        <w:tblLayout w:type="fixed"/>
        <w:tblLook w:val="04A0" w:firstRow="1" w:lastRow="0" w:firstColumn="1" w:lastColumn="0" w:noHBand="0" w:noVBand="1"/>
        <w:tblCaption w:val="Table 15: Present Value benefits of Option 2"/>
        <w:tblDescription w:val="This table provides an estaimate of the aggregate costs associated with Option 2. "/>
      </w:tblPr>
      <w:tblGrid>
        <w:gridCol w:w="3325"/>
        <w:gridCol w:w="1896"/>
        <w:gridCol w:w="1888"/>
        <w:gridCol w:w="1907"/>
      </w:tblGrid>
      <w:tr w:rsidR="00442DC7" w14:paraId="01B0C672" w14:textId="77777777" w:rsidTr="00E66B43">
        <w:trPr>
          <w:tblHeader/>
        </w:trPr>
        <w:tc>
          <w:tcPr>
            <w:tcW w:w="3325" w:type="dxa"/>
            <w:shd w:val="clear" w:color="auto" w:fill="002060"/>
          </w:tcPr>
          <w:p w14:paraId="5D905C01" w14:textId="77777777" w:rsidR="00442DC7" w:rsidRDefault="00442DC7" w:rsidP="00DA119A">
            <w:pPr>
              <w:spacing w:line="360" w:lineRule="auto"/>
              <w:jc w:val="both"/>
              <w:rPr>
                <w:rFonts w:cs="Arial"/>
                <w:sz w:val="24"/>
                <w:szCs w:val="24"/>
              </w:rPr>
            </w:pPr>
          </w:p>
        </w:tc>
        <w:tc>
          <w:tcPr>
            <w:tcW w:w="1896" w:type="dxa"/>
            <w:shd w:val="clear" w:color="auto" w:fill="002060"/>
          </w:tcPr>
          <w:p w14:paraId="06267D24" w14:textId="77777777" w:rsidR="00442DC7" w:rsidRDefault="00442DC7" w:rsidP="00DA119A">
            <w:pPr>
              <w:spacing w:line="360" w:lineRule="auto"/>
              <w:jc w:val="center"/>
              <w:rPr>
                <w:rFonts w:cs="Arial"/>
                <w:sz w:val="24"/>
                <w:szCs w:val="24"/>
              </w:rPr>
            </w:pPr>
            <w:r>
              <w:rPr>
                <w:rFonts w:cs="Arial"/>
                <w:sz w:val="24"/>
                <w:szCs w:val="24"/>
              </w:rPr>
              <w:t>Lower bound estimate</w:t>
            </w:r>
          </w:p>
        </w:tc>
        <w:tc>
          <w:tcPr>
            <w:tcW w:w="1888" w:type="dxa"/>
            <w:shd w:val="clear" w:color="auto" w:fill="002060"/>
          </w:tcPr>
          <w:p w14:paraId="0D9B7B57" w14:textId="77777777" w:rsidR="00442DC7" w:rsidRDefault="00442DC7" w:rsidP="00DA119A">
            <w:pPr>
              <w:spacing w:line="360" w:lineRule="auto"/>
              <w:jc w:val="center"/>
              <w:rPr>
                <w:rFonts w:cs="Arial"/>
                <w:sz w:val="24"/>
                <w:szCs w:val="24"/>
              </w:rPr>
            </w:pPr>
            <w:r>
              <w:rPr>
                <w:rFonts w:cs="Arial"/>
                <w:sz w:val="24"/>
                <w:szCs w:val="24"/>
              </w:rPr>
              <w:t>Central estimate</w:t>
            </w:r>
          </w:p>
        </w:tc>
        <w:tc>
          <w:tcPr>
            <w:tcW w:w="1907" w:type="dxa"/>
            <w:shd w:val="clear" w:color="auto" w:fill="002060"/>
          </w:tcPr>
          <w:p w14:paraId="20D760FE" w14:textId="77777777" w:rsidR="00442DC7" w:rsidRDefault="00442DC7" w:rsidP="00DA119A">
            <w:pPr>
              <w:spacing w:line="360" w:lineRule="auto"/>
              <w:jc w:val="center"/>
              <w:rPr>
                <w:rFonts w:cs="Arial"/>
                <w:sz w:val="24"/>
                <w:szCs w:val="24"/>
              </w:rPr>
            </w:pPr>
            <w:r>
              <w:rPr>
                <w:rFonts w:cs="Arial"/>
                <w:sz w:val="24"/>
                <w:szCs w:val="24"/>
              </w:rPr>
              <w:t>Upper bound estimate</w:t>
            </w:r>
          </w:p>
        </w:tc>
      </w:tr>
      <w:tr w:rsidR="00442DC7" w14:paraId="6E7D7600" w14:textId="77777777" w:rsidTr="00E9556A">
        <w:trPr>
          <w:trHeight w:val="902"/>
        </w:trPr>
        <w:tc>
          <w:tcPr>
            <w:tcW w:w="3325" w:type="dxa"/>
          </w:tcPr>
          <w:p w14:paraId="75B9B28A" w14:textId="77777777" w:rsidR="00442DC7" w:rsidRDefault="00442DC7" w:rsidP="00E9556A">
            <w:pPr>
              <w:spacing w:before="120" w:after="120" w:line="360" w:lineRule="auto"/>
              <w:rPr>
                <w:rFonts w:cs="Arial"/>
                <w:sz w:val="24"/>
                <w:szCs w:val="24"/>
              </w:rPr>
            </w:pPr>
            <w:r>
              <w:rPr>
                <w:rFonts w:cs="Arial"/>
                <w:sz w:val="24"/>
                <w:szCs w:val="24"/>
              </w:rPr>
              <w:t>Total annual benefit of Option 2</w:t>
            </w:r>
          </w:p>
        </w:tc>
        <w:tc>
          <w:tcPr>
            <w:tcW w:w="1896" w:type="dxa"/>
          </w:tcPr>
          <w:p w14:paraId="4CD3934F" w14:textId="5CD5534B" w:rsidR="00442DC7" w:rsidRPr="00E9556A" w:rsidRDefault="00442DC7" w:rsidP="00E9556A">
            <w:pPr>
              <w:spacing w:before="120" w:after="120"/>
              <w:jc w:val="right"/>
              <w:rPr>
                <w:rFonts w:cs="Arial"/>
                <w:color w:val="000000"/>
                <w:sz w:val="24"/>
                <w:szCs w:val="24"/>
              </w:rPr>
            </w:pPr>
            <w:r>
              <w:rPr>
                <w:rFonts w:cs="Arial"/>
                <w:color w:val="000000"/>
                <w:sz w:val="24"/>
                <w:szCs w:val="24"/>
              </w:rPr>
              <w:t>$23,662,020</w:t>
            </w:r>
          </w:p>
        </w:tc>
        <w:tc>
          <w:tcPr>
            <w:tcW w:w="1888" w:type="dxa"/>
          </w:tcPr>
          <w:p w14:paraId="6BC71A88" w14:textId="0E45B28A" w:rsidR="00442DC7" w:rsidRPr="007832B8" w:rsidRDefault="00442DC7" w:rsidP="00E9556A">
            <w:pPr>
              <w:spacing w:before="120" w:after="120"/>
              <w:jc w:val="right"/>
              <w:rPr>
                <w:rFonts w:cs="Arial"/>
                <w:color w:val="000000"/>
                <w:sz w:val="24"/>
                <w:szCs w:val="24"/>
              </w:rPr>
            </w:pPr>
            <w:r w:rsidRPr="007832B8">
              <w:rPr>
                <w:rFonts w:cs="Arial"/>
                <w:color w:val="000000"/>
                <w:sz w:val="24"/>
                <w:szCs w:val="24"/>
              </w:rPr>
              <w:t>$</w:t>
            </w:r>
            <w:r>
              <w:rPr>
                <w:rFonts w:cs="Arial"/>
                <w:color w:val="000000"/>
                <w:sz w:val="24"/>
                <w:szCs w:val="24"/>
              </w:rPr>
              <w:t>49,414,673</w:t>
            </w:r>
          </w:p>
        </w:tc>
        <w:tc>
          <w:tcPr>
            <w:tcW w:w="1907" w:type="dxa"/>
          </w:tcPr>
          <w:p w14:paraId="5051D5A2" w14:textId="22DF0338" w:rsidR="00442DC7" w:rsidRPr="007832B8" w:rsidRDefault="00442DC7" w:rsidP="00E9556A">
            <w:pPr>
              <w:spacing w:before="120" w:after="120"/>
              <w:jc w:val="right"/>
              <w:rPr>
                <w:rFonts w:cs="Arial"/>
                <w:color w:val="000000"/>
                <w:sz w:val="24"/>
                <w:szCs w:val="24"/>
              </w:rPr>
            </w:pPr>
            <w:r w:rsidRPr="00EE318C">
              <w:rPr>
                <w:rFonts w:cs="Arial"/>
                <w:color w:val="000000"/>
                <w:sz w:val="24"/>
                <w:szCs w:val="24"/>
              </w:rPr>
              <w:t>$</w:t>
            </w:r>
            <w:r>
              <w:rPr>
                <w:rFonts w:cs="Arial"/>
                <w:color w:val="000000"/>
                <w:sz w:val="24"/>
                <w:szCs w:val="24"/>
              </w:rPr>
              <w:t>78,463,529</w:t>
            </w:r>
          </w:p>
        </w:tc>
      </w:tr>
      <w:tr w:rsidR="00442DC7" w14:paraId="5260DCDE" w14:textId="77777777" w:rsidTr="00E66B43">
        <w:tc>
          <w:tcPr>
            <w:tcW w:w="3325" w:type="dxa"/>
          </w:tcPr>
          <w:p w14:paraId="5E24C925" w14:textId="77777777" w:rsidR="00442DC7" w:rsidRDefault="00442DC7" w:rsidP="00E9556A">
            <w:pPr>
              <w:spacing w:before="120" w:after="120" w:line="360" w:lineRule="auto"/>
              <w:rPr>
                <w:rFonts w:cs="Arial"/>
                <w:sz w:val="24"/>
                <w:szCs w:val="24"/>
              </w:rPr>
            </w:pPr>
            <w:r>
              <w:rPr>
                <w:rFonts w:cs="Arial"/>
                <w:sz w:val="24"/>
                <w:szCs w:val="24"/>
              </w:rPr>
              <w:t>Present Value benefit of Option 2</w:t>
            </w:r>
          </w:p>
        </w:tc>
        <w:tc>
          <w:tcPr>
            <w:tcW w:w="1896" w:type="dxa"/>
          </w:tcPr>
          <w:p w14:paraId="4445870E" w14:textId="608B3FD4" w:rsidR="00442DC7" w:rsidRPr="00EE318C" w:rsidRDefault="00442DC7" w:rsidP="00E9556A">
            <w:pPr>
              <w:spacing w:before="120" w:after="120"/>
              <w:jc w:val="right"/>
              <w:rPr>
                <w:rFonts w:cs="Arial"/>
                <w:color w:val="000000"/>
                <w:sz w:val="24"/>
                <w:szCs w:val="24"/>
              </w:rPr>
            </w:pPr>
            <w:r w:rsidRPr="00EE318C">
              <w:rPr>
                <w:rFonts w:cs="Arial"/>
                <w:color w:val="000000"/>
                <w:sz w:val="24"/>
                <w:szCs w:val="24"/>
              </w:rPr>
              <w:t>$</w:t>
            </w:r>
            <w:r>
              <w:rPr>
                <w:rFonts w:cs="Arial"/>
                <w:color w:val="000000"/>
                <w:sz w:val="24"/>
                <w:szCs w:val="24"/>
              </w:rPr>
              <w:t>2,015,758,730</w:t>
            </w:r>
          </w:p>
        </w:tc>
        <w:tc>
          <w:tcPr>
            <w:tcW w:w="1888" w:type="dxa"/>
          </w:tcPr>
          <w:p w14:paraId="3A5AEC2B" w14:textId="591C829A" w:rsidR="00442DC7" w:rsidRPr="007832B8" w:rsidRDefault="00442DC7" w:rsidP="00E9556A">
            <w:pPr>
              <w:spacing w:before="120" w:after="120"/>
              <w:jc w:val="right"/>
              <w:rPr>
                <w:rFonts w:cs="Arial"/>
                <w:color w:val="000000"/>
                <w:sz w:val="24"/>
                <w:szCs w:val="24"/>
              </w:rPr>
            </w:pPr>
            <w:r w:rsidRPr="007832B8">
              <w:rPr>
                <w:rFonts w:cs="Arial"/>
                <w:color w:val="000000"/>
                <w:sz w:val="24"/>
                <w:szCs w:val="24"/>
              </w:rPr>
              <w:t>$</w:t>
            </w:r>
            <w:r>
              <w:rPr>
                <w:rFonts w:cs="Arial"/>
                <w:color w:val="000000"/>
                <w:sz w:val="24"/>
                <w:szCs w:val="24"/>
              </w:rPr>
              <w:t>4,209,617,720</w:t>
            </w:r>
          </w:p>
        </w:tc>
        <w:tc>
          <w:tcPr>
            <w:tcW w:w="1907" w:type="dxa"/>
          </w:tcPr>
          <w:p w14:paraId="4D22FD6B" w14:textId="513A53BB" w:rsidR="00442DC7" w:rsidRPr="007832B8" w:rsidRDefault="00442DC7" w:rsidP="00E9556A">
            <w:pPr>
              <w:spacing w:before="120" w:after="120"/>
              <w:jc w:val="right"/>
              <w:rPr>
                <w:rFonts w:cs="Arial"/>
                <w:color w:val="000000"/>
                <w:sz w:val="24"/>
                <w:szCs w:val="24"/>
              </w:rPr>
            </w:pPr>
            <w:r w:rsidRPr="00EE318C">
              <w:rPr>
                <w:rFonts w:cs="Arial"/>
                <w:color w:val="000000"/>
                <w:sz w:val="24"/>
                <w:szCs w:val="24"/>
              </w:rPr>
              <w:t>$</w:t>
            </w:r>
            <w:r>
              <w:rPr>
                <w:rFonts w:cs="Arial"/>
                <w:color w:val="000000"/>
                <w:sz w:val="24"/>
                <w:szCs w:val="24"/>
              </w:rPr>
              <w:t>6,684,279,097</w:t>
            </w:r>
          </w:p>
        </w:tc>
      </w:tr>
    </w:tbl>
    <w:p w14:paraId="6906192C" w14:textId="77777777" w:rsidR="00442DC7" w:rsidRPr="0039350A" w:rsidRDefault="00442DC7" w:rsidP="00DA119A">
      <w:pPr>
        <w:spacing w:before="240" w:after="0" w:line="360" w:lineRule="auto"/>
        <w:jc w:val="both"/>
        <w:rPr>
          <w:rFonts w:cs="Arial"/>
          <w:sz w:val="20"/>
          <w:szCs w:val="20"/>
        </w:rPr>
      </w:pPr>
      <w:r w:rsidRPr="0039350A">
        <w:rPr>
          <w:rFonts w:cs="Arial"/>
          <w:sz w:val="20"/>
          <w:szCs w:val="20"/>
        </w:rPr>
        <w:t>Notes:</w:t>
      </w:r>
    </w:p>
    <w:p w14:paraId="2A0095BC" w14:textId="336D5F19" w:rsidR="00442DC7" w:rsidRPr="0039350A" w:rsidRDefault="00442DC7" w:rsidP="00DA119A">
      <w:pPr>
        <w:spacing w:after="0" w:line="360" w:lineRule="auto"/>
        <w:ind w:left="720"/>
        <w:jc w:val="both"/>
        <w:rPr>
          <w:rFonts w:cs="Arial"/>
          <w:sz w:val="20"/>
          <w:szCs w:val="20"/>
        </w:rPr>
      </w:pPr>
      <w:r w:rsidRPr="0039350A">
        <w:rPr>
          <w:rFonts w:cs="Arial"/>
          <w:sz w:val="20"/>
          <w:szCs w:val="20"/>
        </w:rPr>
        <w:t xml:space="preserve">1. Present Values have been calculated over </w:t>
      </w:r>
      <w:r>
        <w:rPr>
          <w:rFonts w:cs="Arial"/>
          <w:sz w:val="20"/>
          <w:szCs w:val="20"/>
        </w:rPr>
        <w:t>2</w:t>
      </w:r>
      <w:r w:rsidRPr="0039350A">
        <w:rPr>
          <w:rFonts w:cs="Arial"/>
          <w:sz w:val="20"/>
          <w:szCs w:val="20"/>
        </w:rPr>
        <w:t>0</w:t>
      </w:r>
      <w:r w:rsidR="00E9556A">
        <w:rPr>
          <w:rFonts w:cs="Arial"/>
          <w:sz w:val="20"/>
          <w:szCs w:val="20"/>
        </w:rPr>
        <w:t xml:space="preserve"> years using a 7% discount rate.</w:t>
      </w:r>
      <w:r w:rsidRPr="0039350A">
        <w:rPr>
          <w:rFonts w:cs="Arial"/>
          <w:sz w:val="20"/>
          <w:szCs w:val="20"/>
        </w:rPr>
        <w:t xml:space="preserve"> </w:t>
      </w:r>
    </w:p>
    <w:p w14:paraId="737D2496" w14:textId="53A671EC" w:rsidR="00442DC7" w:rsidRPr="0039350A" w:rsidRDefault="00442DC7" w:rsidP="00DA119A">
      <w:pPr>
        <w:spacing w:line="360" w:lineRule="auto"/>
        <w:ind w:left="720"/>
        <w:jc w:val="both"/>
        <w:rPr>
          <w:rFonts w:cs="Arial"/>
          <w:sz w:val="20"/>
          <w:szCs w:val="20"/>
        </w:rPr>
      </w:pPr>
      <w:r w:rsidRPr="0039350A">
        <w:rPr>
          <w:rFonts w:cs="Arial"/>
          <w:sz w:val="20"/>
          <w:szCs w:val="20"/>
        </w:rPr>
        <w:lastRenderedPageBreak/>
        <w:t>2. The effectiveness of the option is based on a replacement and installation rate of 5</w:t>
      </w:r>
      <w:r>
        <w:rPr>
          <w:rFonts w:cs="Arial"/>
          <w:sz w:val="20"/>
          <w:szCs w:val="20"/>
        </w:rPr>
        <w:t xml:space="preserve">% </w:t>
      </w:r>
      <w:r w:rsidR="00E9556A">
        <w:rPr>
          <w:rFonts w:cs="Arial"/>
          <w:sz w:val="20"/>
          <w:szCs w:val="20"/>
        </w:rPr>
        <w:t>per year.</w:t>
      </w:r>
      <w:r w:rsidRPr="0039350A">
        <w:rPr>
          <w:rFonts w:cs="Arial"/>
          <w:sz w:val="20"/>
          <w:szCs w:val="20"/>
        </w:rPr>
        <w:t xml:space="preserve"> </w:t>
      </w:r>
    </w:p>
    <w:p w14:paraId="22F17FC9" w14:textId="1E76088A" w:rsidR="00442DC7" w:rsidRDefault="00442DC7" w:rsidP="00DA119A">
      <w:pPr>
        <w:spacing w:line="360" w:lineRule="auto"/>
        <w:jc w:val="both"/>
        <w:rPr>
          <w:rFonts w:cs="Arial"/>
          <w:sz w:val="24"/>
          <w:szCs w:val="24"/>
        </w:rPr>
      </w:pPr>
      <w:r w:rsidRPr="00EE318C">
        <w:rPr>
          <w:rFonts w:cs="Arial"/>
          <w:sz w:val="24"/>
          <w:szCs w:val="24"/>
        </w:rPr>
        <w:t>Under this option, benefits range between $</w:t>
      </w:r>
      <w:r>
        <w:rPr>
          <w:rFonts w:cs="Arial"/>
          <w:sz w:val="24"/>
          <w:szCs w:val="24"/>
        </w:rPr>
        <w:t xml:space="preserve">2 </w:t>
      </w:r>
      <w:r w:rsidRPr="00EE318C">
        <w:rPr>
          <w:rFonts w:cs="Arial"/>
          <w:sz w:val="24"/>
          <w:szCs w:val="24"/>
        </w:rPr>
        <w:t>billion and $</w:t>
      </w:r>
      <w:r>
        <w:rPr>
          <w:rFonts w:cs="Arial"/>
          <w:sz w:val="24"/>
          <w:szCs w:val="24"/>
        </w:rPr>
        <w:t xml:space="preserve">6.7 </w:t>
      </w:r>
      <w:r w:rsidRPr="00EE318C">
        <w:rPr>
          <w:rFonts w:cs="Arial"/>
          <w:sz w:val="24"/>
          <w:szCs w:val="24"/>
        </w:rPr>
        <w:t xml:space="preserve">billion in Present Value terms. </w:t>
      </w:r>
      <w:r>
        <w:rPr>
          <w:rFonts w:cs="Arial"/>
          <w:sz w:val="24"/>
          <w:szCs w:val="24"/>
        </w:rPr>
        <w:t xml:space="preserve">Given the large variation in the results, key parameters, including the rate of </w:t>
      </w:r>
      <w:r w:rsidR="00E9556A">
        <w:rPr>
          <w:rFonts w:cs="Arial"/>
          <w:sz w:val="24"/>
          <w:szCs w:val="24"/>
        </w:rPr>
        <w:t>replacement</w:t>
      </w:r>
      <w:r>
        <w:rPr>
          <w:rFonts w:cs="Arial"/>
          <w:sz w:val="24"/>
          <w:szCs w:val="24"/>
        </w:rPr>
        <w:t xml:space="preserve">, have been tested under the heading of Sensitivity Analysis. Since consultation, a break-even analysis has also been included to give greater recognition to the limited availability of Australian specific studies on lead in plumbing products contribution to overall lead exposure. </w:t>
      </w:r>
    </w:p>
    <w:p w14:paraId="25C00E13" w14:textId="77777777" w:rsidR="00442DC7" w:rsidRDefault="00442DC7" w:rsidP="00DA119A">
      <w:pPr>
        <w:spacing w:line="360" w:lineRule="auto"/>
        <w:jc w:val="both"/>
        <w:rPr>
          <w:rFonts w:cs="Arial"/>
          <w:sz w:val="24"/>
          <w:szCs w:val="24"/>
        </w:rPr>
      </w:pPr>
      <w:r>
        <w:rPr>
          <w:rFonts w:cs="Arial"/>
          <w:sz w:val="24"/>
          <w:szCs w:val="24"/>
        </w:rPr>
        <w:t xml:space="preserve">The Net Present Values of each scenario is shown in Table 17. </w:t>
      </w:r>
    </w:p>
    <w:p w14:paraId="10A8921F" w14:textId="49DB0AD1" w:rsidR="00442DC7" w:rsidRDefault="00442DC7" w:rsidP="00DA119A">
      <w:pPr>
        <w:pStyle w:val="Caption"/>
      </w:pPr>
      <w:bookmarkStart w:id="262" w:name="_Toc73091875"/>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17</w:t>
      </w:r>
      <w:r w:rsidR="00362D62">
        <w:rPr>
          <w:noProof/>
        </w:rPr>
        <w:fldChar w:fldCharType="end"/>
      </w:r>
      <w:r w:rsidRPr="003E3CF1">
        <w:t>: Present Value benefits of Option 2</w:t>
      </w:r>
      <w:bookmarkEnd w:id="262"/>
    </w:p>
    <w:tbl>
      <w:tblPr>
        <w:tblStyle w:val="TableGrid"/>
        <w:tblW w:w="0" w:type="auto"/>
        <w:tblLook w:val="04A0" w:firstRow="1" w:lastRow="0" w:firstColumn="1" w:lastColumn="0" w:noHBand="0" w:noVBand="1"/>
        <w:tblCaption w:val="Present value benefits of Option 2"/>
        <w:tblDescription w:val="The table presents the scenarios for present value costs and benefits under three scenarios, Low Central and High and the net present value of scenarios. "/>
      </w:tblPr>
      <w:tblGrid>
        <w:gridCol w:w="2354"/>
        <w:gridCol w:w="2311"/>
        <w:gridCol w:w="2326"/>
        <w:gridCol w:w="2025"/>
      </w:tblGrid>
      <w:tr w:rsidR="00442DC7" w14:paraId="449A6450" w14:textId="77777777" w:rsidTr="00871105">
        <w:trPr>
          <w:tblHeader/>
        </w:trPr>
        <w:tc>
          <w:tcPr>
            <w:tcW w:w="2354" w:type="dxa"/>
            <w:shd w:val="clear" w:color="auto" w:fill="002060"/>
          </w:tcPr>
          <w:p w14:paraId="20C3BCBA" w14:textId="77777777" w:rsidR="00442DC7" w:rsidRPr="00E02EB3" w:rsidRDefault="00442DC7" w:rsidP="00DA119A">
            <w:pPr>
              <w:spacing w:line="360" w:lineRule="auto"/>
              <w:rPr>
                <w:rFonts w:cs="Arial"/>
                <w:color w:val="FFFFFF" w:themeColor="background1"/>
                <w:sz w:val="24"/>
                <w:szCs w:val="24"/>
              </w:rPr>
            </w:pPr>
            <w:r w:rsidRPr="00E02EB3">
              <w:rPr>
                <w:rFonts w:cs="Arial"/>
                <w:color w:val="FFFFFF" w:themeColor="background1"/>
                <w:sz w:val="24"/>
                <w:szCs w:val="24"/>
              </w:rPr>
              <w:t>Scenario</w:t>
            </w:r>
          </w:p>
        </w:tc>
        <w:tc>
          <w:tcPr>
            <w:tcW w:w="2311" w:type="dxa"/>
            <w:shd w:val="clear" w:color="auto" w:fill="002060"/>
          </w:tcPr>
          <w:p w14:paraId="102C0197" w14:textId="77777777" w:rsidR="00442DC7" w:rsidRPr="00E02EB3" w:rsidRDefault="00442DC7" w:rsidP="00DA119A">
            <w:pPr>
              <w:spacing w:line="360" w:lineRule="auto"/>
              <w:rPr>
                <w:rFonts w:cs="Arial"/>
                <w:color w:val="FFFFFF" w:themeColor="background1"/>
                <w:sz w:val="24"/>
                <w:szCs w:val="24"/>
              </w:rPr>
            </w:pPr>
            <w:r w:rsidRPr="00E02EB3">
              <w:rPr>
                <w:rFonts w:cs="Arial"/>
                <w:color w:val="FFFFFF" w:themeColor="background1"/>
                <w:sz w:val="24"/>
                <w:szCs w:val="24"/>
              </w:rPr>
              <w:t>Present Value Costs</w:t>
            </w:r>
          </w:p>
        </w:tc>
        <w:tc>
          <w:tcPr>
            <w:tcW w:w="2326" w:type="dxa"/>
            <w:shd w:val="clear" w:color="auto" w:fill="002060"/>
          </w:tcPr>
          <w:p w14:paraId="0345C56B" w14:textId="77777777" w:rsidR="00442DC7" w:rsidRPr="00E02EB3" w:rsidRDefault="00442DC7" w:rsidP="00DA119A">
            <w:pPr>
              <w:spacing w:line="360" w:lineRule="auto"/>
              <w:rPr>
                <w:rFonts w:cs="Arial"/>
                <w:color w:val="FFFFFF" w:themeColor="background1"/>
                <w:sz w:val="24"/>
                <w:szCs w:val="24"/>
              </w:rPr>
            </w:pPr>
            <w:r w:rsidRPr="00E02EB3">
              <w:rPr>
                <w:rFonts w:cs="Arial"/>
                <w:color w:val="FFFFFF" w:themeColor="background1"/>
                <w:sz w:val="24"/>
                <w:szCs w:val="24"/>
              </w:rPr>
              <w:t>Present Value Benefits</w:t>
            </w:r>
          </w:p>
        </w:tc>
        <w:tc>
          <w:tcPr>
            <w:tcW w:w="2025" w:type="dxa"/>
            <w:shd w:val="clear" w:color="auto" w:fill="002060"/>
          </w:tcPr>
          <w:p w14:paraId="26B338E5" w14:textId="77777777" w:rsidR="00442DC7" w:rsidRPr="00E02EB3" w:rsidRDefault="00442DC7" w:rsidP="00DA119A">
            <w:pPr>
              <w:spacing w:line="360" w:lineRule="auto"/>
              <w:rPr>
                <w:rFonts w:cs="Arial"/>
                <w:color w:val="FFFFFF" w:themeColor="background1"/>
                <w:sz w:val="24"/>
                <w:szCs w:val="24"/>
              </w:rPr>
            </w:pPr>
            <w:r w:rsidRPr="00E02EB3">
              <w:rPr>
                <w:rFonts w:cs="Arial"/>
                <w:color w:val="FFFFFF" w:themeColor="background1"/>
                <w:sz w:val="24"/>
                <w:szCs w:val="24"/>
              </w:rPr>
              <w:t>Net Present Value</w:t>
            </w:r>
          </w:p>
        </w:tc>
      </w:tr>
      <w:tr w:rsidR="00442DC7" w14:paraId="4BB915D5" w14:textId="77777777" w:rsidTr="00871105">
        <w:trPr>
          <w:tblHeader/>
        </w:trPr>
        <w:tc>
          <w:tcPr>
            <w:tcW w:w="2354" w:type="dxa"/>
          </w:tcPr>
          <w:p w14:paraId="7207279A" w14:textId="77777777" w:rsidR="00442DC7" w:rsidRDefault="00442DC7" w:rsidP="00E9556A">
            <w:pPr>
              <w:spacing w:before="120" w:after="120" w:line="360" w:lineRule="auto"/>
              <w:jc w:val="both"/>
              <w:rPr>
                <w:rFonts w:cs="Arial"/>
                <w:sz w:val="24"/>
                <w:szCs w:val="24"/>
              </w:rPr>
            </w:pPr>
            <w:r>
              <w:rPr>
                <w:rFonts w:cs="Arial"/>
                <w:sz w:val="24"/>
                <w:szCs w:val="24"/>
              </w:rPr>
              <w:t>Low</w:t>
            </w:r>
          </w:p>
        </w:tc>
        <w:tc>
          <w:tcPr>
            <w:tcW w:w="2311" w:type="dxa"/>
          </w:tcPr>
          <w:p w14:paraId="17873748" w14:textId="77777777" w:rsidR="00442DC7" w:rsidRPr="0028611D" w:rsidRDefault="00442DC7" w:rsidP="00E9556A">
            <w:pPr>
              <w:spacing w:before="120" w:after="120" w:line="360" w:lineRule="auto"/>
              <w:jc w:val="right"/>
              <w:rPr>
                <w:rFonts w:cs="Arial"/>
                <w:sz w:val="24"/>
                <w:szCs w:val="24"/>
              </w:rPr>
            </w:pPr>
            <w:r w:rsidRPr="00E02EB3">
              <w:rPr>
                <w:rFonts w:cs="Arial"/>
                <w:sz w:val="24"/>
                <w:szCs w:val="24"/>
              </w:rPr>
              <w:t>$2,320,694,777</w:t>
            </w:r>
          </w:p>
        </w:tc>
        <w:tc>
          <w:tcPr>
            <w:tcW w:w="2326" w:type="dxa"/>
          </w:tcPr>
          <w:p w14:paraId="39609435" w14:textId="77777777" w:rsidR="00442DC7" w:rsidRDefault="00442DC7" w:rsidP="00E9556A">
            <w:pPr>
              <w:spacing w:before="120" w:after="120" w:line="360" w:lineRule="auto"/>
              <w:jc w:val="right"/>
              <w:rPr>
                <w:rFonts w:cs="Arial"/>
                <w:sz w:val="24"/>
                <w:szCs w:val="24"/>
              </w:rPr>
            </w:pPr>
            <w:r w:rsidRPr="00EE318C">
              <w:rPr>
                <w:rFonts w:cs="Arial"/>
                <w:color w:val="000000"/>
                <w:sz w:val="24"/>
                <w:szCs w:val="24"/>
              </w:rPr>
              <w:t>$</w:t>
            </w:r>
            <w:r>
              <w:rPr>
                <w:rFonts w:cs="Arial"/>
                <w:color w:val="000000"/>
                <w:sz w:val="24"/>
                <w:szCs w:val="24"/>
              </w:rPr>
              <w:t>2,015,758,730</w:t>
            </w:r>
          </w:p>
        </w:tc>
        <w:tc>
          <w:tcPr>
            <w:tcW w:w="2025" w:type="dxa"/>
          </w:tcPr>
          <w:p w14:paraId="492280EE" w14:textId="725FFE7D" w:rsidR="00442DC7" w:rsidRDefault="00E9556A" w:rsidP="00E9556A">
            <w:pPr>
              <w:spacing w:before="120" w:after="120" w:line="360" w:lineRule="auto"/>
              <w:jc w:val="right"/>
              <w:rPr>
                <w:rFonts w:cs="Arial"/>
                <w:sz w:val="24"/>
                <w:szCs w:val="24"/>
              </w:rPr>
            </w:pPr>
            <w:r>
              <w:rPr>
                <w:rFonts w:cs="Arial"/>
                <w:sz w:val="24"/>
                <w:szCs w:val="24"/>
              </w:rPr>
              <w:t>(</w:t>
            </w:r>
            <w:r w:rsidR="00442DC7">
              <w:rPr>
                <w:rFonts w:cs="Arial"/>
                <w:sz w:val="24"/>
                <w:szCs w:val="24"/>
              </w:rPr>
              <w:t>$304,936,047</w:t>
            </w:r>
            <w:r>
              <w:rPr>
                <w:rFonts w:cs="Arial"/>
                <w:sz w:val="24"/>
                <w:szCs w:val="24"/>
              </w:rPr>
              <w:t>)</w:t>
            </w:r>
          </w:p>
        </w:tc>
      </w:tr>
      <w:tr w:rsidR="00442DC7" w14:paraId="7D9CA465" w14:textId="77777777" w:rsidTr="00871105">
        <w:trPr>
          <w:tblHeader/>
        </w:trPr>
        <w:tc>
          <w:tcPr>
            <w:tcW w:w="2354" w:type="dxa"/>
          </w:tcPr>
          <w:p w14:paraId="16877163" w14:textId="77777777" w:rsidR="00442DC7" w:rsidRDefault="00442DC7" w:rsidP="00E9556A">
            <w:pPr>
              <w:spacing w:before="120" w:after="120" w:line="360" w:lineRule="auto"/>
              <w:jc w:val="both"/>
              <w:rPr>
                <w:rFonts w:cs="Arial"/>
                <w:sz w:val="24"/>
                <w:szCs w:val="24"/>
              </w:rPr>
            </w:pPr>
            <w:r>
              <w:rPr>
                <w:rFonts w:cs="Arial"/>
                <w:sz w:val="24"/>
                <w:szCs w:val="24"/>
              </w:rPr>
              <w:t>Central</w:t>
            </w:r>
          </w:p>
        </w:tc>
        <w:tc>
          <w:tcPr>
            <w:tcW w:w="2311" w:type="dxa"/>
          </w:tcPr>
          <w:p w14:paraId="651590BE" w14:textId="77777777" w:rsidR="00442DC7" w:rsidRPr="0028611D" w:rsidRDefault="00442DC7" w:rsidP="00E9556A">
            <w:pPr>
              <w:spacing w:before="120" w:after="120" w:line="360" w:lineRule="auto"/>
              <w:jc w:val="right"/>
              <w:rPr>
                <w:rFonts w:cs="Arial"/>
                <w:sz w:val="24"/>
                <w:szCs w:val="24"/>
              </w:rPr>
            </w:pPr>
            <w:r w:rsidRPr="00E02EB3">
              <w:rPr>
                <w:rFonts w:cs="Arial"/>
                <w:sz w:val="24"/>
                <w:szCs w:val="24"/>
              </w:rPr>
              <w:t>$2,320,694,777</w:t>
            </w:r>
          </w:p>
        </w:tc>
        <w:tc>
          <w:tcPr>
            <w:tcW w:w="2326" w:type="dxa"/>
          </w:tcPr>
          <w:p w14:paraId="075EC88E" w14:textId="77777777" w:rsidR="00442DC7" w:rsidRDefault="00442DC7" w:rsidP="00E9556A">
            <w:pPr>
              <w:spacing w:before="120" w:after="120" w:line="360" w:lineRule="auto"/>
              <w:jc w:val="right"/>
              <w:rPr>
                <w:rFonts w:cs="Arial"/>
                <w:sz w:val="24"/>
                <w:szCs w:val="24"/>
              </w:rPr>
            </w:pPr>
            <w:r w:rsidRPr="00020230">
              <w:rPr>
                <w:rFonts w:cs="Arial"/>
                <w:sz w:val="24"/>
                <w:szCs w:val="24"/>
              </w:rPr>
              <w:t>$4,209,617,720</w:t>
            </w:r>
          </w:p>
        </w:tc>
        <w:tc>
          <w:tcPr>
            <w:tcW w:w="2025" w:type="dxa"/>
          </w:tcPr>
          <w:p w14:paraId="5A40A8E8" w14:textId="67B2EC68" w:rsidR="00442DC7" w:rsidRDefault="00442DC7" w:rsidP="00E9556A">
            <w:pPr>
              <w:spacing w:before="120" w:after="120" w:line="360" w:lineRule="auto"/>
              <w:jc w:val="right"/>
              <w:rPr>
                <w:rFonts w:cs="Arial"/>
                <w:sz w:val="24"/>
                <w:szCs w:val="24"/>
              </w:rPr>
            </w:pPr>
            <w:r>
              <w:rPr>
                <w:rFonts w:cs="Arial"/>
                <w:sz w:val="24"/>
                <w:szCs w:val="24"/>
              </w:rPr>
              <w:t>$1,888,922,943</w:t>
            </w:r>
          </w:p>
        </w:tc>
      </w:tr>
      <w:tr w:rsidR="00442DC7" w14:paraId="69D53AF2" w14:textId="77777777" w:rsidTr="00871105">
        <w:trPr>
          <w:tblHeader/>
        </w:trPr>
        <w:tc>
          <w:tcPr>
            <w:tcW w:w="2354" w:type="dxa"/>
          </w:tcPr>
          <w:p w14:paraId="7D5BA7E8" w14:textId="77777777" w:rsidR="00442DC7" w:rsidRDefault="00442DC7" w:rsidP="00E9556A">
            <w:pPr>
              <w:spacing w:before="120" w:after="120" w:line="360" w:lineRule="auto"/>
              <w:jc w:val="both"/>
              <w:rPr>
                <w:rFonts w:cs="Arial"/>
                <w:sz w:val="24"/>
                <w:szCs w:val="24"/>
              </w:rPr>
            </w:pPr>
            <w:r>
              <w:rPr>
                <w:rFonts w:cs="Arial"/>
                <w:sz w:val="24"/>
                <w:szCs w:val="24"/>
              </w:rPr>
              <w:t>High</w:t>
            </w:r>
          </w:p>
        </w:tc>
        <w:tc>
          <w:tcPr>
            <w:tcW w:w="2311" w:type="dxa"/>
          </w:tcPr>
          <w:p w14:paraId="40455ACE" w14:textId="77777777" w:rsidR="00442DC7" w:rsidRPr="0028611D" w:rsidRDefault="00442DC7" w:rsidP="00E9556A">
            <w:pPr>
              <w:spacing w:before="120" w:after="120" w:line="360" w:lineRule="auto"/>
              <w:jc w:val="right"/>
              <w:rPr>
                <w:rFonts w:cs="Arial"/>
                <w:sz w:val="24"/>
                <w:szCs w:val="24"/>
              </w:rPr>
            </w:pPr>
            <w:r w:rsidRPr="00E02EB3">
              <w:rPr>
                <w:rFonts w:cs="Arial"/>
                <w:sz w:val="24"/>
                <w:szCs w:val="24"/>
              </w:rPr>
              <w:t>$2,320,694,777</w:t>
            </w:r>
          </w:p>
        </w:tc>
        <w:tc>
          <w:tcPr>
            <w:tcW w:w="2326" w:type="dxa"/>
          </w:tcPr>
          <w:p w14:paraId="3FB95D7D" w14:textId="77777777" w:rsidR="00442DC7" w:rsidRDefault="00442DC7" w:rsidP="00E9556A">
            <w:pPr>
              <w:spacing w:before="120" w:after="120" w:line="360" w:lineRule="auto"/>
              <w:jc w:val="right"/>
              <w:rPr>
                <w:rFonts w:cs="Arial"/>
                <w:sz w:val="24"/>
                <w:szCs w:val="24"/>
              </w:rPr>
            </w:pPr>
            <w:r w:rsidRPr="00EE318C">
              <w:rPr>
                <w:rFonts w:cs="Arial"/>
                <w:color w:val="000000"/>
                <w:sz w:val="24"/>
                <w:szCs w:val="24"/>
              </w:rPr>
              <w:t>$</w:t>
            </w:r>
            <w:r>
              <w:rPr>
                <w:rFonts w:cs="Arial"/>
                <w:color w:val="000000"/>
                <w:sz w:val="24"/>
                <w:szCs w:val="24"/>
              </w:rPr>
              <w:t>6,684,279,097</w:t>
            </w:r>
          </w:p>
        </w:tc>
        <w:tc>
          <w:tcPr>
            <w:tcW w:w="2025" w:type="dxa"/>
          </w:tcPr>
          <w:p w14:paraId="45445748" w14:textId="3FEDC8D4" w:rsidR="00442DC7" w:rsidRDefault="00442DC7" w:rsidP="00E9556A">
            <w:pPr>
              <w:spacing w:before="120" w:after="120" w:line="360" w:lineRule="auto"/>
              <w:jc w:val="right"/>
              <w:rPr>
                <w:rFonts w:cs="Arial"/>
                <w:sz w:val="24"/>
                <w:szCs w:val="24"/>
              </w:rPr>
            </w:pPr>
            <w:r>
              <w:rPr>
                <w:rFonts w:cs="Arial"/>
                <w:sz w:val="24"/>
                <w:szCs w:val="24"/>
              </w:rPr>
              <w:t>$4,363,584,320</w:t>
            </w:r>
          </w:p>
        </w:tc>
      </w:tr>
    </w:tbl>
    <w:p w14:paraId="3443554B" w14:textId="77777777" w:rsidR="00442DC7" w:rsidRDefault="00442DC7" w:rsidP="00DA119A">
      <w:pPr>
        <w:spacing w:line="360" w:lineRule="auto"/>
        <w:jc w:val="both"/>
        <w:rPr>
          <w:rFonts w:cs="Arial"/>
          <w:sz w:val="24"/>
          <w:szCs w:val="24"/>
        </w:rPr>
      </w:pPr>
    </w:p>
    <w:p w14:paraId="162BEFFF" w14:textId="0AD05284" w:rsidR="00442DC7" w:rsidRDefault="00442DC7" w:rsidP="00DA119A">
      <w:pPr>
        <w:spacing w:after="120" w:line="360" w:lineRule="auto"/>
        <w:jc w:val="both"/>
        <w:rPr>
          <w:rFonts w:cs="Arial"/>
          <w:sz w:val="24"/>
          <w:szCs w:val="24"/>
        </w:rPr>
      </w:pPr>
      <w:r>
        <w:rPr>
          <w:rFonts w:cs="Arial"/>
          <w:sz w:val="24"/>
          <w:szCs w:val="24"/>
        </w:rPr>
        <w:t xml:space="preserve">As is shown above, Option 2 demonstrates a net benefit under the central and high scenario but a net cost under the low scenario. Using the central estimates, Option 2 </w:t>
      </w:r>
      <w:r w:rsidR="00E9556A">
        <w:rPr>
          <w:rFonts w:cs="Arial"/>
          <w:sz w:val="24"/>
          <w:szCs w:val="24"/>
        </w:rPr>
        <w:t>demonstrates</w:t>
      </w:r>
      <w:r>
        <w:rPr>
          <w:rFonts w:cs="Arial"/>
          <w:sz w:val="24"/>
          <w:szCs w:val="24"/>
        </w:rPr>
        <w:t xml:space="preserve"> a net benefit of </w:t>
      </w:r>
      <w:r w:rsidR="00E9556A">
        <w:rPr>
          <w:rFonts w:cs="Arial"/>
          <w:sz w:val="24"/>
          <w:szCs w:val="24"/>
        </w:rPr>
        <w:t xml:space="preserve">approximately </w:t>
      </w:r>
      <w:r>
        <w:rPr>
          <w:rFonts w:cs="Arial"/>
          <w:sz w:val="24"/>
          <w:szCs w:val="24"/>
        </w:rPr>
        <w:t xml:space="preserve">$1.9 billion in Net Present Value terms.  </w:t>
      </w:r>
    </w:p>
    <w:p w14:paraId="3537E7F5" w14:textId="77777777" w:rsidR="00442DC7" w:rsidRPr="00E02EB3" w:rsidRDefault="00442DC7" w:rsidP="00DA119A">
      <w:pPr>
        <w:pStyle w:val="Heading2"/>
        <w:rPr>
          <w:rFonts w:ascii="Arial" w:hAnsi="Arial" w:cs="Arial"/>
          <w:b w:val="0"/>
          <w:bCs w:val="0"/>
          <w:szCs w:val="28"/>
        </w:rPr>
      </w:pPr>
      <w:bookmarkStart w:id="263" w:name="_Toc71789281"/>
      <w:bookmarkStart w:id="264" w:name="_Toc71195752"/>
      <w:r w:rsidRPr="00E02EB3">
        <w:rPr>
          <w:rFonts w:ascii="Arial" w:hAnsi="Arial" w:cs="Arial"/>
          <w:b w:val="0"/>
          <w:bCs w:val="0"/>
          <w:szCs w:val="28"/>
        </w:rPr>
        <w:t>Option 3: Recommend changes to government procurement standards to require compliance with NSF/ANSI 372</w:t>
      </w:r>
      <w:bookmarkEnd w:id="263"/>
    </w:p>
    <w:p w14:paraId="3CCA6E22" w14:textId="77777777" w:rsidR="00442DC7" w:rsidRPr="00E02EB3" w:rsidRDefault="00442DC7" w:rsidP="00D8385F">
      <w:pPr>
        <w:pStyle w:val="Heading3"/>
        <w:rPr>
          <w:rFonts w:ascii="Arial" w:hAnsi="Arial" w:cs="Arial"/>
          <w:b w:val="0"/>
        </w:rPr>
      </w:pPr>
      <w:bookmarkStart w:id="265" w:name="_Toc71789282"/>
      <w:r w:rsidRPr="00E02EB3">
        <w:rPr>
          <w:rFonts w:ascii="Arial" w:hAnsi="Arial" w:cs="Arial"/>
          <w:b w:val="0"/>
        </w:rPr>
        <w:t>Costs</w:t>
      </w:r>
      <w:bookmarkEnd w:id="265"/>
    </w:p>
    <w:p w14:paraId="3CEFD6CF" w14:textId="23AD0010" w:rsidR="00442DC7" w:rsidRDefault="00442DC7" w:rsidP="00E9556A">
      <w:pPr>
        <w:spacing w:before="240" w:line="360" w:lineRule="auto"/>
        <w:jc w:val="both"/>
        <w:rPr>
          <w:rFonts w:cs="Arial"/>
          <w:sz w:val="24"/>
          <w:szCs w:val="24"/>
        </w:rPr>
      </w:pPr>
      <w:r>
        <w:rPr>
          <w:rFonts w:cs="Arial"/>
          <w:sz w:val="24"/>
          <w:szCs w:val="24"/>
        </w:rPr>
        <w:t xml:space="preserve">This option would recommend changes be made to state and territory government and </w:t>
      </w:r>
      <w:r w:rsidR="00B94CE9">
        <w:rPr>
          <w:rFonts w:cs="Arial"/>
          <w:sz w:val="24"/>
          <w:szCs w:val="24"/>
        </w:rPr>
        <w:t>Australian G</w:t>
      </w:r>
      <w:r>
        <w:rPr>
          <w:rFonts w:cs="Arial"/>
          <w:sz w:val="24"/>
          <w:szCs w:val="24"/>
        </w:rPr>
        <w:t xml:space="preserve">overnment procurement standards to require the use of low lead plumbing products in contact with drinking water for all government-owned buildings when installed or replaced. </w:t>
      </w:r>
    </w:p>
    <w:p w14:paraId="58108F7A" w14:textId="77777777" w:rsidR="00442DC7" w:rsidRDefault="00442DC7" w:rsidP="00D8385F">
      <w:pPr>
        <w:spacing w:line="360" w:lineRule="auto"/>
        <w:jc w:val="both"/>
        <w:rPr>
          <w:rFonts w:cs="Arial"/>
          <w:sz w:val="24"/>
          <w:szCs w:val="24"/>
        </w:rPr>
      </w:pPr>
      <w:r>
        <w:rPr>
          <w:rFonts w:cs="Arial"/>
          <w:sz w:val="24"/>
          <w:szCs w:val="24"/>
        </w:rPr>
        <w:lastRenderedPageBreak/>
        <w:t>In 2019, the value of building work done by the public sector was 11.25% of the total value of building work undertaken.</w:t>
      </w:r>
      <w:r>
        <w:rPr>
          <w:rStyle w:val="FootnoteReference"/>
          <w:rFonts w:cs="Arial"/>
          <w:sz w:val="24"/>
          <w:szCs w:val="24"/>
        </w:rPr>
        <w:footnoteReference w:id="113"/>
      </w:r>
      <w:r>
        <w:rPr>
          <w:rFonts w:cs="Arial"/>
          <w:sz w:val="24"/>
          <w:szCs w:val="24"/>
        </w:rPr>
        <w:t xml:space="preserve"> As such, this analysis assumes the cost of this option to be 11.25% of the total cost of Option 2. This results in a cost of $34.7 million annually or $</w:t>
      </w:r>
      <w:r w:rsidRPr="00131B8F">
        <w:rPr>
          <w:rFonts w:cs="Arial"/>
          <w:sz w:val="24"/>
          <w:szCs w:val="24"/>
        </w:rPr>
        <w:t>2</w:t>
      </w:r>
      <w:r>
        <w:rPr>
          <w:rFonts w:cs="Arial"/>
          <w:sz w:val="24"/>
          <w:szCs w:val="24"/>
        </w:rPr>
        <w:t xml:space="preserve">61 million in Present Value terms. </w:t>
      </w:r>
    </w:p>
    <w:p w14:paraId="0E5D11B7" w14:textId="77777777" w:rsidR="00442DC7" w:rsidRPr="00773145" w:rsidRDefault="00442DC7" w:rsidP="00D8385F">
      <w:pPr>
        <w:pStyle w:val="Heading3"/>
        <w:rPr>
          <w:rFonts w:ascii="Arial" w:hAnsi="Arial" w:cs="Arial"/>
          <w:b w:val="0"/>
          <w:bCs w:val="0"/>
          <w:szCs w:val="28"/>
        </w:rPr>
      </w:pPr>
      <w:bookmarkStart w:id="266" w:name="_Toc71789283"/>
      <w:r w:rsidRPr="00773145">
        <w:rPr>
          <w:rFonts w:ascii="Arial" w:hAnsi="Arial" w:cs="Arial"/>
          <w:b w:val="0"/>
          <w:bCs w:val="0"/>
          <w:szCs w:val="28"/>
        </w:rPr>
        <w:t>Benefits</w:t>
      </w:r>
      <w:bookmarkEnd w:id="266"/>
    </w:p>
    <w:p w14:paraId="237D5D84" w14:textId="77777777" w:rsidR="00442DC7" w:rsidRDefault="00442DC7" w:rsidP="00E9556A">
      <w:pPr>
        <w:spacing w:before="240" w:line="360" w:lineRule="auto"/>
        <w:jc w:val="both"/>
        <w:rPr>
          <w:rFonts w:cs="Arial"/>
          <w:sz w:val="24"/>
          <w:szCs w:val="24"/>
        </w:rPr>
      </w:pPr>
      <w:r>
        <w:rPr>
          <w:rFonts w:cs="Arial"/>
          <w:sz w:val="24"/>
          <w:szCs w:val="24"/>
        </w:rPr>
        <w:t xml:space="preserve">This option would </w:t>
      </w:r>
      <w:r w:rsidRPr="008570DA">
        <w:rPr>
          <w:rFonts w:cs="Arial"/>
          <w:sz w:val="24"/>
          <w:szCs w:val="24"/>
        </w:rPr>
        <w:t>increas</w:t>
      </w:r>
      <w:r>
        <w:rPr>
          <w:rFonts w:cs="Arial"/>
          <w:sz w:val="24"/>
          <w:szCs w:val="24"/>
        </w:rPr>
        <w:t>e</w:t>
      </w:r>
      <w:r w:rsidRPr="008570DA">
        <w:rPr>
          <w:rFonts w:cs="Arial"/>
          <w:sz w:val="24"/>
          <w:szCs w:val="24"/>
        </w:rPr>
        <w:t xml:space="preserve"> </w:t>
      </w:r>
      <w:r>
        <w:rPr>
          <w:rFonts w:cs="Arial"/>
          <w:sz w:val="24"/>
          <w:szCs w:val="24"/>
        </w:rPr>
        <w:t xml:space="preserve">the </w:t>
      </w:r>
      <w:r w:rsidRPr="008570DA">
        <w:rPr>
          <w:rFonts w:cs="Arial"/>
          <w:sz w:val="24"/>
          <w:szCs w:val="24"/>
        </w:rPr>
        <w:t>demand</w:t>
      </w:r>
      <w:r>
        <w:rPr>
          <w:rFonts w:cs="Arial"/>
          <w:sz w:val="24"/>
          <w:szCs w:val="24"/>
        </w:rPr>
        <w:t xml:space="preserve"> for low lead products and assist the Australian market</w:t>
      </w:r>
      <w:r w:rsidRPr="008570DA">
        <w:rPr>
          <w:rFonts w:cs="Arial"/>
          <w:sz w:val="24"/>
          <w:szCs w:val="24"/>
        </w:rPr>
        <w:t xml:space="preserve"> transition to a greater uptake of low lead plumbing products</w:t>
      </w:r>
      <w:r>
        <w:rPr>
          <w:rFonts w:cs="Arial"/>
          <w:sz w:val="24"/>
          <w:szCs w:val="24"/>
        </w:rPr>
        <w:t xml:space="preserve"> slowly as government demand increases total demand. This increase in demand would in turn increase the supply of low lead products in the market and therefore reducing the costs of such products over time. </w:t>
      </w:r>
    </w:p>
    <w:p w14:paraId="1B796819" w14:textId="77777777" w:rsidR="00442DC7" w:rsidRDefault="00442DC7" w:rsidP="00D8385F">
      <w:pPr>
        <w:spacing w:line="360" w:lineRule="auto"/>
        <w:jc w:val="both"/>
        <w:rPr>
          <w:rFonts w:cs="Arial"/>
          <w:sz w:val="24"/>
          <w:szCs w:val="24"/>
        </w:rPr>
      </w:pPr>
      <w:r>
        <w:rPr>
          <w:rFonts w:cs="Arial"/>
          <w:sz w:val="24"/>
          <w:szCs w:val="24"/>
        </w:rPr>
        <w:t xml:space="preserve">This option could also benefit public housing tenants as product installations and replacements are the responsibility of the state and territory governments. </w:t>
      </w:r>
    </w:p>
    <w:p w14:paraId="1B9B4414" w14:textId="77777777" w:rsidR="00442DC7" w:rsidRDefault="00442DC7" w:rsidP="00D8385F">
      <w:pPr>
        <w:spacing w:line="360" w:lineRule="auto"/>
        <w:jc w:val="both"/>
        <w:rPr>
          <w:rFonts w:cs="Arial"/>
          <w:sz w:val="24"/>
          <w:szCs w:val="24"/>
        </w:rPr>
      </w:pPr>
      <w:r>
        <w:rPr>
          <w:rFonts w:cs="Arial"/>
          <w:sz w:val="24"/>
          <w:szCs w:val="24"/>
        </w:rPr>
        <w:t xml:space="preserve">Like Option 2, the benefits of reducing low lead exposure are not known with certainty but assumed to be 11.25% of total exposure based on the contribution public sector expenditure contributes to overall expenditure.  </w:t>
      </w:r>
    </w:p>
    <w:p w14:paraId="2E8F6133" w14:textId="711D359D" w:rsidR="00442DC7" w:rsidRDefault="00442DC7" w:rsidP="00D8385F">
      <w:pPr>
        <w:spacing w:line="360" w:lineRule="auto"/>
        <w:jc w:val="both"/>
        <w:rPr>
          <w:rFonts w:cs="Arial"/>
          <w:sz w:val="24"/>
          <w:szCs w:val="24"/>
        </w:rPr>
      </w:pPr>
      <w:r>
        <w:rPr>
          <w:rFonts w:cs="Arial"/>
          <w:sz w:val="24"/>
          <w:szCs w:val="24"/>
        </w:rPr>
        <w:t xml:space="preserve">Hence, the benefits of Option 3 are estimated to be </w:t>
      </w:r>
      <w:r w:rsidRPr="003926C7">
        <w:rPr>
          <w:rFonts w:cs="Arial"/>
          <w:sz w:val="24"/>
          <w:szCs w:val="24"/>
        </w:rPr>
        <w:t>$</w:t>
      </w:r>
      <w:r>
        <w:rPr>
          <w:rFonts w:cs="Arial"/>
          <w:sz w:val="24"/>
          <w:szCs w:val="24"/>
        </w:rPr>
        <w:t xml:space="preserve">5.6 million annually or </w:t>
      </w:r>
      <w:r w:rsidRPr="003926C7">
        <w:rPr>
          <w:rFonts w:cs="Arial"/>
          <w:sz w:val="24"/>
          <w:szCs w:val="24"/>
        </w:rPr>
        <w:t>$</w:t>
      </w:r>
      <w:r>
        <w:rPr>
          <w:rFonts w:cs="Arial"/>
          <w:sz w:val="24"/>
          <w:szCs w:val="24"/>
        </w:rPr>
        <w:t xml:space="preserve">474 million in Present Value terms using a 7% discount rate over 20 years. This results in a net benefit of $213 million in Net Present Value terms if Option 3 was to be implemented. </w:t>
      </w:r>
    </w:p>
    <w:p w14:paraId="4D90A244" w14:textId="2AE09410" w:rsidR="00442DC7" w:rsidRDefault="00442DC7" w:rsidP="00D8385F">
      <w:pPr>
        <w:spacing w:line="360" w:lineRule="auto"/>
        <w:jc w:val="both"/>
        <w:rPr>
          <w:rFonts w:cs="Arial"/>
          <w:sz w:val="24"/>
          <w:szCs w:val="24"/>
        </w:rPr>
      </w:pPr>
      <w:r>
        <w:rPr>
          <w:rFonts w:cs="Arial"/>
          <w:sz w:val="24"/>
          <w:szCs w:val="24"/>
        </w:rPr>
        <w:t xml:space="preserve">One individual commented on the analysis of Option 3 being much less </w:t>
      </w:r>
      <w:r w:rsidR="00E9556A">
        <w:rPr>
          <w:rFonts w:cs="Arial"/>
          <w:sz w:val="24"/>
          <w:szCs w:val="24"/>
        </w:rPr>
        <w:t xml:space="preserve">comprehensive </w:t>
      </w:r>
      <w:r>
        <w:rPr>
          <w:rFonts w:cs="Arial"/>
          <w:sz w:val="24"/>
          <w:szCs w:val="24"/>
        </w:rPr>
        <w:t xml:space="preserve">relative to the analysis of Option 2. This is largely a reflection of Option 3 being a subset of Option 2, based on the percentage government owned buildings contribute to total construction activity. </w:t>
      </w:r>
    </w:p>
    <w:p w14:paraId="61FEABAE" w14:textId="77777777" w:rsidR="0043705D" w:rsidRDefault="0043705D">
      <w:pPr>
        <w:rPr>
          <w:rFonts w:eastAsiaTheme="majorEastAsia" w:cs="Arial"/>
          <w:color w:val="002060"/>
          <w:sz w:val="40"/>
          <w:szCs w:val="28"/>
        </w:rPr>
      </w:pPr>
      <w:bookmarkStart w:id="267" w:name="_Toc71789284"/>
      <w:r>
        <w:rPr>
          <w:rFonts w:cs="Arial"/>
          <w:b/>
          <w:bCs/>
        </w:rPr>
        <w:br w:type="page"/>
      </w:r>
    </w:p>
    <w:p w14:paraId="40ADE225" w14:textId="257A5AEB" w:rsidR="00442DC7" w:rsidRPr="00BD5355" w:rsidRDefault="00442DC7" w:rsidP="00CC66C1">
      <w:pPr>
        <w:pStyle w:val="Heading1"/>
        <w:spacing w:before="360" w:after="240"/>
        <w:rPr>
          <w:rFonts w:ascii="Arial" w:hAnsi="Arial" w:cs="Arial"/>
          <w:b w:val="0"/>
          <w:bCs w:val="0"/>
        </w:rPr>
      </w:pPr>
      <w:r w:rsidRPr="00BD5355">
        <w:rPr>
          <w:rFonts w:ascii="Arial" w:hAnsi="Arial" w:cs="Arial"/>
          <w:b w:val="0"/>
          <w:bCs w:val="0"/>
        </w:rPr>
        <w:lastRenderedPageBreak/>
        <w:t>Sensitivity Analysis</w:t>
      </w:r>
      <w:bookmarkEnd w:id="264"/>
      <w:bookmarkEnd w:id="267"/>
      <w:r w:rsidRPr="00BD5355">
        <w:rPr>
          <w:rFonts w:ascii="Arial" w:hAnsi="Arial" w:cs="Arial"/>
          <w:b w:val="0"/>
          <w:bCs w:val="0"/>
        </w:rPr>
        <w:t xml:space="preserve"> </w:t>
      </w:r>
    </w:p>
    <w:p w14:paraId="69C97E4E" w14:textId="77777777" w:rsidR="00442DC7" w:rsidRDefault="00442DC7" w:rsidP="0058035D">
      <w:pPr>
        <w:spacing w:line="360" w:lineRule="auto"/>
        <w:jc w:val="both"/>
        <w:rPr>
          <w:rFonts w:cs="Arial"/>
          <w:sz w:val="24"/>
          <w:szCs w:val="24"/>
        </w:rPr>
      </w:pPr>
      <w:r w:rsidRPr="00E009C5">
        <w:rPr>
          <w:rFonts w:cs="Arial"/>
          <w:sz w:val="24"/>
          <w:szCs w:val="24"/>
        </w:rPr>
        <w:t xml:space="preserve">A sensitivity analysis has been conducted on the Present Values by varying the </w:t>
      </w:r>
      <w:r>
        <w:rPr>
          <w:rFonts w:cs="Arial"/>
          <w:sz w:val="24"/>
          <w:szCs w:val="24"/>
        </w:rPr>
        <w:t xml:space="preserve">key </w:t>
      </w:r>
      <w:r w:rsidRPr="00E009C5">
        <w:rPr>
          <w:rFonts w:cs="Arial"/>
          <w:sz w:val="24"/>
          <w:szCs w:val="24"/>
        </w:rPr>
        <w:t>parameters around the central analysis</w:t>
      </w:r>
      <w:r>
        <w:rPr>
          <w:rFonts w:cs="Arial"/>
          <w:sz w:val="24"/>
          <w:szCs w:val="24"/>
        </w:rPr>
        <w:t xml:space="preserve"> of Option 2</w:t>
      </w:r>
      <w:r w:rsidRPr="00E009C5">
        <w:rPr>
          <w:rFonts w:cs="Arial"/>
          <w:sz w:val="24"/>
          <w:szCs w:val="24"/>
        </w:rPr>
        <w:t xml:space="preserve">. </w:t>
      </w:r>
    </w:p>
    <w:p w14:paraId="71FF6082" w14:textId="77777777" w:rsidR="00442DC7" w:rsidRDefault="00442DC7" w:rsidP="0058035D">
      <w:pPr>
        <w:spacing w:line="360" w:lineRule="auto"/>
        <w:jc w:val="both"/>
        <w:rPr>
          <w:rFonts w:cs="Arial"/>
          <w:sz w:val="24"/>
          <w:szCs w:val="24"/>
        </w:rPr>
      </w:pPr>
      <w:r w:rsidRPr="00E009C5">
        <w:rPr>
          <w:rFonts w:cs="Arial"/>
          <w:sz w:val="24"/>
          <w:szCs w:val="24"/>
        </w:rPr>
        <w:t xml:space="preserve">The sensitivity analysis has been </w:t>
      </w:r>
      <w:r>
        <w:rPr>
          <w:rFonts w:cs="Arial"/>
          <w:sz w:val="24"/>
          <w:szCs w:val="24"/>
        </w:rPr>
        <w:t>undertaken in</w:t>
      </w:r>
      <w:r w:rsidRPr="00E009C5">
        <w:rPr>
          <w:rFonts w:cs="Arial"/>
          <w:sz w:val="24"/>
          <w:szCs w:val="24"/>
        </w:rPr>
        <w:t xml:space="preserve"> the following areas noting: </w:t>
      </w:r>
    </w:p>
    <w:p w14:paraId="6D2643D3" w14:textId="77777777" w:rsidR="00442DC7" w:rsidRDefault="00442DC7" w:rsidP="008734AE">
      <w:pPr>
        <w:pStyle w:val="ListParagraph"/>
        <w:numPr>
          <w:ilvl w:val="0"/>
          <w:numId w:val="22"/>
        </w:numPr>
        <w:spacing w:line="360" w:lineRule="auto"/>
        <w:jc w:val="both"/>
        <w:rPr>
          <w:rFonts w:cs="Arial"/>
          <w:sz w:val="24"/>
          <w:szCs w:val="24"/>
        </w:rPr>
      </w:pPr>
      <w:bookmarkStart w:id="268" w:name="_Hlk70334870"/>
      <w:r w:rsidRPr="00E009C5">
        <w:rPr>
          <w:rFonts w:cs="Arial"/>
          <w:sz w:val="24"/>
          <w:szCs w:val="24"/>
        </w:rPr>
        <w:t>A real discount rate of 7</w:t>
      </w:r>
      <w:r>
        <w:rPr>
          <w:rFonts w:cs="Arial"/>
          <w:sz w:val="24"/>
          <w:szCs w:val="24"/>
        </w:rPr>
        <w:t>%</w:t>
      </w:r>
      <w:r w:rsidRPr="00E009C5">
        <w:rPr>
          <w:rFonts w:cs="Arial"/>
          <w:sz w:val="24"/>
          <w:szCs w:val="24"/>
        </w:rPr>
        <w:t xml:space="preserve"> has been used in the quantitative analysis, and sensitivity will be tested from a lower bound of 3</w:t>
      </w:r>
      <w:r>
        <w:rPr>
          <w:rFonts w:cs="Arial"/>
          <w:sz w:val="24"/>
          <w:szCs w:val="24"/>
        </w:rPr>
        <w:t>%</w:t>
      </w:r>
      <w:r w:rsidRPr="00E009C5">
        <w:rPr>
          <w:rFonts w:cs="Arial"/>
          <w:sz w:val="24"/>
          <w:szCs w:val="24"/>
        </w:rPr>
        <w:t xml:space="preserve"> to an upper bound of 11</w:t>
      </w:r>
      <w:r>
        <w:rPr>
          <w:rFonts w:cs="Arial"/>
          <w:sz w:val="24"/>
          <w:szCs w:val="24"/>
        </w:rPr>
        <w:t>%</w:t>
      </w:r>
      <w:r w:rsidRPr="00E009C5">
        <w:rPr>
          <w:rFonts w:cs="Arial"/>
          <w:sz w:val="24"/>
          <w:szCs w:val="24"/>
        </w:rPr>
        <w:t>.</w:t>
      </w:r>
    </w:p>
    <w:p w14:paraId="7004E55E" w14:textId="77777777" w:rsidR="00442DC7" w:rsidRDefault="00442DC7" w:rsidP="008734AE">
      <w:pPr>
        <w:pStyle w:val="ListParagraph"/>
        <w:numPr>
          <w:ilvl w:val="0"/>
          <w:numId w:val="22"/>
        </w:numPr>
        <w:spacing w:line="360" w:lineRule="auto"/>
        <w:jc w:val="both"/>
        <w:rPr>
          <w:rFonts w:cs="Arial"/>
          <w:sz w:val="24"/>
          <w:szCs w:val="24"/>
        </w:rPr>
      </w:pPr>
      <w:r>
        <w:rPr>
          <w:rFonts w:cs="Arial"/>
          <w:sz w:val="24"/>
          <w:szCs w:val="24"/>
        </w:rPr>
        <w:t xml:space="preserve">The rate of change of new plumbing products replacing existing plumbing products is not known with certainty. As such, a low (2%) and high (7%) rate of change will be tested. </w:t>
      </w:r>
    </w:p>
    <w:bookmarkEnd w:id="268"/>
    <w:p w14:paraId="06E040C3" w14:textId="77777777" w:rsidR="00442DC7" w:rsidRDefault="00442DC7" w:rsidP="008734AE">
      <w:pPr>
        <w:pStyle w:val="ListParagraph"/>
        <w:numPr>
          <w:ilvl w:val="0"/>
          <w:numId w:val="22"/>
        </w:numPr>
        <w:spacing w:line="360" w:lineRule="auto"/>
        <w:jc w:val="both"/>
        <w:rPr>
          <w:rFonts w:cs="Arial"/>
          <w:sz w:val="24"/>
          <w:szCs w:val="24"/>
        </w:rPr>
      </w:pPr>
      <w:r>
        <w:rPr>
          <w:rFonts w:cs="Arial"/>
          <w:sz w:val="24"/>
          <w:szCs w:val="24"/>
        </w:rPr>
        <w:t>With the introduction of new requirements impacting the entire plumbing copper alloy industry, there is the possibility of positive economies of scale being achieved over time. The sensitivity analysis will test a 10% and 20% reduction in input costs over 10 years.</w:t>
      </w:r>
    </w:p>
    <w:p w14:paraId="642124D2" w14:textId="77777777" w:rsidR="00442DC7" w:rsidRDefault="00442DC7" w:rsidP="008734AE">
      <w:pPr>
        <w:pStyle w:val="ListParagraph"/>
        <w:numPr>
          <w:ilvl w:val="0"/>
          <w:numId w:val="22"/>
        </w:numPr>
        <w:spacing w:line="360" w:lineRule="auto"/>
        <w:jc w:val="both"/>
        <w:rPr>
          <w:rFonts w:cs="Arial"/>
          <w:sz w:val="24"/>
          <w:szCs w:val="24"/>
        </w:rPr>
      </w:pPr>
      <w:r>
        <w:rPr>
          <w:rFonts w:cs="Arial"/>
          <w:sz w:val="24"/>
          <w:szCs w:val="24"/>
        </w:rPr>
        <w:t xml:space="preserve">The contribution lead in drinking water makes to total health consequences is assumed to be up to 20% based on limited studies from the US. The sensitivity analysis will test a 50% reduction of health benefits from the central analysis (i.e. a 10% contribution to total health effects from lead in drinking water). </w:t>
      </w:r>
    </w:p>
    <w:p w14:paraId="0385C869" w14:textId="7E10142C" w:rsidR="00442DC7" w:rsidRPr="00D10CF8" w:rsidRDefault="00442DC7" w:rsidP="00BD5355">
      <w:pPr>
        <w:rPr>
          <w:rFonts w:cs="Arial"/>
          <w:sz w:val="24"/>
          <w:szCs w:val="24"/>
        </w:rPr>
      </w:pPr>
      <w:r>
        <w:rPr>
          <w:rFonts w:cs="Arial"/>
          <w:sz w:val="24"/>
          <w:szCs w:val="24"/>
        </w:rPr>
        <w:t xml:space="preserve">Table 18 </w:t>
      </w:r>
      <w:r w:rsidRPr="006846AB">
        <w:rPr>
          <w:rFonts w:cs="Arial"/>
          <w:sz w:val="24"/>
          <w:szCs w:val="24"/>
        </w:rPr>
        <w:t>shows the</w:t>
      </w:r>
      <w:r w:rsidRPr="00E009C5">
        <w:rPr>
          <w:rFonts w:cs="Arial"/>
          <w:sz w:val="24"/>
          <w:szCs w:val="24"/>
        </w:rPr>
        <w:t xml:space="preserve"> conclusions of the sensitivity analysis in </w:t>
      </w:r>
      <w:r>
        <w:rPr>
          <w:rFonts w:cs="Arial"/>
          <w:sz w:val="24"/>
          <w:szCs w:val="24"/>
        </w:rPr>
        <w:t xml:space="preserve">Net </w:t>
      </w:r>
      <w:r w:rsidRPr="00E009C5">
        <w:rPr>
          <w:rFonts w:cs="Arial"/>
          <w:sz w:val="24"/>
          <w:szCs w:val="24"/>
        </w:rPr>
        <w:t>Present Value terms.</w:t>
      </w:r>
    </w:p>
    <w:p w14:paraId="282C6972" w14:textId="22B30DF9" w:rsidR="00442DC7" w:rsidRDefault="00442DC7" w:rsidP="00DA119A">
      <w:pPr>
        <w:pStyle w:val="Caption"/>
      </w:pPr>
      <w:bookmarkStart w:id="269" w:name="_Toc73091876"/>
      <w:r>
        <w:t xml:space="preserve">Table </w:t>
      </w:r>
      <w:r w:rsidR="00362D62">
        <w:rPr>
          <w:noProof/>
        </w:rPr>
        <w:fldChar w:fldCharType="begin"/>
      </w:r>
      <w:r w:rsidR="00362D62">
        <w:rPr>
          <w:noProof/>
        </w:rPr>
        <w:instrText xml:space="preserve"> SEQ Table \* ARABIC </w:instrText>
      </w:r>
      <w:r w:rsidR="00362D62">
        <w:rPr>
          <w:noProof/>
        </w:rPr>
        <w:fldChar w:fldCharType="separate"/>
      </w:r>
      <w:r>
        <w:rPr>
          <w:noProof/>
        </w:rPr>
        <w:t>18</w:t>
      </w:r>
      <w:r w:rsidR="00362D62">
        <w:rPr>
          <w:noProof/>
        </w:rPr>
        <w:fldChar w:fldCharType="end"/>
      </w:r>
      <w:r>
        <w:t>: Sensitivity analysis of Option 2</w:t>
      </w:r>
      <w:bookmarkEnd w:id="269"/>
    </w:p>
    <w:tbl>
      <w:tblPr>
        <w:tblStyle w:val="TableGrid"/>
        <w:tblW w:w="5000" w:type="pct"/>
        <w:tblLayout w:type="fixed"/>
        <w:tblLook w:val="04A0" w:firstRow="1" w:lastRow="0" w:firstColumn="1" w:lastColumn="0" w:noHBand="0" w:noVBand="1"/>
        <w:tblCaption w:val="Table 16: Sensitivity analysis of Option 2"/>
        <w:tblDescription w:val="This table provides a summary of the sensitivity analysis undertaken as part of assessing option 2. The sensitivity analysis of key parameters indicates that Option 2 demonstrates a net benefit in most scenarios. The exception is where the rate of change is low (that is, total annual sales data represents less than 2% of new installation and replacement). This scenario is unlikely given the average life expectancy of most plumbing products in contact with drinking water is less than or equal to 20 years in most cases. "/>
      </w:tblPr>
      <w:tblGrid>
        <w:gridCol w:w="2606"/>
        <w:gridCol w:w="2250"/>
        <w:gridCol w:w="2068"/>
        <w:gridCol w:w="2092"/>
      </w:tblGrid>
      <w:tr w:rsidR="00442DC7" w:rsidRPr="00054A2D" w14:paraId="73B80B5C" w14:textId="77777777" w:rsidTr="00191C58">
        <w:trPr>
          <w:tblHeader/>
        </w:trPr>
        <w:tc>
          <w:tcPr>
            <w:tcW w:w="1445" w:type="pct"/>
            <w:shd w:val="clear" w:color="auto" w:fill="002060"/>
          </w:tcPr>
          <w:p w14:paraId="6C09F2ED" w14:textId="77777777" w:rsidR="00442DC7" w:rsidRPr="00AC1656" w:rsidRDefault="00442DC7" w:rsidP="0028611D">
            <w:pPr>
              <w:jc w:val="center"/>
              <w:rPr>
                <w:sz w:val="24"/>
                <w:szCs w:val="24"/>
              </w:rPr>
            </w:pPr>
            <w:r w:rsidRPr="00AC1656">
              <w:rPr>
                <w:sz w:val="24"/>
                <w:szCs w:val="24"/>
              </w:rPr>
              <w:t>Parameter</w:t>
            </w:r>
          </w:p>
        </w:tc>
        <w:tc>
          <w:tcPr>
            <w:tcW w:w="1248" w:type="pct"/>
            <w:shd w:val="clear" w:color="auto" w:fill="002060"/>
          </w:tcPr>
          <w:p w14:paraId="54B95559" w14:textId="77777777" w:rsidR="00442DC7" w:rsidRPr="00AC1656" w:rsidRDefault="00442DC7" w:rsidP="0028611D">
            <w:pPr>
              <w:jc w:val="center"/>
              <w:rPr>
                <w:sz w:val="24"/>
                <w:szCs w:val="24"/>
              </w:rPr>
            </w:pPr>
            <w:r w:rsidRPr="00AC1656">
              <w:rPr>
                <w:sz w:val="24"/>
                <w:szCs w:val="24"/>
              </w:rPr>
              <w:t>Present Value Cost</w:t>
            </w:r>
          </w:p>
        </w:tc>
        <w:tc>
          <w:tcPr>
            <w:tcW w:w="1147" w:type="pct"/>
            <w:shd w:val="clear" w:color="auto" w:fill="002060"/>
          </w:tcPr>
          <w:p w14:paraId="650C1CDC" w14:textId="77777777" w:rsidR="00442DC7" w:rsidRPr="00AC1656" w:rsidRDefault="00442DC7" w:rsidP="0028611D">
            <w:pPr>
              <w:jc w:val="center"/>
              <w:rPr>
                <w:sz w:val="24"/>
                <w:szCs w:val="24"/>
              </w:rPr>
            </w:pPr>
            <w:r w:rsidRPr="00AC1656">
              <w:rPr>
                <w:sz w:val="24"/>
                <w:szCs w:val="24"/>
              </w:rPr>
              <w:t>Present Value Benefit</w:t>
            </w:r>
          </w:p>
        </w:tc>
        <w:tc>
          <w:tcPr>
            <w:tcW w:w="1160" w:type="pct"/>
            <w:shd w:val="clear" w:color="auto" w:fill="002060"/>
          </w:tcPr>
          <w:p w14:paraId="1CBC027C" w14:textId="77777777" w:rsidR="00442DC7" w:rsidRPr="00AC1656" w:rsidRDefault="00442DC7" w:rsidP="0028611D">
            <w:pPr>
              <w:jc w:val="center"/>
              <w:rPr>
                <w:sz w:val="24"/>
                <w:szCs w:val="24"/>
              </w:rPr>
            </w:pPr>
            <w:r w:rsidRPr="00AC1656">
              <w:rPr>
                <w:sz w:val="24"/>
                <w:szCs w:val="24"/>
              </w:rPr>
              <w:t>Net Present Value</w:t>
            </w:r>
          </w:p>
        </w:tc>
      </w:tr>
      <w:tr w:rsidR="00442DC7" w:rsidRPr="00D67006" w14:paraId="515309C2" w14:textId="77777777" w:rsidTr="00191C58">
        <w:trPr>
          <w:trHeight w:val="482"/>
        </w:trPr>
        <w:tc>
          <w:tcPr>
            <w:tcW w:w="1445" w:type="pct"/>
          </w:tcPr>
          <w:p w14:paraId="7698D117" w14:textId="77777777" w:rsidR="00442DC7" w:rsidRPr="00AC1656" w:rsidRDefault="00442DC7" w:rsidP="00546062">
            <w:pPr>
              <w:spacing w:before="120" w:after="120"/>
              <w:rPr>
                <w:color w:val="000000" w:themeColor="text1"/>
                <w:sz w:val="24"/>
                <w:szCs w:val="24"/>
              </w:rPr>
            </w:pPr>
            <w:r w:rsidRPr="00AC1656">
              <w:rPr>
                <w:color w:val="000000" w:themeColor="text1"/>
                <w:sz w:val="24"/>
                <w:szCs w:val="24"/>
              </w:rPr>
              <w:t>Discount rate – low (3%)</w:t>
            </w:r>
          </w:p>
        </w:tc>
        <w:tc>
          <w:tcPr>
            <w:tcW w:w="1248" w:type="pct"/>
          </w:tcPr>
          <w:p w14:paraId="5F9A452E" w14:textId="77777777" w:rsidR="00442DC7" w:rsidRPr="00663022" w:rsidRDefault="00442DC7" w:rsidP="00546062">
            <w:pPr>
              <w:spacing w:before="120" w:after="120"/>
              <w:jc w:val="right"/>
              <w:rPr>
                <w:color w:val="000000" w:themeColor="text1"/>
                <w:sz w:val="24"/>
                <w:szCs w:val="24"/>
              </w:rPr>
            </w:pPr>
            <w:r w:rsidRPr="00663022">
              <w:rPr>
                <w:color w:val="000000" w:themeColor="text1"/>
                <w:sz w:val="24"/>
                <w:szCs w:val="24"/>
              </w:rPr>
              <w:t>$2,713,139,982</w:t>
            </w:r>
          </w:p>
          <w:p w14:paraId="3C5CF038" w14:textId="25BA98D1" w:rsidR="00442DC7" w:rsidRPr="00AC1656" w:rsidRDefault="00442DC7" w:rsidP="00546062">
            <w:pPr>
              <w:spacing w:before="120" w:after="120"/>
              <w:jc w:val="right"/>
              <w:rPr>
                <w:color w:val="000000" w:themeColor="text1"/>
                <w:sz w:val="24"/>
                <w:szCs w:val="24"/>
              </w:rPr>
            </w:pPr>
          </w:p>
        </w:tc>
        <w:tc>
          <w:tcPr>
            <w:tcW w:w="1147" w:type="pct"/>
          </w:tcPr>
          <w:p w14:paraId="54786D82" w14:textId="02856172" w:rsidR="00442DC7" w:rsidRPr="00AC1656" w:rsidRDefault="00442DC7" w:rsidP="00546062">
            <w:pPr>
              <w:spacing w:before="120" w:after="120"/>
              <w:jc w:val="right"/>
              <w:rPr>
                <w:color w:val="000000" w:themeColor="text1"/>
                <w:sz w:val="24"/>
                <w:szCs w:val="24"/>
              </w:rPr>
            </w:pPr>
            <w:r w:rsidRPr="00AC1656">
              <w:rPr>
                <w:color w:val="000000" w:themeColor="text1"/>
                <w:sz w:val="24"/>
                <w:szCs w:val="24"/>
              </w:rPr>
              <w:t>$</w:t>
            </w:r>
            <w:r>
              <w:rPr>
                <w:color w:val="000000" w:themeColor="text1"/>
                <w:sz w:val="24"/>
                <w:szCs w:val="24"/>
              </w:rPr>
              <w:t>6,653,021,929</w:t>
            </w:r>
          </w:p>
        </w:tc>
        <w:tc>
          <w:tcPr>
            <w:tcW w:w="1160" w:type="pct"/>
          </w:tcPr>
          <w:p w14:paraId="2B0DF3E9" w14:textId="6FED4FDE" w:rsidR="00442DC7" w:rsidRPr="00AC1656" w:rsidRDefault="00442DC7" w:rsidP="00546062">
            <w:pPr>
              <w:spacing w:before="120" w:after="120"/>
              <w:jc w:val="right"/>
              <w:rPr>
                <w:color w:val="000000" w:themeColor="text1"/>
                <w:sz w:val="24"/>
                <w:szCs w:val="24"/>
              </w:rPr>
            </w:pPr>
            <w:r w:rsidRPr="00AC1656">
              <w:rPr>
                <w:color w:val="000000" w:themeColor="text1"/>
                <w:sz w:val="24"/>
                <w:szCs w:val="24"/>
              </w:rPr>
              <w:t>$</w:t>
            </w:r>
            <w:r>
              <w:rPr>
                <w:color w:val="000000" w:themeColor="text1"/>
                <w:sz w:val="24"/>
                <w:szCs w:val="24"/>
              </w:rPr>
              <w:t>3,939,881,947</w:t>
            </w:r>
          </w:p>
        </w:tc>
      </w:tr>
      <w:tr w:rsidR="00442DC7" w:rsidRPr="00D67006" w14:paraId="556B4435" w14:textId="77777777" w:rsidTr="00191C58">
        <w:trPr>
          <w:trHeight w:val="482"/>
        </w:trPr>
        <w:tc>
          <w:tcPr>
            <w:tcW w:w="1445" w:type="pct"/>
          </w:tcPr>
          <w:p w14:paraId="79AA48B1" w14:textId="77777777" w:rsidR="00442DC7" w:rsidRPr="00AC1656" w:rsidRDefault="00442DC7" w:rsidP="00546062">
            <w:pPr>
              <w:spacing w:before="120" w:after="120"/>
              <w:rPr>
                <w:color w:val="000000" w:themeColor="text1"/>
                <w:sz w:val="24"/>
                <w:szCs w:val="24"/>
              </w:rPr>
            </w:pPr>
            <w:r w:rsidRPr="00AC1656">
              <w:rPr>
                <w:color w:val="000000" w:themeColor="text1"/>
                <w:sz w:val="24"/>
                <w:szCs w:val="24"/>
              </w:rPr>
              <w:t>Discount rate – high (11%)</w:t>
            </w:r>
          </w:p>
        </w:tc>
        <w:tc>
          <w:tcPr>
            <w:tcW w:w="1248" w:type="pct"/>
          </w:tcPr>
          <w:p w14:paraId="14B399C0" w14:textId="77777777" w:rsidR="00442DC7" w:rsidRPr="00663022" w:rsidRDefault="00442DC7" w:rsidP="00546062">
            <w:pPr>
              <w:spacing w:before="120" w:after="120"/>
              <w:jc w:val="right"/>
              <w:rPr>
                <w:color w:val="000000" w:themeColor="text1"/>
                <w:sz w:val="24"/>
                <w:szCs w:val="24"/>
              </w:rPr>
            </w:pPr>
            <w:r w:rsidRPr="00663022">
              <w:rPr>
                <w:color w:val="000000" w:themeColor="text1"/>
                <w:sz w:val="24"/>
                <w:szCs w:val="24"/>
              </w:rPr>
              <w:t>$2,018,632,501</w:t>
            </w:r>
          </w:p>
          <w:p w14:paraId="491E2082" w14:textId="1D07AF26" w:rsidR="00442DC7" w:rsidRPr="00AC1656" w:rsidRDefault="00442DC7" w:rsidP="00546062">
            <w:pPr>
              <w:spacing w:before="120" w:after="120"/>
              <w:jc w:val="right"/>
              <w:rPr>
                <w:color w:val="000000" w:themeColor="text1"/>
                <w:sz w:val="24"/>
                <w:szCs w:val="24"/>
              </w:rPr>
            </w:pPr>
          </w:p>
        </w:tc>
        <w:tc>
          <w:tcPr>
            <w:tcW w:w="1147" w:type="pct"/>
          </w:tcPr>
          <w:p w14:paraId="23D1F930" w14:textId="4AD70192" w:rsidR="00442DC7" w:rsidRPr="00AC1656" w:rsidRDefault="00442DC7" w:rsidP="00546062">
            <w:pPr>
              <w:spacing w:before="120" w:after="120"/>
              <w:jc w:val="right"/>
              <w:rPr>
                <w:color w:val="000000" w:themeColor="text1"/>
                <w:sz w:val="24"/>
                <w:szCs w:val="24"/>
              </w:rPr>
            </w:pPr>
            <w:r w:rsidRPr="00AC1656">
              <w:rPr>
                <w:color w:val="000000" w:themeColor="text1"/>
                <w:sz w:val="24"/>
                <w:szCs w:val="24"/>
              </w:rPr>
              <w:t>$</w:t>
            </w:r>
            <w:r>
              <w:rPr>
                <w:color w:val="000000" w:themeColor="text1"/>
                <w:sz w:val="24"/>
                <w:szCs w:val="24"/>
              </w:rPr>
              <w:t>2,855,322,413</w:t>
            </w:r>
          </w:p>
        </w:tc>
        <w:tc>
          <w:tcPr>
            <w:tcW w:w="1160" w:type="pct"/>
          </w:tcPr>
          <w:p w14:paraId="495177BC" w14:textId="1D658A65" w:rsidR="00442DC7" w:rsidRPr="00AC1656" w:rsidRDefault="00442DC7" w:rsidP="00546062">
            <w:pPr>
              <w:spacing w:before="120" w:after="120"/>
              <w:jc w:val="right"/>
              <w:rPr>
                <w:color w:val="000000" w:themeColor="text1"/>
                <w:sz w:val="24"/>
                <w:szCs w:val="24"/>
              </w:rPr>
            </w:pPr>
            <w:r w:rsidRPr="00AC1656">
              <w:rPr>
                <w:color w:val="000000" w:themeColor="text1"/>
                <w:sz w:val="24"/>
                <w:szCs w:val="24"/>
              </w:rPr>
              <w:t>$</w:t>
            </w:r>
            <w:r>
              <w:rPr>
                <w:color w:val="000000" w:themeColor="text1"/>
                <w:sz w:val="24"/>
                <w:szCs w:val="24"/>
              </w:rPr>
              <w:t>836,689,912</w:t>
            </w:r>
          </w:p>
        </w:tc>
      </w:tr>
      <w:tr w:rsidR="00442DC7" w:rsidRPr="00D67006" w14:paraId="19BA9B00" w14:textId="77777777" w:rsidTr="00191C58">
        <w:trPr>
          <w:trHeight w:val="765"/>
        </w:trPr>
        <w:tc>
          <w:tcPr>
            <w:tcW w:w="1445" w:type="pct"/>
          </w:tcPr>
          <w:p w14:paraId="0F248816" w14:textId="77777777" w:rsidR="00442DC7" w:rsidRPr="00AC1656" w:rsidRDefault="00442DC7" w:rsidP="00546062">
            <w:pPr>
              <w:spacing w:before="120" w:after="120"/>
              <w:rPr>
                <w:color w:val="000000" w:themeColor="text1"/>
                <w:sz w:val="24"/>
                <w:szCs w:val="24"/>
              </w:rPr>
            </w:pPr>
            <w:r w:rsidRPr="00AC1656">
              <w:rPr>
                <w:color w:val="000000" w:themeColor="text1"/>
                <w:sz w:val="24"/>
                <w:szCs w:val="24"/>
              </w:rPr>
              <w:t>Rate of replacement – low (2%)</w:t>
            </w:r>
          </w:p>
        </w:tc>
        <w:tc>
          <w:tcPr>
            <w:tcW w:w="1248" w:type="pct"/>
          </w:tcPr>
          <w:p w14:paraId="07857DE0" w14:textId="77777777" w:rsidR="00442DC7" w:rsidRPr="00663022" w:rsidRDefault="00442DC7" w:rsidP="00546062">
            <w:pPr>
              <w:spacing w:before="120" w:after="120"/>
              <w:jc w:val="right"/>
              <w:rPr>
                <w:color w:val="000000" w:themeColor="text1"/>
                <w:sz w:val="24"/>
                <w:szCs w:val="24"/>
              </w:rPr>
            </w:pPr>
            <w:r w:rsidRPr="00663022">
              <w:rPr>
                <w:color w:val="000000" w:themeColor="text1"/>
                <w:sz w:val="24"/>
                <w:szCs w:val="24"/>
              </w:rPr>
              <w:t>$2,320,694,777</w:t>
            </w:r>
          </w:p>
          <w:p w14:paraId="273AB199" w14:textId="5DBDEFD9" w:rsidR="00442DC7" w:rsidRPr="00AC1656" w:rsidRDefault="00442DC7" w:rsidP="00546062">
            <w:pPr>
              <w:spacing w:before="120" w:after="120"/>
              <w:jc w:val="right"/>
              <w:rPr>
                <w:color w:val="000000" w:themeColor="text1"/>
                <w:sz w:val="24"/>
                <w:szCs w:val="24"/>
              </w:rPr>
            </w:pPr>
          </w:p>
        </w:tc>
        <w:tc>
          <w:tcPr>
            <w:tcW w:w="1147" w:type="pct"/>
          </w:tcPr>
          <w:p w14:paraId="11BC0F67" w14:textId="5AA72E26" w:rsidR="00442DC7" w:rsidRPr="00AC1656" w:rsidRDefault="00442DC7" w:rsidP="00546062">
            <w:pPr>
              <w:spacing w:before="120" w:after="120"/>
              <w:jc w:val="right"/>
              <w:rPr>
                <w:color w:val="000000" w:themeColor="text1"/>
                <w:sz w:val="24"/>
                <w:szCs w:val="24"/>
              </w:rPr>
            </w:pPr>
            <w:r w:rsidRPr="00AC1656">
              <w:rPr>
                <w:color w:val="000000" w:themeColor="text1"/>
                <w:sz w:val="24"/>
                <w:szCs w:val="24"/>
              </w:rPr>
              <w:t>$</w:t>
            </w:r>
            <w:r>
              <w:rPr>
                <w:color w:val="000000" w:themeColor="text1"/>
                <w:sz w:val="24"/>
                <w:szCs w:val="24"/>
              </w:rPr>
              <w:t>1,683,847,088</w:t>
            </w:r>
          </w:p>
        </w:tc>
        <w:tc>
          <w:tcPr>
            <w:tcW w:w="1160" w:type="pct"/>
          </w:tcPr>
          <w:p w14:paraId="76A7AD91" w14:textId="105031D7" w:rsidR="00442DC7" w:rsidRPr="00AC1656" w:rsidRDefault="00546062" w:rsidP="00546062">
            <w:pPr>
              <w:spacing w:before="120" w:after="120"/>
              <w:jc w:val="right"/>
              <w:rPr>
                <w:color w:val="000000" w:themeColor="text1"/>
                <w:sz w:val="24"/>
                <w:szCs w:val="24"/>
              </w:rPr>
            </w:pPr>
            <w:r>
              <w:rPr>
                <w:color w:val="000000" w:themeColor="text1"/>
                <w:sz w:val="24"/>
                <w:szCs w:val="24"/>
              </w:rPr>
              <w:t>(</w:t>
            </w:r>
            <w:r w:rsidR="00442DC7" w:rsidRPr="00AC1656">
              <w:rPr>
                <w:color w:val="000000" w:themeColor="text1"/>
                <w:sz w:val="24"/>
                <w:szCs w:val="24"/>
              </w:rPr>
              <w:t>$</w:t>
            </w:r>
            <w:r w:rsidR="00442DC7">
              <w:rPr>
                <w:color w:val="000000" w:themeColor="text1"/>
                <w:sz w:val="24"/>
                <w:szCs w:val="24"/>
              </w:rPr>
              <w:t>636,847,689</w:t>
            </w:r>
            <w:r>
              <w:rPr>
                <w:color w:val="000000" w:themeColor="text1"/>
                <w:sz w:val="24"/>
                <w:szCs w:val="24"/>
              </w:rPr>
              <w:t>)</w:t>
            </w:r>
          </w:p>
        </w:tc>
      </w:tr>
      <w:tr w:rsidR="00442DC7" w:rsidRPr="00D67006" w14:paraId="12DD8799" w14:textId="77777777" w:rsidTr="00191C58">
        <w:trPr>
          <w:trHeight w:val="765"/>
        </w:trPr>
        <w:tc>
          <w:tcPr>
            <w:tcW w:w="1445" w:type="pct"/>
          </w:tcPr>
          <w:p w14:paraId="26D90447" w14:textId="77777777" w:rsidR="00442DC7" w:rsidRPr="00AC1656" w:rsidRDefault="00442DC7" w:rsidP="00546062">
            <w:pPr>
              <w:spacing w:before="120" w:after="120"/>
              <w:rPr>
                <w:color w:val="000000" w:themeColor="text1"/>
                <w:sz w:val="24"/>
                <w:szCs w:val="24"/>
              </w:rPr>
            </w:pPr>
            <w:r w:rsidRPr="00AC1656">
              <w:rPr>
                <w:color w:val="000000" w:themeColor="text1"/>
                <w:sz w:val="24"/>
                <w:szCs w:val="24"/>
              </w:rPr>
              <w:t>Rate of replacement – high (7%)</w:t>
            </w:r>
          </w:p>
        </w:tc>
        <w:tc>
          <w:tcPr>
            <w:tcW w:w="1248" w:type="pct"/>
          </w:tcPr>
          <w:p w14:paraId="6E85D0E3" w14:textId="77777777" w:rsidR="00442DC7" w:rsidRPr="00663022" w:rsidRDefault="00442DC7" w:rsidP="00546062">
            <w:pPr>
              <w:spacing w:before="120" w:after="120"/>
              <w:jc w:val="right"/>
              <w:rPr>
                <w:color w:val="000000" w:themeColor="text1"/>
                <w:sz w:val="24"/>
                <w:szCs w:val="24"/>
              </w:rPr>
            </w:pPr>
            <w:r w:rsidRPr="00663022">
              <w:rPr>
                <w:color w:val="000000" w:themeColor="text1"/>
                <w:sz w:val="24"/>
                <w:szCs w:val="24"/>
              </w:rPr>
              <w:t>$2,320,694,777</w:t>
            </w:r>
          </w:p>
          <w:p w14:paraId="1EAB7E0B" w14:textId="1F2D1810" w:rsidR="00442DC7" w:rsidRPr="00AC1656" w:rsidRDefault="00442DC7" w:rsidP="00546062">
            <w:pPr>
              <w:spacing w:before="120" w:after="120"/>
              <w:jc w:val="right"/>
              <w:rPr>
                <w:color w:val="000000" w:themeColor="text1"/>
                <w:sz w:val="24"/>
                <w:szCs w:val="24"/>
              </w:rPr>
            </w:pPr>
          </w:p>
        </w:tc>
        <w:tc>
          <w:tcPr>
            <w:tcW w:w="1147" w:type="pct"/>
          </w:tcPr>
          <w:p w14:paraId="340F1CED" w14:textId="2000DA6F" w:rsidR="00442DC7" w:rsidRPr="00AC1656" w:rsidRDefault="00442DC7" w:rsidP="00546062">
            <w:pPr>
              <w:spacing w:before="120" w:after="120"/>
              <w:jc w:val="right"/>
              <w:rPr>
                <w:color w:val="000000" w:themeColor="text1"/>
                <w:sz w:val="24"/>
                <w:szCs w:val="24"/>
              </w:rPr>
            </w:pPr>
            <w:r w:rsidRPr="00AC1656">
              <w:rPr>
                <w:color w:val="000000" w:themeColor="text1"/>
                <w:sz w:val="24"/>
                <w:szCs w:val="24"/>
              </w:rPr>
              <w:t>$</w:t>
            </w:r>
            <w:r>
              <w:rPr>
                <w:color w:val="000000" w:themeColor="text1"/>
                <w:sz w:val="24"/>
                <w:szCs w:val="24"/>
              </w:rPr>
              <w:t>5,893,464,809</w:t>
            </w:r>
          </w:p>
        </w:tc>
        <w:tc>
          <w:tcPr>
            <w:tcW w:w="1160" w:type="pct"/>
          </w:tcPr>
          <w:p w14:paraId="42D57B07" w14:textId="6F94AFAA" w:rsidR="00442DC7" w:rsidRPr="00AC1656" w:rsidRDefault="00442DC7" w:rsidP="00546062">
            <w:pPr>
              <w:spacing w:before="120" w:after="120"/>
              <w:jc w:val="right"/>
              <w:rPr>
                <w:color w:val="000000" w:themeColor="text1"/>
                <w:sz w:val="24"/>
                <w:szCs w:val="24"/>
              </w:rPr>
            </w:pPr>
            <w:r w:rsidRPr="00AC1656">
              <w:rPr>
                <w:color w:val="000000" w:themeColor="text1"/>
                <w:sz w:val="24"/>
                <w:szCs w:val="24"/>
              </w:rPr>
              <w:t>$</w:t>
            </w:r>
            <w:r>
              <w:rPr>
                <w:color w:val="000000" w:themeColor="text1"/>
                <w:sz w:val="24"/>
                <w:szCs w:val="24"/>
              </w:rPr>
              <w:t>3,572,770,032</w:t>
            </w:r>
          </w:p>
        </w:tc>
      </w:tr>
      <w:tr w:rsidR="00442DC7" w:rsidRPr="00D67006" w14:paraId="49D6228C" w14:textId="77777777" w:rsidTr="00191C58">
        <w:trPr>
          <w:trHeight w:val="765"/>
        </w:trPr>
        <w:tc>
          <w:tcPr>
            <w:tcW w:w="1445" w:type="pct"/>
          </w:tcPr>
          <w:p w14:paraId="57A7BA11" w14:textId="77777777" w:rsidR="00442DC7" w:rsidRPr="00AC1656" w:rsidRDefault="00442DC7" w:rsidP="00546062">
            <w:pPr>
              <w:spacing w:before="120" w:after="120"/>
              <w:rPr>
                <w:color w:val="000000" w:themeColor="text1"/>
                <w:sz w:val="24"/>
                <w:szCs w:val="24"/>
              </w:rPr>
            </w:pPr>
            <w:r w:rsidRPr="00AC1656">
              <w:rPr>
                <w:color w:val="000000" w:themeColor="text1"/>
                <w:sz w:val="24"/>
                <w:szCs w:val="24"/>
              </w:rPr>
              <w:lastRenderedPageBreak/>
              <w:t>Reduction in the cost of inputs – 10% over 10 years</w:t>
            </w:r>
          </w:p>
        </w:tc>
        <w:tc>
          <w:tcPr>
            <w:tcW w:w="1248" w:type="pct"/>
          </w:tcPr>
          <w:p w14:paraId="589A14F0" w14:textId="77777777" w:rsidR="00442DC7" w:rsidRPr="00663022" w:rsidRDefault="00442DC7" w:rsidP="00546062">
            <w:pPr>
              <w:spacing w:before="120" w:after="120"/>
              <w:jc w:val="right"/>
              <w:rPr>
                <w:color w:val="000000" w:themeColor="text1"/>
                <w:sz w:val="24"/>
                <w:szCs w:val="24"/>
              </w:rPr>
            </w:pPr>
            <w:r w:rsidRPr="00663022">
              <w:rPr>
                <w:color w:val="000000" w:themeColor="text1"/>
                <w:sz w:val="24"/>
                <w:szCs w:val="24"/>
              </w:rPr>
              <w:t>$2,229,118,513</w:t>
            </w:r>
          </w:p>
          <w:p w14:paraId="2A221135" w14:textId="36C0F8A3" w:rsidR="00442DC7" w:rsidRPr="00AC1656" w:rsidRDefault="00442DC7" w:rsidP="00546062">
            <w:pPr>
              <w:spacing w:before="120" w:after="120"/>
              <w:jc w:val="right"/>
              <w:rPr>
                <w:color w:val="000000" w:themeColor="text1"/>
                <w:sz w:val="24"/>
                <w:szCs w:val="24"/>
              </w:rPr>
            </w:pPr>
          </w:p>
        </w:tc>
        <w:tc>
          <w:tcPr>
            <w:tcW w:w="1147" w:type="pct"/>
          </w:tcPr>
          <w:p w14:paraId="77FAE5CF" w14:textId="240F5AC9" w:rsidR="00442DC7" w:rsidRPr="00AC1656" w:rsidRDefault="00442DC7" w:rsidP="00546062">
            <w:pPr>
              <w:spacing w:before="120" w:after="120"/>
              <w:jc w:val="right"/>
              <w:rPr>
                <w:color w:val="000000" w:themeColor="text1"/>
                <w:sz w:val="24"/>
                <w:szCs w:val="24"/>
              </w:rPr>
            </w:pPr>
            <w:r w:rsidRPr="00020230">
              <w:rPr>
                <w:rFonts w:cs="Arial"/>
                <w:sz w:val="24"/>
                <w:szCs w:val="24"/>
              </w:rPr>
              <w:t>$4,209,617,720</w:t>
            </w:r>
          </w:p>
        </w:tc>
        <w:tc>
          <w:tcPr>
            <w:tcW w:w="1160" w:type="pct"/>
          </w:tcPr>
          <w:p w14:paraId="6F4F21F2" w14:textId="37CEC8CE" w:rsidR="00442DC7" w:rsidRPr="00AC1656" w:rsidRDefault="00442DC7" w:rsidP="00546062">
            <w:pPr>
              <w:spacing w:before="120" w:after="120"/>
              <w:jc w:val="right"/>
              <w:rPr>
                <w:color w:val="000000" w:themeColor="text1"/>
                <w:sz w:val="24"/>
                <w:szCs w:val="24"/>
              </w:rPr>
            </w:pPr>
            <w:r w:rsidRPr="00AC1656">
              <w:rPr>
                <w:color w:val="000000" w:themeColor="text1"/>
                <w:sz w:val="24"/>
                <w:szCs w:val="24"/>
              </w:rPr>
              <w:t>$</w:t>
            </w:r>
            <w:r>
              <w:rPr>
                <w:color w:val="000000" w:themeColor="text1"/>
                <w:sz w:val="24"/>
                <w:szCs w:val="24"/>
              </w:rPr>
              <w:t>1,980,499,207</w:t>
            </w:r>
          </w:p>
        </w:tc>
      </w:tr>
      <w:tr w:rsidR="00442DC7" w:rsidRPr="00D67006" w14:paraId="5291C810" w14:textId="77777777" w:rsidTr="00191C58">
        <w:trPr>
          <w:trHeight w:val="765"/>
        </w:trPr>
        <w:tc>
          <w:tcPr>
            <w:tcW w:w="1445" w:type="pct"/>
          </w:tcPr>
          <w:p w14:paraId="36F82269" w14:textId="77777777" w:rsidR="00442DC7" w:rsidRPr="00AC1656" w:rsidRDefault="00442DC7" w:rsidP="00546062">
            <w:pPr>
              <w:spacing w:before="120" w:after="120"/>
              <w:rPr>
                <w:color w:val="000000" w:themeColor="text1"/>
                <w:sz w:val="24"/>
                <w:szCs w:val="24"/>
              </w:rPr>
            </w:pPr>
            <w:r w:rsidRPr="00AC1656">
              <w:rPr>
                <w:color w:val="000000" w:themeColor="text1"/>
                <w:sz w:val="24"/>
                <w:szCs w:val="24"/>
              </w:rPr>
              <w:t>Reduction in the cost of inputs – 20% over 10 years</w:t>
            </w:r>
          </w:p>
        </w:tc>
        <w:tc>
          <w:tcPr>
            <w:tcW w:w="1248" w:type="pct"/>
          </w:tcPr>
          <w:p w14:paraId="684CEFE8" w14:textId="77777777" w:rsidR="00442DC7" w:rsidRPr="00663022" w:rsidRDefault="00442DC7" w:rsidP="00546062">
            <w:pPr>
              <w:spacing w:before="120" w:after="120"/>
              <w:jc w:val="right"/>
              <w:rPr>
                <w:color w:val="000000" w:themeColor="text1"/>
                <w:sz w:val="24"/>
                <w:szCs w:val="24"/>
              </w:rPr>
            </w:pPr>
            <w:r w:rsidRPr="00663022">
              <w:rPr>
                <w:color w:val="000000" w:themeColor="text1"/>
                <w:sz w:val="24"/>
                <w:szCs w:val="24"/>
              </w:rPr>
              <w:t>$2,137,542,248</w:t>
            </w:r>
          </w:p>
          <w:p w14:paraId="6A9C8859" w14:textId="22D7F11A" w:rsidR="00442DC7" w:rsidRPr="00AC1656" w:rsidRDefault="00442DC7" w:rsidP="00546062">
            <w:pPr>
              <w:spacing w:before="120" w:after="120"/>
              <w:jc w:val="right"/>
              <w:rPr>
                <w:color w:val="000000" w:themeColor="text1"/>
                <w:sz w:val="24"/>
                <w:szCs w:val="24"/>
              </w:rPr>
            </w:pPr>
          </w:p>
        </w:tc>
        <w:tc>
          <w:tcPr>
            <w:tcW w:w="1147" w:type="pct"/>
          </w:tcPr>
          <w:p w14:paraId="12279BD8" w14:textId="51492B51" w:rsidR="00442DC7" w:rsidRPr="00AC1656" w:rsidRDefault="00442DC7" w:rsidP="00546062">
            <w:pPr>
              <w:spacing w:before="120" w:after="120"/>
              <w:jc w:val="right"/>
              <w:rPr>
                <w:color w:val="000000" w:themeColor="text1"/>
                <w:sz w:val="24"/>
                <w:szCs w:val="24"/>
              </w:rPr>
            </w:pPr>
            <w:r w:rsidRPr="00020230">
              <w:rPr>
                <w:rFonts w:cs="Arial"/>
                <w:sz w:val="24"/>
                <w:szCs w:val="24"/>
              </w:rPr>
              <w:t>$4,209,617,720</w:t>
            </w:r>
          </w:p>
        </w:tc>
        <w:tc>
          <w:tcPr>
            <w:tcW w:w="1160" w:type="pct"/>
          </w:tcPr>
          <w:p w14:paraId="14927B52" w14:textId="54B4CFBB" w:rsidR="00442DC7" w:rsidRPr="00AC1656" w:rsidRDefault="00442DC7" w:rsidP="00546062">
            <w:pPr>
              <w:spacing w:before="120" w:after="120"/>
              <w:jc w:val="right"/>
              <w:rPr>
                <w:color w:val="000000" w:themeColor="text1"/>
                <w:sz w:val="24"/>
                <w:szCs w:val="24"/>
              </w:rPr>
            </w:pPr>
            <w:r w:rsidRPr="00AC1656">
              <w:rPr>
                <w:color w:val="000000" w:themeColor="text1"/>
                <w:sz w:val="24"/>
                <w:szCs w:val="24"/>
              </w:rPr>
              <w:t>$</w:t>
            </w:r>
            <w:r>
              <w:rPr>
                <w:color w:val="000000" w:themeColor="text1"/>
                <w:sz w:val="24"/>
                <w:szCs w:val="24"/>
              </w:rPr>
              <w:t>2,072,075,472</w:t>
            </w:r>
          </w:p>
        </w:tc>
      </w:tr>
    </w:tbl>
    <w:p w14:paraId="3DB4EE65" w14:textId="600F45C1" w:rsidR="00442DC7" w:rsidRPr="00E34C2F" w:rsidRDefault="00442DC7" w:rsidP="00E34C2F">
      <w:pPr>
        <w:spacing w:before="240" w:line="360" w:lineRule="auto"/>
        <w:jc w:val="both"/>
        <w:rPr>
          <w:sz w:val="24"/>
          <w:szCs w:val="24"/>
        </w:rPr>
      </w:pPr>
      <w:r w:rsidRPr="003B0155">
        <w:rPr>
          <w:sz w:val="24"/>
          <w:szCs w:val="24"/>
        </w:rPr>
        <w:t xml:space="preserve">The sensitivity analysis of key parameters indicates that Option 2 demonstrates a net benefit in most </w:t>
      </w:r>
      <w:r>
        <w:rPr>
          <w:sz w:val="24"/>
          <w:szCs w:val="24"/>
        </w:rPr>
        <w:t>scenarios</w:t>
      </w:r>
      <w:r w:rsidRPr="003B0155">
        <w:rPr>
          <w:sz w:val="24"/>
          <w:szCs w:val="24"/>
        </w:rPr>
        <w:t xml:space="preserve">. The exception is where the rate of change is low (that is, total annual sales represent </w:t>
      </w:r>
      <w:r>
        <w:rPr>
          <w:sz w:val="24"/>
          <w:szCs w:val="24"/>
        </w:rPr>
        <w:t xml:space="preserve">less than </w:t>
      </w:r>
      <w:r w:rsidRPr="003B0155">
        <w:rPr>
          <w:sz w:val="24"/>
          <w:szCs w:val="24"/>
        </w:rPr>
        <w:t>2% of new installation</w:t>
      </w:r>
      <w:r w:rsidR="00E9556A">
        <w:rPr>
          <w:sz w:val="24"/>
          <w:szCs w:val="24"/>
        </w:rPr>
        <w:t>s</w:t>
      </w:r>
      <w:r w:rsidRPr="003B0155">
        <w:rPr>
          <w:sz w:val="24"/>
          <w:szCs w:val="24"/>
        </w:rPr>
        <w:t xml:space="preserve"> and replacement). This scenario is unlikely </w:t>
      </w:r>
      <w:r>
        <w:rPr>
          <w:sz w:val="24"/>
          <w:szCs w:val="24"/>
        </w:rPr>
        <w:t xml:space="preserve">given the </w:t>
      </w:r>
      <w:r w:rsidRPr="003B0155">
        <w:rPr>
          <w:sz w:val="24"/>
          <w:szCs w:val="24"/>
        </w:rPr>
        <w:t xml:space="preserve">average life expectancy of </w:t>
      </w:r>
      <w:r>
        <w:rPr>
          <w:sz w:val="24"/>
          <w:szCs w:val="24"/>
        </w:rPr>
        <w:t xml:space="preserve">most </w:t>
      </w:r>
      <w:r w:rsidRPr="003B0155">
        <w:rPr>
          <w:sz w:val="24"/>
          <w:szCs w:val="24"/>
        </w:rPr>
        <w:t xml:space="preserve">plumbing products in contact with drinking water </w:t>
      </w:r>
      <w:r>
        <w:rPr>
          <w:sz w:val="24"/>
          <w:szCs w:val="24"/>
        </w:rPr>
        <w:t>is</w:t>
      </w:r>
      <w:r w:rsidRPr="003B0155">
        <w:rPr>
          <w:sz w:val="24"/>
          <w:szCs w:val="24"/>
        </w:rPr>
        <w:t xml:space="preserve"> less than or equal to 20 years in most cases. </w:t>
      </w:r>
    </w:p>
    <w:p w14:paraId="612A77B3" w14:textId="77777777" w:rsidR="00442DC7" w:rsidRDefault="00442DC7" w:rsidP="00DA119A">
      <w:pPr>
        <w:pStyle w:val="Heading2"/>
        <w:rPr>
          <w:rFonts w:ascii="Arial" w:hAnsi="Arial" w:cs="Arial"/>
          <w:b w:val="0"/>
          <w:bCs w:val="0"/>
          <w:sz w:val="28"/>
          <w:szCs w:val="28"/>
        </w:rPr>
      </w:pPr>
      <w:r>
        <w:rPr>
          <w:rFonts w:ascii="Arial" w:hAnsi="Arial" w:cs="Arial"/>
          <w:b w:val="0"/>
          <w:bCs w:val="0"/>
          <w:sz w:val="28"/>
          <w:szCs w:val="28"/>
        </w:rPr>
        <w:t>Break-Even Analysis</w:t>
      </w:r>
    </w:p>
    <w:p w14:paraId="353EF428" w14:textId="77777777" w:rsidR="00442DC7" w:rsidRPr="00663022" w:rsidRDefault="00442DC7" w:rsidP="00E9556A">
      <w:pPr>
        <w:spacing w:before="240" w:line="360" w:lineRule="auto"/>
        <w:jc w:val="both"/>
        <w:rPr>
          <w:sz w:val="24"/>
          <w:szCs w:val="24"/>
        </w:rPr>
      </w:pPr>
      <w:r w:rsidRPr="00663022">
        <w:rPr>
          <w:sz w:val="24"/>
          <w:szCs w:val="24"/>
        </w:rPr>
        <w:t xml:space="preserve">There is continued uncertainty regarding the contribution lead in plumbing products makes to the total health burden associated with lead exposure in Australia. </w:t>
      </w:r>
    </w:p>
    <w:p w14:paraId="4B296C1C" w14:textId="61639D35" w:rsidR="00442DC7" w:rsidRDefault="00442DC7" w:rsidP="00DA119A">
      <w:pPr>
        <w:spacing w:line="360" w:lineRule="auto"/>
        <w:jc w:val="both"/>
        <w:rPr>
          <w:sz w:val="24"/>
          <w:szCs w:val="24"/>
        </w:rPr>
      </w:pPr>
      <w:r w:rsidRPr="00663022">
        <w:rPr>
          <w:sz w:val="24"/>
          <w:szCs w:val="24"/>
        </w:rPr>
        <w:t xml:space="preserve">In these circumstances a break-even analysis can be helpful to indicate the reasonableness or otherwise of the possible benefits. A break-even analysis calculates the benefits needed to equal the costs using a key assumption. In this case the key assumption is the contribution plumbing products makes to the total health </w:t>
      </w:r>
      <w:r w:rsidRPr="00D21673">
        <w:rPr>
          <w:sz w:val="24"/>
          <w:szCs w:val="24"/>
        </w:rPr>
        <w:t>burden</w:t>
      </w:r>
      <w:r w:rsidRPr="00663022">
        <w:rPr>
          <w:sz w:val="24"/>
          <w:szCs w:val="24"/>
        </w:rPr>
        <w:t xml:space="preserve"> of lead exposure.</w:t>
      </w:r>
    </w:p>
    <w:p w14:paraId="35C96344" w14:textId="35585BA0" w:rsidR="00442DC7" w:rsidRDefault="00442DC7" w:rsidP="00DA119A">
      <w:pPr>
        <w:spacing w:before="240" w:line="360" w:lineRule="auto"/>
        <w:jc w:val="both"/>
        <w:rPr>
          <w:sz w:val="24"/>
          <w:szCs w:val="24"/>
        </w:rPr>
      </w:pPr>
      <w:bookmarkStart w:id="270" w:name="_Hlk70886113"/>
      <w:r>
        <w:rPr>
          <w:sz w:val="24"/>
          <w:szCs w:val="24"/>
        </w:rPr>
        <w:t>For the benefits of the option to break-even with the cost (</w:t>
      </w:r>
      <w:r w:rsidRPr="000565F0">
        <w:rPr>
          <w:sz w:val="24"/>
          <w:szCs w:val="24"/>
        </w:rPr>
        <w:t>$2,320,694,777</w:t>
      </w:r>
      <w:r>
        <w:rPr>
          <w:sz w:val="24"/>
          <w:szCs w:val="24"/>
        </w:rPr>
        <w:t xml:space="preserve">) the contribution lead in plumbing products in contact with drinking water needs to make to the total health burden from lead exposure is approximately </w:t>
      </w:r>
      <w:r w:rsidRPr="000565F0">
        <w:rPr>
          <w:sz w:val="24"/>
          <w:szCs w:val="24"/>
        </w:rPr>
        <w:t>11%</w:t>
      </w:r>
      <w:r>
        <w:rPr>
          <w:sz w:val="24"/>
          <w:szCs w:val="24"/>
        </w:rPr>
        <w:t xml:space="preserve">. </w:t>
      </w:r>
    </w:p>
    <w:p w14:paraId="23910A6A" w14:textId="74E952E3" w:rsidR="00442DC7" w:rsidRDefault="00442DC7" w:rsidP="00DA119A">
      <w:pPr>
        <w:spacing w:before="240" w:line="360" w:lineRule="auto"/>
        <w:jc w:val="both"/>
        <w:rPr>
          <w:sz w:val="24"/>
          <w:szCs w:val="24"/>
        </w:rPr>
      </w:pPr>
      <w:r>
        <w:rPr>
          <w:sz w:val="24"/>
          <w:szCs w:val="24"/>
        </w:rPr>
        <w:t xml:space="preserve">Although higher than that reported in Victoria (which ranged between 0 and 6% over the years 2011 to 2014 and 2016 to 2018) </w:t>
      </w:r>
      <w:bookmarkEnd w:id="270"/>
      <w:r>
        <w:rPr>
          <w:sz w:val="24"/>
          <w:szCs w:val="24"/>
        </w:rPr>
        <w:t>this rate is small and plausible even when considering the reduction of sources of lead over the past two decades.</w:t>
      </w:r>
    </w:p>
    <w:p w14:paraId="29FB4FF6" w14:textId="77777777" w:rsidR="00442DC7" w:rsidRPr="00E02EB3" w:rsidRDefault="00442DC7" w:rsidP="00E02EB3">
      <w:pPr>
        <w:pStyle w:val="Heading1"/>
        <w:rPr>
          <w:rFonts w:ascii="Arial" w:hAnsi="Arial" w:cs="Arial"/>
          <w:b w:val="0"/>
        </w:rPr>
      </w:pPr>
      <w:bookmarkStart w:id="271" w:name="_Toc71789285"/>
      <w:r w:rsidRPr="00E02EB3">
        <w:rPr>
          <w:rFonts w:ascii="Arial" w:hAnsi="Arial" w:cs="Arial"/>
          <w:b w:val="0"/>
        </w:rPr>
        <w:lastRenderedPageBreak/>
        <w:t>Unintended Consequences</w:t>
      </w:r>
      <w:bookmarkEnd w:id="271"/>
    </w:p>
    <w:p w14:paraId="29376184" w14:textId="69FB498F" w:rsidR="00442DC7" w:rsidRDefault="00442DC7" w:rsidP="00546062">
      <w:pPr>
        <w:spacing w:before="240" w:line="360" w:lineRule="auto"/>
        <w:jc w:val="both"/>
        <w:rPr>
          <w:rFonts w:cs="Arial"/>
          <w:sz w:val="24"/>
          <w:szCs w:val="24"/>
        </w:rPr>
      </w:pPr>
      <w:r w:rsidRPr="00795E53">
        <w:rPr>
          <w:rFonts w:cs="Arial"/>
          <w:sz w:val="24"/>
          <w:szCs w:val="24"/>
        </w:rPr>
        <w:t xml:space="preserve">Any unintended consequences of regulatory options need to be considered by the </w:t>
      </w:r>
      <w:r>
        <w:rPr>
          <w:rFonts w:cs="Arial"/>
          <w:sz w:val="24"/>
          <w:szCs w:val="24"/>
        </w:rPr>
        <w:t xml:space="preserve">Decision </w:t>
      </w:r>
      <w:r w:rsidRPr="00795E53">
        <w:rPr>
          <w:rFonts w:cs="Arial"/>
          <w:sz w:val="24"/>
          <w:szCs w:val="24"/>
        </w:rPr>
        <w:t xml:space="preserve">RIS. </w:t>
      </w:r>
      <w:r>
        <w:rPr>
          <w:rFonts w:cs="Arial"/>
          <w:sz w:val="24"/>
          <w:szCs w:val="24"/>
        </w:rPr>
        <w:t xml:space="preserve">This includes both the manufacturing and health implications associated with the possible substitutes for lead. </w:t>
      </w:r>
    </w:p>
    <w:p w14:paraId="4CA4D3ED" w14:textId="34C01AB1" w:rsidR="00442DC7" w:rsidRPr="00191C58" w:rsidRDefault="00442DC7" w:rsidP="00191C58">
      <w:pPr>
        <w:pStyle w:val="Heading2"/>
        <w:spacing w:after="240"/>
        <w:rPr>
          <w:rFonts w:ascii="Arial" w:hAnsi="Arial" w:cs="Arial"/>
          <w:b w:val="0"/>
        </w:rPr>
      </w:pPr>
      <w:bookmarkStart w:id="272" w:name="_Toc71789286"/>
      <w:r w:rsidRPr="00191C58">
        <w:rPr>
          <w:rFonts w:ascii="Arial" w:hAnsi="Arial" w:cs="Arial"/>
          <w:b w:val="0"/>
        </w:rPr>
        <w:t>Known substitutes for lead</w:t>
      </w:r>
      <w:bookmarkEnd w:id="272"/>
    </w:p>
    <w:p w14:paraId="7ABE4FCE" w14:textId="77777777" w:rsidR="00442DC7" w:rsidRDefault="00442DC7" w:rsidP="002350E1">
      <w:pPr>
        <w:spacing w:after="120" w:line="360" w:lineRule="auto"/>
        <w:jc w:val="both"/>
        <w:rPr>
          <w:rFonts w:cs="Arial"/>
          <w:sz w:val="24"/>
          <w:szCs w:val="24"/>
        </w:rPr>
      </w:pPr>
      <w:r>
        <w:rPr>
          <w:rFonts w:cs="Arial"/>
          <w:sz w:val="24"/>
          <w:szCs w:val="24"/>
        </w:rPr>
        <w:t xml:space="preserve">Experience from the US shows the likely substitutes for lead will be silicon or bismuth which display similar, but not identical, machinability characteristics. </w:t>
      </w:r>
    </w:p>
    <w:p w14:paraId="6A63162B" w14:textId="4115C1F3" w:rsidR="00442DC7" w:rsidRPr="002350E1" w:rsidRDefault="00442DC7" w:rsidP="002350E1">
      <w:pPr>
        <w:spacing w:after="120" w:line="360" w:lineRule="auto"/>
        <w:jc w:val="both"/>
        <w:rPr>
          <w:rFonts w:cs="Arial"/>
          <w:color w:val="002060"/>
          <w:sz w:val="24"/>
          <w:szCs w:val="24"/>
        </w:rPr>
      </w:pPr>
      <w:r>
        <w:rPr>
          <w:rFonts w:cs="Arial"/>
          <w:sz w:val="24"/>
          <w:szCs w:val="24"/>
        </w:rPr>
        <w:t>The manufacturing implications of using silicon or bismuth will be an overall decrease in the machinability of copper alloy materials. A study in 2012, found that by i</w:t>
      </w:r>
      <w:r w:rsidRPr="004B3728">
        <w:rPr>
          <w:rFonts w:cs="Arial"/>
          <w:sz w:val="24"/>
          <w:szCs w:val="24"/>
        </w:rPr>
        <w:t xml:space="preserve">ncreasing the </w:t>
      </w:r>
      <w:hyperlink r:id="rId27" w:tooltip="Learn more about Silicon Content from ScienceDirect's AI-generated Topic Pages" w:history="1">
        <w:r w:rsidRPr="004B3728">
          <w:rPr>
            <w:rFonts w:cs="Arial"/>
            <w:sz w:val="24"/>
            <w:szCs w:val="24"/>
          </w:rPr>
          <w:t>silicon content</w:t>
        </w:r>
      </w:hyperlink>
      <w:r w:rsidRPr="004B3728">
        <w:rPr>
          <w:rFonts w:cs="Arial"/>
          <w:sz w:val="24"/>
          <w:szCs w:val="24"/>
        </w:rPr>
        <w:t xml:space="preserve"> from 1% to 4%, result</w:t>
      </w:r>
      <w:r>
        <w:rPr>
          <w:rFonts w:cs="Arial"/>
          <w:sz w:val="24"/>
          <w:szCs w:val="24"/>
        </w:rPr>
        <w:t>ed</w:t>
      </w:r>
      <w:r w:rsidRPr="004B3728">
        <w:rPr>
          <w:rFonts w:cs="Arial"/>
          <w:sz w:val="24"/>
          <w:szCs w:val="24"/>
        </w:rPr>
        <w:t xml:space="preserve"> in </w:t>
      </w:r>
      <w:r>
        <w:rPr>
          <w:rFonts w:cs="Arial"/>
          <w:sz w:val="24"/>
          <w:szCs w:val="24"/>
        </w:rPr>
        <w:t xml:space="preserve">an </w:t>
      </w:r>
      <w:r w:rsidRPr="004B3728">
        <w:rPr>
          <w:rFonts w:cs="Arial"/>
          <w:sz w:val="24"/>
          <w:szCs w:val="24"/>
        </w:rPr>
        <w:t>increas</w:t>
      </w:r>
      <w:r>
        <w:rPr>
          <w:rFonts w:cs="Arial"/>
          <w:sz w:val="24"/>
          <w:szCs w:val="24"/>
        </w:rPr>
        <w:t>ed</w:t>
      </w:r>
      <w:r w:rsidRPr="004B3728">
        <w:rPr>
          <w:rFonts w:cs="Arial"/>
          <w:sz w:val="24"/>
          <w:szCs w:val="24"/>
        </w:rPr>
        <w:t xml:space="preserve"> tool wear by 40%, machined surface roughness by 25%, </w:t>
      </w:r>
      <w:r>
        <w:rPr>
          <w:rFonts w:cs="Arial"/>
          <w:sz w:val="24"/>
          <w:szCs w:val="24"/>
        </w:rPr>
        <w:t xml:space="preserve">and </w:t>
      </w:r>
      <w:r w:rsidRPr="004B3728">
        <w:rPr>
          <w:rFonts w:cs="Arial"/>
          <w:sz w:val="24"/>
          <w:szCs w:val="24"/>
        </w:rPr>
        <w:t xml:space="preserve">the cutting force </w:t>
      </w:r>
      <w:r>
        <w:rPr>
          <w:rFonts w:cs="Arial"/>
          <w:sz w:val="24"/>
          <w:szCs w:val="24"/>
        </w:rPr>
        <w:t xml:space="preserve">reducing </w:t>
      </w:r>
      <w:r w:rsidRPr="004B3728">
        <w:rPr>
          <w:rFonts w:cs="Arial"/>
          <w:sz w:val="24"/>
          <w:szCs w:val="24"/>
        </w:rPr>
        <w:t>by 50%.</w:t>
      </w:r>
      <w:r>
        <w:rPr>
          <w:rStyle w:val="FootnoteReference"/>
          <w:rFonts w:cs="Arial"/>
          <w:sz w:val="24"/>
          <w:szCs w:val="24"/>
        </w:rPr>
        <w:footnoteReference w:id="114"/>
      </w:r>
      <w:r w:rsidRPr="004B3728">
        <w:rPr>
          <w:rFonts w:cs="Arial"/>
          <w:sz w:val="24"/>
          <w:szCs w:val="24"/>
        </w:rPr>
        <w:t xml:space="preserve"> </w:t>
      </w:r>
      <w:r>
        <w:rPr>
          <w:rFonts w:cs="Arial"/>
          <w:sz w:val="24"/>
          <w:szCs w:val="24"/>
        </w:rPr>
        <w:t xml:space="preserve">This cost to manufacturers is implicit in the estimated costs of Option 2. </w:t>
      </w:r>
    </w:p>
    <w:p w14:paraId="76565F1D" w14:textId="77777777" w:rsidR="00442DC7" w:rsidRDefault="00442DC7" w:rsidP="00605B52">
      <w:pPr>
        <w:spacing w:line="360" w:lineRule="auto"/>
        <w:jc w:val="both"/>
        <w:rPr>
          <w:rFonts w:cs="Arial"/>
          <w:sz w:val="24"/>
          <w:szCs w:val="24"/>
        </w:rPr>
      </w:pPr>
      <w:r>
        <w:rPr>
          <w:rFonts w:cs="Arial"/>
          <w:sz w:val="24"/>
          <w:szCs w:val="24"/>
        </w:rPr>
        <w:t xml:space="preserve">From a health perspective, silicon and bismuth present less risk when compared to lead, though it is acknowledged that bismuth in particular is not well studied. </w:t>
      </w:r>
      <w:r w:rsidRPr="009257ED">
        <w:rPr>
          <w:rFonts w:cs="Arial"/>
          <w:sz w:val="24"/>
          <w:szCs w:val="24"/>
        </w:rPr>
        <w:t>Silicon is the principal component of glass, cement</w:t>
      </w:r>
      <w:r>
        <w:rPr>
          <w:rFonts w:cs="Arial"/>
          <w:sz w:val="24"/>
          <w:szCs w:val="24"/>
        </w:rPr>
        <w:t xml:space="preserve"> </w:t>
      </w:r>
      <w:r w:rsidRPr="009257ED">
        <w:rPr>
          <w:rFonts w:cs="Arial"/>
          <w:sz w:val="24"/>
          <w:szCs w:val="24"/>
        </w:rPr>
        <w:t>ceramics</w:t>
      </w:r>
      <w:r>
        <w:rPr>
          <w:rFonts w:cs="Arial"/>
          <w:sz w:val="24"/>
          <w:szCs w:val="24"/>
        </w:rPr>
        <w:t xml:space="preserve"> and </w:t>
      </w:r>
      <w:r w:rsidRPr="009257ED">
        <w:rPr>
          <w:rFonts w:cs="Arial"/>
          <w:sz w:val="24"/>
          <w:szCs w:val="24"/>
        </w:rPr>
        <w:t xml:space="preserve">is also an important constituent of some steels and a major ingredient in bricks. </w:t>
      </w:r>
      <w:r w:rsidRPr="00605B52">
        <w:rPr>
          <w:rFonts w:cs="Arial"/>
          <w:sz w:val="24"/>
          <w:szCs w:val="24"/>
        </w:rPr>
        <w:t xml:space="preserve">Elemental raw silicon and its intermetallic compounds are currently used as alloy integrals to provide more resistance to </w:t>
      </w:r>
      <w:hyperlink r:id="rId28" w:history="1">
        <w:r w:rsidRPr="00605B52">
          <w:rPr>
            <w:rFonts w:cs="Arial"/>
            <w:sz w:val="24"/>
            <w:szCs w:val="24"/>
          </w:rPr>
          <w:t>copper</w:t>
        </w:r>
      </w:hyperlink>
      <w:r w:rsidRPr="00605B52">
        <w:rPr>
          <w:rFonts w:cs="Arial"/>
          <w:sz w:val="24"/>
          <w:szCs w:val="24"/>
        </w:rPr>
        <w:t xml:space="preserve"> and other metals.</w:t>
      </w:r>
      <w:r>
        <w:rPr>
          <w:rFonts w:cs="Arial"/>
          <w:sz w:val="24"/>
          <w:szCs w:val="24"/>
        </w:rPr>
        <w:t xml:space="preserve"> </w:t>
      </w:r>
      <w:r w:rsidRPr="00605B52">
        <w:rPr>
          <w:rFonts w:cs="Arial"/>
          <w:sz w:val="24"/>
          <w:szCs w:val="24"/>
        </w:rPr>
        <w:t>Silicon concentrates in no particular organ of the body</w:t>
      </w:r>
      <w:r>
        <w:rPr>
          <w:rFonts w:cs="Arial"/>
          <w:sz w:val="24"/>
          <w:szCs w:val="24"/>
        </w:rPr>
        <w:t>,</w:t>
      </w:r>
      <w:r w:rsidRPr="00605B52">
        <w:rPr>
          <w:rFonts w:cs="Arial"/>
          <w:sz w:val="24"/>
          <w:szCs w:val="24"/>
        </w:rPr>
        <w:t xml:space="preserve"> but is found mainly in connective tissues and skin. Silicon is non-toxic in all its natural forms</w:t>
      </w:r>
      <w:r>
        <w:rPr>
          <w:rFonts w:cs="Arial"/>
          <w:sz w:val="24"/>
          <w:szCs w:val="24"/>
        </w:rPr>
        <w:t>.</w:t>
      </w:r>
      <w:r>
        <w:rPr>
          <w:rStyle w:val="FootnoteReference"/>
          <w:rFonts w:cs="Arial"/>
          <w:sz w:val="24"/>
          <w:szCs w:val="24"/>
        </w:rPr>
        <w:footnoteReference w:id="115"/>
      </w:r>
      <w:r>
        <w:rPr>
          <w:rFonts w:cs="Arial"/>
          <w:sz w:val="24"/>
          <w:szCs w:val="24"/>
        </w:rPr>
        <w:t xml:space="preserve"> It is also a common additive to manufacturing low lead brass plumbing products internationally. </w:t>
      </w:r>
    </w:p>
    <w:p w14:paraId="6A8BC029" w14:textId="77777777" w:rsidR="00442DC7" w:rsidRDefault="00442DC7" w:rsidP="00242732">
      <w:pPr>
        <w:spacing w:line="360" w:lineRule="auto"/>
        <w:jc w:val="both"/>
        <w:rPr>
          <w:rFonts w:cs="Arial"/>
          <w:sz w:val="24"/>
          <w:szCs w:val="24"/>
        </w:rPr>
      </w:pPr>
      <w:r>
        <w:rPr>
          <w:rFonts w:cs="Arial"/>
          <w:sz w:val="24"/>
          <w:szCs w:val="24"/>
        </w:rPr>
        <w:t>Use</w:t>
      </w:r>
      <w:r w:rsidRPr="00E60E21">
        <w:rPr>
          <w:rFonts w:cs="Arial"/>
          <w:sz w:val="24"/>
          <w:szCs w:val="24"/>
        </w:rPr>
        <w:t xml:space="preserve"> </w:t>
      </w:r>
      <w:r>
        <w:rPr>
          <w:rFonts w:cs="Arial"/>
          <w:sz w:val="24"/>
          <w:szCs w:val="24"/>
        </w:rPr>
        <w:t>of bismuth in the manufacture of copper alloy products is less examined from a machinability perspective. However, from a health perspective it</w:t>
      </w:r>
      <w:r w:rsidRPr="00E60E21">
        <w:rPr>
          <w:rFonts w:cs="Arial"/>
          <w:sz w:val="24"/>
          <w:szCs w:val="24"/>
        </w:rPr>
        <w:t xml:space="preserve"> is considered one of the less heavy metals</w:t>
      </w:r>
      <w:r>
        <w:rPr>
          <w:rFonts w:cs="Arial"/>
          <w:sz w:val="24"/>
          <w:szCs w:val="24"/>
        </w:rPr>
        <w:t>. There are no known health consequences associated with the use of bismuth in products in contact with drinking water and it is a common additive in the manufacture of plumbing products in meeting the requirements for low lead in the US.</w:t>
      </w:r>
    </w:p>
    <w:p w14:paraId="0E57E301" w14:textId="2ED85703" w:rsidR="00442DC7" w:rsidRPr="00191C58" w:rsidRDefault="00442DC7" w:rsidP="00191C58">
      <w:pPr>
        <w:pStyle w:val="Heading2"/>
        <w:rPr>
          <w:rFonts w:ascii="Arial" w:hAnsi="Arial" w:cs="Arial"/>
          <w:b w:val="0"/>
        </w:rPr>
      </w:pPr>
      <w:bookmarkStart w:id="278" w:name="_Toc71789287"/>
      <w:r w:rsidRPr="00191C58">
        <w:rPr>
          <w:rFonts w:ascii="Arial" w:hAnsi="Arial" w:cs="Arial"/>
          <w:b w:val="0"/>
        </w:rPr>
        <w:lastRenderedPageBreak/>
        <w:t>Product substitutes for copper alloy</w:t>
      </w:r>
      <w:bookmarkEnd w:id="278"/>
      <w:r w:rsidRPr="00191C58">
        <w:rPr>
          <w:rFonts w:ascii="Arial" w:hAnsi="Arial" w:cs="Arial"/>
          <w:b w:val="0"/>
        </w:rPr>
        <w:t xml:space="preserve"> </w:t>
      </w:r>
    </w:p>
    <w:p w14:paraId="5CAC4560" w14:textId="77777777" w:rsidR="00442DC7" w:rsidRPr="00191C58" w:rsidRDefault="00442DC7" w:rsidP="00191C58">
      <w:pPr>
        <w:pStyle w:val="Heading3"/>
        <w:spacing w:after="120"/>
        <w:rPr>
          <w:rFonts w:ascii="Arial" w:hAnsi="Arial" w:cs="Arial"/>
          <w:b w:val="0"/>
        </w:rPr>
      </w:pPr>
      <w:bookmarkStart w:id="279" w:name="_Toc71789288"/>
      <w:r w:rsidRPr="00191C58">
        <w:rPr>
          <w:rFonts w:ascii="Arial" w:hAnsi="Arial" w:cs="Arial"/>
          <w:b w:val="0"/>
        </w:rPr>
        <w:t>Impact on supply</w:t>
      </w:r>
      <w:bookmarkEnd w:id="279"/>
    </w:p>
    <w:p w14:paraId="57EE4D90" w14:textId="17932083" w:rsidR="00442DC7" w:rsidRPr="00065442" w:rsidRDefault="00442DC7" w:rsidP="00951E70">
      <w:pPr>
        <w:spacing w:after="120" w:line="360" w:lineRule="auto"/>
        <w:jc w:val="both"/>
        <w:rPr>
          <w:rFonts w:cs="Arial"/>
          <w:sz w:val="24"/>
          <w:szCs w:val="24"/>
        </w:rPr>
      </w:pPr>
      <w:r w:rsidRPr="00065442">
        <w:rPr>
          <w:rFonts w:cs="Arial"/>
          <w:sz w:val="24"/>
          <w:szCs w:val="24"/>
        </w:rPr>
        <w:t xml:space="preserve">An unintended consequence of Option 2 could be the substitution of copper alloy products with other products made from different materials. </w:t>
      </w:r>
      <w:r w:rsidR="001D0E44">
        <w:rPr>
          <w:rFonts w:cs="Arial"/>
          <w:sz w:val="24"/>
          <w:szCs w:val="24"/>
        </w:rPr>
        <w:t>A</w:t>
      </w:r>
      <w:r w:rsidRPr="00065442">
        <w:rPr>
          <w:rFonts w:cs="Arial"/>
          <w:sz w:val="24"/>
          <w:szCs w:val="24"/>
        </w:rPr>
        <w:t xml:space="preserve"> fall in demand could occur if </w:t>
      </w:r>
      <w:r w:rsidR="001D0E44" w:rsidRPr="00065442">
        <w:rPr>
          <w:rFonts w:cs="Arial"/>
          <w:sz w:val="24"/>
          <w:szCs w:val="24"/>
        </w:rPr>
        <w:t xml:space="preserve">as a consequence of using a low lead material </w:t>
      </w:r>
      <w:r w:rsidRPr="00065442">
        <w:rPr>
          <w:rFonts w:cs="Arial"/>
          <w:sz w:val="24"/>
          <w:szCs w:val="24"/>
        </w:rPr>
        <w:t>prices rise beyond a point the market</w:t>
      </w:r>
      <w:r w:rsidR="001D0E44" w:rsidRPr="001D0E44">
        <w:rPr>
          <w:rFonts w:cs="Arial"/>
          <w:sz w:val="24"/>
          <w:szCs w:val="24"/>
        </w:rPr>
        <w:t xml:space="preserve"> </w:t>
      </w:r>
      <w:r w:rsidR="001D0E44">
        <w:rPr>
          <w:rFonts w:cs="Arial"/>
          <w:sz w:val="24"/>
          <w:szCs w:val="24"/>
        </w:rPr>
        <w:t xml:space="preserve">is willing to </w:t>
      </w:r>
      <w:r w:rsidR="001D0E44" w:rsidRPr="00065442">
        <w:rPr>
          <w:rFonts w:cs="Arial"/>
          <w:sz w:val="24"/>
          <w:szCs w:val="24"/>
        </w:rPr>
        <w:t>accept</w:t>
      </w:r>
      <w:r w:rsidRPr="00065442">
        <w:rPr>
          <w:rFonts w:cs="Arial"/>
          <w:sz w:val="24"/>
          <w:szCs w:val="24"/>
        </w:rPr>
        <w:t xml:space="preserve">. </w:t>
      </w:r>
      <w:r>
        <w:rPr>
          <w:rFonts w:cs="Arial"/>
          <w:sz w:val="24"/>
          <w:szCs w:val="24"/>
        </w:rPr>
        <w:t>In this event, a</w:t>
      </w:r>
      <w:r w:rsidRPr="00065442">
        <w:rPr>
          <w:rFonts w:cs="Arial"/>
          <w:sz w:val="24"/>
          <w:szCs w:val="24"/>
        </w:rPr>
        <w:t xml:space="preserve"> shift could occur towards </w:t>
      </w:r>
      <w:r>
        <w:rPr>
          <w:rFonts w:cs="Arial"/>
          <w:sz w:val="24"/>
          <w:szCs w:val="24"/>
        </w:rPr>
        <w:t>use of other materials which are currently permitted by the PCA, such as cross-linked polyethylene, stainless steel or composite materials</w:t>
      </w:r>
      <w:r w:rsidRPr="00065442">
        <w:rPr>
          <w:rFonts w:cs="Arial"/>
          <w:sz w:val="24"/>
          <w:szCs w:val="24"/>
        </w:rPr>
        <w:t>.</w:t>
      </w:r>
      <w:r>
        <w:rPr>
          <w:rFonts w:cs="Arial"/>
          <w:sz w:val="24"/>
          <w:szCs w:val="24"/>
        </w:rPr>
        <w:t xml:space="preserve"> </w:t>
      </w:r>
    </w:p>
    <w:p w14:paraId="55C817D8" w14:textId="31324E2E" w:rsidR="00442DC7" w:rsidRPr="00D75CE5" w:rsidRDefault="00442DC7" w:rsidP="00546062">
      <w:pPr>
        <w:spacing w:after="120" w:line="360" w:lineRule="auto"/>
        <w:jc w:val="both"/>
        <w:rPr>
          <w:rFonts w:cs="Arial"/>
          <w:sz w:val="24"/>
          <w:szCs w:val="24"/>
        </w:rPr>
      </w:pPr>
      <w:r>
        <w:rPr>
          <w:rFonts w:cs="Arial"/>
          <w:sz w:val="24"/>
          <w:szCs w:val="24"/>
        </w:rPr>
        <w:t xml:space="preserve">As there are no formal studies available, the </w:t>
      </w:r>
      <w:r w:rsidRPr="004A3DE1">
        <w:rPr>
          <w:rFonts w:cs="Arial"/>
          <w:sz w:val="24"/>
          <w:szCs w:val="24"/>
        </w:rPr>
        <w:t>Copper Development Association Inc., McLean, Virginia</w:t>
      </w:r>
      <w:r w:rsidRPr="004A3DE1" w:rsidDel="004A3DE1">
        <w:rPr>
          <w:rFonts w:cs="Arial"/>
          <w:sz w:val="24"/>
          <w:szCs w:val="24"/>
        </w:rPr>
        <w:t xml:space="preserve"> </w:t>
      </w:r>
      <w:r>
        <w:rPr>
          <w:rFonts w:cs="Arial"/>
          <w:sz w:val="24"/>
          <w:szCs w:val="24"/>
        </w:rPr>
        <w:t>(CDA US) were contacted for information on the impact low lead provisions had on the</w:t>
      </w:r>
      <w:r w:rsidR="00546062">
        <w:rPr>
          <w:rFonts w:cs="Arial"/>
          <w:sz w:val="24"/>
          <w:szCs w:val="24"/>
        </w:rPr>
        <w:t xml:space="preserve"> copper alloy market in the US. </w:t>
      </w:r>
      <w:r>
        <w:rPr>
          <w:rFonts w:cs="Arial"/>
          <w:sz w:val="24"/>
          <w:szCs w:val="24"/>
        </w:rPr>
        <w:t xml:space="preserve">CDA US advised that the regulatory change created significant disruption in the market and the brass supply chain, which resulted in a near immediate substitution away from brass/bronze products. </w:t>
      </w:r>
      <w:r w:rsidR="00546062">
        <w:rPr>
          <w:rFonts w:cs="Arial"/>
          <w:sz w:val="24"/>
          <w:szCs w:val="24"/>
        </w:rPr>
        <w:t xml:space="preserve"> </w:t>
      </w:r>
      <w:r>
        <w:rPr>
          <w:rFonts w:cs="Arial"/>
          <w:sz w:val="24"/>
          <w:szCs w:val="24"/>
        </w:rPr>
        <w:t xml:space="preserve">Further information received from the CDA US, via the International Copper Association Australia, shows that </w:t>
      </w:r>
      <w:r w:rsidRPr="00D75CE5">
        <w:rPr>
          <w:rFonts w:cs="Arial"/>
          <w:sz w:val="24"/>
          <w:szCs w:val="24"/>
        </w:rPr>
        <w:t xml:space="preserve">the demand for brass plumbing rods declined by </w:t>
      </w:r>
      <w:r>
        <w:rPr>
          <w:rFonts w:cs="Arial"/>
          <w:sz w:val="24"/>
          <w:szCs w:val="24"/>
        </w:rPr>
        <w:t xml:space="preserve">approximately </w:t>
      </w:r>
      <w:r w:rsidRPr="00D75CE5">
        <w:rPr>
          <w:rFonts w:cs="Arial"/>
          <w:sz w:val="24"/>
          <w:szCs w:val="24"/>
        </w:rPr>
        <w:t>5</w:t>
      </w:r>
      <w:r>
        <w:rPr>
          <w:rFonts w:cs="Arial"/>
          <w:sz w:val="24"/>
          <w:szCs w:val="24"/>
        </w:rPr>
        <w:t>0</w:t>
      </w:r>
      <w:r w:rsidRPr="00D75CE5">
        <w:rPr>
          <w:rFonts w:cs="Arial"/>
          <w:sz w:val="24"/>
          <w:szCs w:val="24"/>
        </w:rPr>
        <w:t xml:space="preserve">% since the requirements for low lead products were </w:t>
      </w:r>
      <w:r>
        <w:rPr>
          <w:rFonts w:cs="Arial"/>
          <w:sz w:val="24"/>
          <w:szCs w:val="24"/>
        </w:rPr>
        <w:t xml:space="preserve">first </w:t>
      </w:r>
      <w:r w:rsidRPr="00D75CE5">
        <w:rPr>
          <w:rFonts w:cs="Arial"/>
          <w:sz w:val="24"/>
          <w:szCs w:val="24"/>
        </w:rPr>
        <w:t>introduced</w:t>
      </w:r>
      <w:r>
        <w:rPr>
          <w:rFonts w:cs="Arial"/>
          <w:sz w:val="24"/>
          <w:szCs w:val="24"/>
        </w:rPr>
        <w:t>. This fall in demand was a direct consequence of the changes.</w:t>
      </w:r>
      <w:r w:rsidRPr="00D75CE5">
        <w:rPr>
          <w:rFonts w:cs="Arial"/>
          <w:sz w:val="24"/>
          <w:szCs w:val="24"/>
        </w:rPr>
        <w:t xml:space="preserve"> </w:t>
      </w:r>
    </w:p>
    <w:p w14:paraId="7847933B" w14:textId="77777777" w:rsidR="00442DC7" w:rsidRPr="00532855" w:rsidRDefault="00442DC7" w:rsidP="00050E8B">
      <w:pPr>
        <w:spacing w:line="360" w:lineRule="auto"/>
        <w:jc w:val="both"/>
        <w:rPr>
          <w:rFonts w:cs="Arial"/>
          <w:sz w:val="24"/>
          <w:szCs w:val="24"/>
        </w:rPr>
      </w:pPr>
      <w:r w:rsidRPr="00532855">
        <w:rPr>
          <w:rFonts w:cs="Arial"/>
          <w:sz w:val="24"/>
          <w:szCs w:val="24"/>
        </w:rPr>
        <w:t xml:space="preserve">Given the experience in the US, substitution away from copper alloy plumbing products in contact with drinking water needs to be considered by Australian decision makers. </w:t>
      </w:r>
    </w:p>
    <w:p w14:paraId="6CE83AF6" w14:textId="77777777" w:rsidR="00442DC7" w:rsidRPr="00532855" w:rsidRDefault="00442DC7" w:rsidP="00050E8B">
      <w:pPr>
        <w:spacing w:line="360" w:lineRule="auto"/>
        <w:jc w:val="both"/>
        <w:rPr>
          <w:rFonts w:cs="Arial"/>
          <w:sz w:val="24"/>
          <w:szCs w:val="24"/>
        </w:rPr>
      </w:pPr>
      <w:r w:rsidRPr="00532855">
        <w:rPr>
          <w:rFonts w:cs="Arial"/>
          <w:sz w:val="24"/>
          <w:szCs w:val="24"/>
        </w:rPr>
        <w:t xml:space="preserve">For commercial buildings, where copper water service lines are common, copper alloy fittings are predominantly used. In these instances, </w:t>
      </w:r>
      <w:bookmarkStart w:id="280" w:name="_Hlk52364297"/>
      <w:r w:rsidRPr="00532855">
        <w:rPr>
          <w:rFonts w:cs="Arial"/>
          <w:sz w:val="24"/>
          <w:szCs w:val="24"/>
        </w:rPr>
        <w:t xml:space="preserve">the demand for copper alloy fittings is expected to remain as there are no close substitutes </w:t>
      </w:r>
      <w:bookmarkEnd w:id="280"/>
      <w:r w:rsidRPr="00532855">
        <w:rPr>
          <w:rFonts w:cs="Arial"/>
          <w:sz w:val="24"/>
          <w:szCs w:val="24"/>
        </w:rPr>
        <w:t xml:space="preserve">for copper alloy products in this segment of the market. </w:t>
      </w:r>
    </w:p>
    <w:p w14:paraId="242AEB60" w14:textId="564FFB08" w:rsidR="00442DC7" w:rsidRPr="00532855" w:rsidRDefault="00442DC7" w:rsidP="00050E8B">
      <w:pPr>
        <w:spacing w:line="360" w:lineRule="auto"/>
        <w:jc w:val="both"/>
        <w:rPr>
          <w:rFonts w:cs="Arial"/>
          <w:sz w:val="24"/>
          <w:szCs w:val="24"/>
        </w:rPr>
      </w:pPr>
      <w:r w:rsidRPr="00532855">
        <w:rPr>
          <w:rFonts w:cs="Arial"/>
          <w:sz w:val="24"/>
          <w:szCs w:val="24"/>
        </w:rPr>
        <w:t xml:space="preserve">For residential buildings, use of cross-linked polyethylene piping is common in Australia. A high majority of these installations use copper alloy fittings. In these instances, the demand for copper alloy fittings is also expected to remain static, as </w:t>
      </w:r>
      <w:r>
        <w:rPr>
          <w:rFonts w:cs="Arial"/>
          <w:sz w:val="24"/>
          <w:szCs w:val="24"/>
        </w:rPr>
        <w:t>there are no close substitutes for copper alloy fittings used in cross-linked polyethylene plumbing systems</w:t>
      </w:r>
      <w:r w:rsidRPr="00532855">
        <w:rPr>
          <w:rFonts w:cs="Arial"/>
          <w:sz w:val="24"/>
          <w:szCs w:val="24"/>
        </w:rPr>
        <w:t xml:space="preserve">. </w:t>
      </w:r>
    </w:p>
    <w:p w14:paraId="1D948D08" w14:textId="77777777" w:rsidR="00442DC7" w:rsidRDefault="00442DC7" w:rsidP="00050E8B">
      <w:pPr>
        <w:spacing w:line="360" w:lineRule="auto"/>
        <w:jc w:val="both"/>
        <w:rPr>
          <w:rFonts w:cs="Arial"/>
          <w:sz w:val="24"/>
          <w:szCs w:val="24"/>
        </w:rPr>
      </w:pPr>
      <w:r w:rsidRPr="00532855">
        <w:rPr>
          <w:rFonts w:cs="Arial"/>
          <w:sz w:val="24"/>
          <w:szCs w:val="24"/>
        </w:rPr>
        <w:t xml:space="preserve">The possibility of substitution, similar to the US experience, is most likely to occur where copper water service lines are used in residential buildings, where copper </w:t>
      </w:r>
      <w:r w:rsidRPr="00532855">
        <w:rPr>
          <w:rFonts w:cs="Arial"/>
          <w:sz w:val="24"/>
          <w:szCs w:val="24"/>
        </w:rPr>
        <w:lastRenderedPageBreak/>
        <w:t>fittings can replace copper alloy fittings such as brass. In these instances, the demand for copper alloy is more likely to fall as the price of copper alloy products increase.  This scenario represents a smaller proportion of all installations relative to the US experience</w:t>
      </w:r>
      <w:r>
        <w:rPr>
          <w:rFonts w:cs="Arial"/>
          <w:sz w:val="24"/>
          <w:szCs w:val="24"/>
        </w:rPr>
        <w:t>,</w:t>
      </w:r>
      <w:r w:rsidRPr="00532855">
        <w:rPr>
          <w:rFonts w:cs="Arial"/>
          <w:sz w:val="24"/>
          <w:szCs w:val="24"/>
        </w:rPr>
        <w:t xml:space="preserve"> as use of copper water service lines represent </w:t>
      </w:r>
      <w:r>
        <w:rPr>
          <w:rFonts w:cs="Arial"/>
          <w:sz w:val="24"/>
          <w:szCs w:val="24"/>
        </w:rPr>
        <w:t>approximately 30%</w:t>
      </w:r>
      <w:r w:rsidRPr="00532855">
        <w:rPr>
          <w:rFonts w:cs="Arial"/>
          <w:sz w:val="24"/>
          <w:szCs w:val="24"/>
        </w:rPr>
        <w:t xml:space="preserve"> of all </w:t>
      </w:r>
      <w:r>
        <w:rPr>
          <w:rFonts w:cs="Arial"/>
          <w:sz w:val="24"/>
          <w:szCs w:val="24"/>
        </w:rPr>
        <w:t xml:space="preserve">residential </w:t>
      </w:r>
      <w:r w:rsidRPr="00532855">
        <w:rPr>
          <w:rFonts w:cs="Arial"/>
          <w:sz w:val="24"/>
          <w:szCs w:val="24"/>
        </w:rPr>
        <w:t>plumbing installations in Australia, lower than that installed in the US.</w:t>
      </w:r>
      <w:r>
        <w:rPr>
          <w:rFonts w:cs="Arial"/>
          <w:sz w:val="24"/>
          <w:szCs w:val="24"/>
        </w:rPr>
        <w:t xml:space="preserve"> </w:t>
      </w:r>
    </w:p>
    <w:p w14:paraId="66F32680" w14:textId="77777777" w:rsidR="00442DC7" w:rsidRDefault="00442DC7" w:rsidP="00B45793">
      <w:pPr>
        <w:spacing w:line="360" w:lineRule="auto"/>
        <w:jc w:val="both"/>
        <w:rPr>
          <w:rFonts w:cs="Arial"/>
          <w:sz w:val="24"/>
          <w:szCs w:val="24"/>
        </w:rPr>
      </w:pPr>
      <w:r>
        <w:rPr>
          <w:rFonts w:cs="Arial"/>
          <w:sz w:val="24"/>
          <w:szCs w:val="24"/>
        </w:rPr>
        <w:t xml:space="preserve">From a cost-benefit analysis perspective, this substitution effect would decrease the cost of Option 2 and 3 (as consumers and plumbing practitioners will meet the requirements through more cost-effective means by selecting cheaper substitute products). However, decision makers should have regard to the impacts to the copper alloy industry. </w:t>
      </w:r>
    </w:p>
    <w:p w14:paraId="1918D7FD" w14:textId="77777777" w:rsidR="00442DC7" w:rsidRDefault="00442DC7" w:rsidP="00B45793">
      <w:pPr>
        <w:spacing w:line="360" w:lineRule="auto"/>
        <w:jc w:val="both"/>
        <w:rPr>
          <w:rFonts w:cs="Arial"/>
          <w:sz w:val="24"/>
          <w:szCs w:val="24"/>
        </w:rPr>
      </w:pPr>
      <w:r>
        <w:rPr>
          <w:rFonts w:cs="Arial"/>
          <w:sz w:val="24"/>
          <w:szCs w:val="24"/>
        </w:rPr>
        <w:t>In response to this view, an Australian manufacturer (Enware) submitted the following:</w:t>
      </w:r>
    </w:p>
    <w:p w14:paraId="6922D66E" w14:textId="2519C70A" w:rsidR="00442DC7" w:rsidRPr="00663022" w:rsidRDefault="00442DC7" w:rsidP="002D1E18">
      <w:pPr>
        <w:pStyle w:val="Quote"/>
        <w:spacing w:line="360" w:lineRule="auto"/>
        <w:ind w:left="862" w:right="862"/>
        <w:jc w:val="left"/>
        <w:rPr>
          <w:lang w:val="en-US"/>
        </w:rPr>
      </w:pPr>
      <w:r>
        <w:rPr>
          <w:lang w:val="en-US"/>
        </w:rPr>
        <w:t>“</w:t>
      </w:r>
      <w:r w:rsidRPr="00663022">
        <w:rPr>
          <w:lang w:val="en-US"/>
        </w:rPr>
        <w:t>Substituting for cheaper products often results in the reduction of product performance which can result in an increase in product failures, water damage and potential injury like scalding. A reduction in product performance can also increase our waste footprint as product lifecycles reduce and we become more of a throw-away society. Further to this, pressure on consumers to find cheaper alternatives will also impact our local manufacturing demand, resulting in a loss of local employment within our manufacturing sector already struggling to scale back after Covid 19 and the increase importation of cheaper alternatives. Enware believe the assumption made in the CRIS is based off evaluating the cost of copper pipe compared to cross linked polyethene pipe. There is no doubt polymers are a cheaper alternative to metallic alloys, however, not all plumbing products identified within the scope can be made purely of polymer materials. Metallic materials will be required whether it is low lead copper alloys or other alloys like stainless steel. Early market evidence clearly indicates that these alternative low lead materials will result in significant price increases to manufactures and consumers. Investigations in like for like products made from low lead copper alloys equate to 15-20% price increases while we have estimates between 20-30% for stainless steel alternatives. Enware believe a more thorough cost benefit analysis be conducted to include the true cost of alternative product materials as well as a broader investigation into the potential loss of employment that may arise due to price pressures on consumers.</w:t>
      </w:r>
      <w:r>
        <w:rPr>
          <w:lang w:val="en-US"/>
        </w:rPr>
        <w:t>”</w:t>
      </w:r>
    </w:p>
    <w:p w14:paraId="78892BC6" w14:textId="4E782C42" w:rsidR="00442DC7" w:rsidRDefault="00442DC7" w:rsidP="00134ED7">
      <w:pPr>
        <w:spacing w:line="360" w:lineRule="auto"/>
        <w:jc w:val="both"/>
        <w:rPr>
          <w:rFonts w:cs="Arial"/>
          <w:sz w:val="24"/>
          <w:szCs w:val="24"/>
        </w:rPr>
      </w:pPr>
      <w:r>
        <w:rPr>
          <w:rFonts w:cs="Arial"/>
          <w:sz w:val="24"/>
          <w:szCs w:val="24"/>
        </w:rPr>
        <w:lastRenderedPageBreak/>
        <w:t xml:space="preserve">The price increases for low lead copper alloy products used in the Decision RIS are not dissimilar to the estimates provided in the submission.  Where existing alternatives to low lead products are higher in price, it is expected that consumers who select products based on price alone, will select low lead copper alloy products over more expensive products. This decision making is consistent with the expected impact of the proposal and is reflected in the cost of Option 2.  </w:t>
      </w:r>
    </w:p>
    <w:p w14:paraId="396234F8" w14:textId="54D3BFB0" w:rsidR="00442DC7" w:rsidRDefault="00442DC7" w:rsidP="00134ED7">
      <w:pPr>
        <w:spacing w:line="360" w:lineRule="auto"/>
        <w:jc w:val="both"/>
        <w:rPr>
          <w:rFonts w:cs="Arial"/>
          <w:sz w:val="24"/>
          <w:szCs w:val="24"/>
        </w:rPr>
      </w:pPr>
      <w:r w:rsidRPr="00E3144E">
        <w:rPr>
          <w:rFonts w:cs="Arial"/>
          <w:sz w:val="24"/>
          <w:szCs w:val="24"/>
        </w:rPr>
        <w:t xml:space="preserve">The Consultation RIS asked stakeholders what contributed the most to product selection for </w:t>
      </w:r>
      <w:r w:rsidR="008F416D">
        <w:rPr>
          <w:rFonts w:cs="Arial"/>
          <w:sz w:val="24"/>
          <w:szCs w:val="24"/>
        </w:rPr>
        <w:t>‘</w:t>
      </w:r>
      <w:r w:rsidRPr="00E3144E">
        <w:rPr>
          <w:rFonts w:cs="Arial"/>
          <w:sz w:val="24"/>
          <w:szCs w:val="24"/>
        </w:rPr>
        <w:t>behind-the-wall installations</w:t>
      </w:r>
      <w:r w:rsidR="008F416D">
        <w:rPr>
          <w:rFonts w:cs="Arial"/>
          <w:sz w:val="24"/>
          <w:szCs w:val="24"/>
        </w:rPr>
        <w:t>’</w:t>
      </w:r>
      <w:r w:rsidRPr="00E3144E">
        <w:rPr>
          <w:rFonts w:cs="Arial"/>
          <w:sz w:val="24"/>
          <w:szCs w:val="24"/>
        </w:rPr>
        <w:t xml:space="preserve">. Responses to the question were mixed with </w:t>
      </w:r>
      <w:r>
        <w:rPr>
          <w:rFonts w:cs="Arial"/>
          <w:sz w:val="24"/>
          <w:szCs w:val="24"/>
        </w:rPr>
        <w:t xml:space="preserve">price and </w:t>
      </w:r>
      <w:r w:rsidRPr="00E3144E">
        <w:rPr>
          <w:rFonts w:cs="Arial"/>
          <w:sz w:val="24"/>
          <w:szCs w:val="24"/>
        </w:rPr>
        <w:t>client preferences</w:t>
      </w:r>
      <w:r>
        <w:rPr>
          <w:rFonts w:cs="Arial"/>
          <w:sz w:val="24"/>
          <w:szCs w:val="24"/>
        </w:rPr>
        <w:t xml:space="preserve"> </w:t>
      </w:r>
      <w:r w:rsidRPr="00E3144E">
        <w:rPr>
          <w:rFonts w:cs="Arial"/>
          <w:sz w:val="24"/>
          <w:szCs w:val="24"/>
        </w:rPr>
        <w:t xml:space="preserve">being the most dominant factors. The responses highlight that there will always be relative advantages and disadvantages between material types. Hence, differences should not automatically infer that a material is unsafe but rather reflect that there are trade-off considerations when selecting products of differing materials, including </w:t>
      </w:r>
      <w:r>
        <w:rPr>
          <w:rFonts w:cs="Arial"/>
          <w:sz w:val="24"/>
          <w:szCs w:val="24"/>
        </w:rPr>
        <w:t>consumer preferences, price and a plumbing practitioner’s familiarity with the product</w:t>
      </w:r>
      <w:r w:rsidRPr="00E3144E">
        <w:rPr>
          <w:rFonts w:cs="Arial"/>
          <w:sz w:val="24"/>
          <w:szCs w:val="24"/>
        </w:rPr>
        <w:t>.</w:t>
      </w:r>
    </w:p>
    <w:p w14:paraId="5EBA791A" w14:textId="77C32F1E" w:rsidR="00110977" w:rsidRDefault="00442DC7" w:rsidP="00BF797C">
      <w:pPr>
        <w:spacing w:line="360" w:lineRule="auto"/>
        <w:jc w:val="both"/>
        <w:rPr>
          <w:sz w:val="24"/>
          <w:szCs w:val="24"/>
        </w:rPr>
      </w:pPr>
      <w:r>
        <w:rPr>
          <w:rFonts w:cs="Arial"/>
          <w:sz w:val="24"/>
          <w:szCs w:val="24"/>
        </w:rPr>
        <w:t>Further, this opinion does not recognise the flexibility and suitability of alternative materials which exist today. Under the status quo, the PCA allows for a range of products and materials to be used within a plumbing and drainage system, not only those of copper alloy material. T</w:t>
      </w:r>
      <w:r w:rsidRPr="00FA1252">
        <w:rPr>
          <w:rFonts w:cs="Arial"/>
          <w:sz w:val="24"/>
          <w:szCs w:val="24"/>
        </w:rPr>
        <w:t>here are few relevant studies on the health consequences of other materials currently deemed fit</w:t>
      </w:r>
      <w:r>
        <w:rPr>
          <w:rFonts w:cs="Arial"/>
          <w:sz w:val="24"/>
          <w:szCs w:val="24"/>
        </w:rPr>
        <w:t>-</w:t>
      </w:r>
      <w:r w:rsidRPr="00FA1252">
        <w:rPr>
          <w:rFonts w:cs="Arial"/>
          <w:sz w:val="24"/>
          <w:szCs w:val="24"/>
        </w:rPr>
        <w:t>for</w:t>
      </w:r>
      <w:r>
        <w:rPr>
          <w:rFonts w:cs="Arial"/>
          <w:sz w:val="24"/>
          <w:szCs w:val="24"/>
        </w:rPr>
        <w:t>-</w:t>
      </w:r>
      <w:r w:rsidRPr="00FA1252">
        <w:rPr>
          <w:rFonts w:cs="Arial"/>
          <w:sz w:val="24"/>
          <w:szCs w:val="24"/>
        </w:rPr>
        <w:t>use through the PCA.</w:t>
      </w:r>
      <w:r>
        <w:rPr>
          <w:rFonts w:cs="Arial"/>
          <w:sz w:val="24"/>
          <w:szCs w:val="24"/>
        </w:rPr>
        <w:t xml:space="preserve"> As such, there is no available evidence to suggest there are adverse health effects from other substitute materials that would warrant these materials being not accepted as fit-for-use under the PCA. Such evidence </w:t>
      </w:r>
      <w:r>
        <w:rPr>
          <w:sz w:val="24"/>
          <w:szCs w:val="24"/>
        </w:rPr>
        <w:t xml:space="preserve">would warrant a much larger ABCB project on all plumbing products and materials. </w:t>
      </w:r>
    </w:p>
    <w:p w14:paraId="55B3C73B" w14:textId="54F49E7F" w:rsidR="00442DC7" w:rsidRDefault="00110977" w:rsidP="004874BA">
      <w:pPr>
        <w:pStyle w:val="Heading2"/>
        <w:spacing w:after="120"/>
        <w:rPr>
          <w:rFonts w:ascii="Arial" w:hAnsi="Arial" w:cs="Arial"/>
          <w:b w:val="0"/>
        </w:rPr>
      </w:pPr>
      <w:bookmarkStart w:id="281" w:name="_Toc71789289"/>
      <w:r>
        <w:rPr>
          <w:noProof/>
          <w:lang w:eastAsia="en-AU"/>
        </w:rPr>
        <w:lastRenderedPageBreak/>
        <mc:AlternateContent>
          <mc:Choice Requires="wps">
            <w:drawing>
              <wp:anchor distT="45720" distB="45720" distL="114300" distR="114300" simplePos="0" relativeHeight="251663360" behindDoc="0" locked="0" layoutInCell="1" allowOverlap="1" wp14:anchorId="4CA688F3" wp14:editId="2AE50685">
                <wp:simplePos x="0" y="0"/>
                <wp:positionH relativeFrom="margin">
                  <wp:posOffset>-38100</wp:posOffset>
                </wp:positionH>
                <wp:positionV relativeFrom="paragraph">
                  <wp:posOffset>391160</wp:posOffset>
                </wp:positionV>
                <wp:extent cx="5676900" cy="1404620"/>
                <wp:effectExtent l="0" t="0" r="1905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4620"/>
                        </a:xfrm>
                        <a:prstGeom prst="rect">
                          <a:avLst/>
                        </a:prstGeom>
                        <a:solidFill>
                          <a:schemeClr val="bg1">
                            <a:lumMod val="85000"/>
                          </a:schemeClr>
                        </a:solidFill>
                        <a:ln w="9525">
                          <a:solidFill>
                            <a:srgbClr val="000000"/>
                          </a:solidFill>
                          <a:miter lim="800000"/>
                          <a:headEnd/>
                          <a:tailEnd/>
                        </a:ln>
                      </wps:spPr>
                      <wps:txbx>
                        <w:txbxContent>
                          <w:p w14:paraId="6FF2BA00" w14:textId="51B1AFF7" w:rsidR="00944D93" w:rsidRDefault="00944D93" w:rsidP="001D0E44">
                            <w:pPr>
                              <w:spacing w:before="120" w:after="120" w:line="360" w:lineRule="auto"/>
                            </w:pPr>
                            <w:r w:rsidRPr="00901E24">
                              <w:rPr>
                                <w:rFonts w:cs="Arial"/>
                                <w:sz w:val="24"/>
                                <w:szCs w:val="24"/>
                              </w:rPr>
                              <w:t>The Consultation RIS asked stakeholders whether they were aware of any health consequences associated with using substitutes for lead in the manufacture of plumbing products in contact with drinking water.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688F3" id="_x0000_s1027" type="#_x0000_t202" style="position:absolute;left:0;text-align:left;margin-left:-3pt;margin-top:30.8pt;width:44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a8PAIAAHAEAAAOAAAAZHJzL2Uyb0RvYy54bWysVNuO0zAQfUfiHyy/06RV291GTVdLlyKk&#10;ZUHa5QMmjpNY+IbtNilfz9hpSxfeEC+W7RmfmTlnxuu7QUly4M4Lo0s6neSUcM1MLXRb0m8vu3e3&#10;lPgAugZpNC/pkXt6t3n7Zt3bgs9MZ2TNHUEQ7YvelrQLwRZZ5lnHFfiJsVyjsTFOQcCja7PaQY/o&#10;SmazPF9mvXG1dYZx7/H2YTTSTcJvGs7Cl6bxPBBZUswtpNWltYprtllD0TqwnWCnNOAfslAgNAa9&#10;QD1AALJ34i8oJZgz3jRhwozKTNMIxlMNWM00/6Oa5w4sT7UgOd5eaPL/D5Y9Hb46ImrUbkWJBoUa&#10;vfAhkPdmILNIT299gV7PFv3CgNfomkr19tGw755os+1At/zeOdN3HGpMbxpfZldPRxwfQar+s6kx&#10;DOyDSUBD41TkDtkgiI4yHS/SxFQYXi6WN8tVjiaGtuk8ny9nSbwMivNz63z4yI0icVNSh9oneDg8&#10;+hDTgeLsEqN5I0W9E1KmQ+w3vpWOHAA7pWrHEuVeYa7j3e0ix/gjTmrP6J5QXyFJTfqSrhazxUjS&#10;qyiurS4xEO0K8NpNiYAzIYUq6e3FCYpI7QddYwZQBBBy3GNVUp+4jvSORIehGkZVzxJWpj4i+c6M&#10;I4Aji5vOuJ+U9Nj+JfU/9uA4JfKTRgFX0/k8zks6zBc3yDZx15bq2gKaIVRJAyXjdhvSjCVq7T0K&#10;vRNJgtgRYyanlLGtE4enEYxzc31OXr8/is0vAAAA//8DAFBLAwQUAAYACAAAACEAHQ/3Kt0AAAAJ&#10;AQAADwAAAGRycy9kb3ducmV2LnhtbEyPwWrDMBBE74X+g9hCb4kcF4xwvA6hpVDoKU4hV8XaWqbW&#10;yliy4/591VN7nJ1l5k11WN0gFppC7xlht81AELfe9NwhfJxfNwpEiJqNHjwTwjcFONT3d5Uujb/x&#10;iZYmdiKFcCg1go1xLKUMrSWnw9aPxMn79JPTMcmpk2bStxTuBplnWSGd7jk1WD3Ss6X2q5kdwvTW&#10;XJ76Lnp5Oa6ZsfPLaXk/Iz4+rMc9iEhr/HuGX/yEDnViuvqZTRADwqZIUyJCsStAJF8plQ5XhFzl&#10;CmRdyf8L6h8AAAD//wMAUEsBAi0AFAAGAAgAAAAhALaDOJL+AAAA4QEAABMAAAAAAAAAAAAAAAAA&#10;AAAAAFtDb250ZW50X1R5cGVzXS54bWxQSwECLQAUAAYACAAAACEAOP0h/9YAAACUAQAACwAAAAAA&#10;AAAAAAAAAAAvAQAAX3JlbHMvLnJlbHNQSwECLQAUAAYACAAAACEAq5vGvDwCAABwBAAADgAAAAAA&#10;AAAAAAAAAAAuAgAAZHJzL2Uyb0RvYy54bWxQSwECLQAUAAYACAAAACEAHQ/3Kt0AAAAJAQAADwAA&#10;AAAAAAAAAAAAAACWBAAAZHJzL2Rvd25yZXYueG1sUEsFBgAAAAAEAAQA8wAAAKAFAAAAAA==&#10;" fillcolor="#d8d8d8 [2732]">
                <v:textbox style="mso-fit-shape-to-text:t">
                  <w:txbxContent>
                    <w:p w14:paraId="6FF2BA00" w14:textId="51B1AFF7" w:rsidR="00944D93" w:rsidRDefault="00944D93" w:rsidP="001D0E44">
                      <w:pPr>
                        <w:spacing w:before="120" w:after="120" w:line="360" w:lineRule="auto"/>
                      </w:pPr>
                      <w:r w:rsidRPr="00901E24">
                        <w:rPr>
                          <w:rFonts w:cs="Arial"/>
                          <w:sz w:val="24"/>
                          <w:szCs w:val="24"/>
                        </w:rPr>
                        <w:t>The Consultation RIS asked stakeholders whether they were aware of any health consequences associated with using substitutes for lead in the manufacture of plumbing products in contact with drinking water.</w:t>
                      </w:r>
                    </w:p>
                  </w:txbxContent>
                </v:textbox>
                <w10:wrap type="square" anchorx="margin"/>
              </v:shape>
            </w:pict>
          </mc:Fallback>
        </mc:AlternateContent>
      </w:r>
      <w:r w:rsidR="00442DC7" w:rsidRPr="004874BA">
        <w:rPr>
          <w:rFonts w:ascii="Arial" w:hAnsi="Arial" w:cs="Arial"/>
          <w:b w:val="0"/>
        </w:rPr>
        <w:t>The known effect on health</w:t>
      </w:r>
      <w:bookmarkEnd w:id="281"/>
      <w:r w:rsidR="00442DC7" w:rsidRPr="004874BA">
        <w:rPr>
          <w:rFonts w:ascii="Arial" w:hAnsi="Arial" w:cs="Arial"/>
          <w:b w:val="0"/>
        </w:rPr>
        <w:t xml:space="preserve"> </w:t>
      </w:r>
    </w:p>
    <w:p w14:paraId="5DFF676E" w14:textId="452815BC" w:rsidR="00442DC7" w:rsidRPr="001A0104" w:rsidRDefault="00442DC7" w:rsidP="004874BA">
      <w:pPr>
        <w:pStyle w:val="Heading3"/>
        <w:rPr>
          <w:rFonts w:cs="Arial"/>
        </w:rPr>
      </w:pPr>
      <w:bookmarkStart w:id="282" w:name="_Toc71789290"/>
      <w:bookmarkStart w:id="283" w:name="_Toc47287774"/>
      <w:bookmarkStart w:id="284" w:name="_Toc47287915"/>
      <w:r w:rsidRPr="004874BA">
        <w:rPr>
          <w:rFonts w:ascii="Arial" w:hAnsi="Arial" w:cs="Arial"/>
          <w:b w:val="0"/>
        </w:rPr>
        <w:t>Health based values</w:t>
      </w:r>
      <w:bookmarkEnd w:id="282"/>
    </w:p>
    <w:p w14:paraId="2A2FBD6E" w14:textId="3AE30188" w:rsidR="00442DC7" w:rsidRPr="00DA119A" w:rsidRDefault="00442DC7" w:rsidP="00DA119A">
      <w:pPr>
        <w:spacing w:before="240" w:line="360" w:lineRule="auto"/>
        <w:jc w:val="both"/>
        <w:rPr>
          <w:rFonts w:cs="Arial"/>
          <w:sz w:val="24"/>
          <w:szCs w:val="24"/>
        </w:rPr>
      </w:pPr>
      <w:r w:rsidRPr="00DA119A">
        <w:rPr>
          <w:rFonts w:cs="Arial"/>
          <w:sz w:val="24"/>
          <w:szCs w:val="24"/>
        </w:rPr>
        <w:t xml:space="preserve">On the question of whether stakeholders had any information on the health consequences associated with lead substitutes, the majority of respondents (76%) advised they were not aware of any studies. </w:t>
      </w:r>
    </w:p>
    <w:p w14:paraId="76574954" w14:textId="472B8AAB" w:rsidR="00442DC7" w:rsidRPr="00527CD6" w:rsidRDefault="00442DC7" w:rsidP="00527CD6">
      <w:pPr>
        <w:spacing w:line="360" w:lineRule="auto"/>
        <w:jc w:val="both"/>
        <w:rPr>
          <w:rFonts w:cs="Arial"/>
          <w:sz w:val="24"/>
          <w:szCs w:val="24"/>
        </w:rPr>
      </w:pPr>
      <w:r w:rsidRPr="00527CD6">
        <w:rPr>
          <w:rFonts w:cs="Arial"/>
          <w:sz w:val="24"/>
          <w:szCs w:val="24"/>
        </w:rPr>
        <w:t>The PPI Group and the NHMRC advised that</w:t>
      </w:r>
      <w:r>
        <w:rPr>
          <w:rFonts w:cs="Arial"/>
          <w:sz w:val="24"/>
          <w:szCs w:val="24"/>
        </w:rPr>
        <w:t xml:space="preserve"> there were</w:t>
      </w:r>
      <w:r w:rsidRPr="00527CD6">
        <w:rPr>
          <w:rFonts w:cs="Arial"/>
          <w:sz w:val="24"/>
          <w:szCs w:val="24"/>
        </w:rPr>
        <w:t xml:space="preserve"> lead substitutes other than bismuth and silicon used in the US</w:t>
      </w:r>
      <w:r>
        <w:rPr>
          <w:rFonts w:cs="Arial"/>
          <w:sz w:val="24"/>
          <w:szCs w:val="24"/>
        </w:rPr>
        <w:t>,</w:t>
      </w:r>
      <w:r w:rsidRPr="00527CD6">
        <w:rPr>
          <w:rFonts w:cs="Arial"/>
          <w:sz w:val="24"/>
          <w:szCs w:val="24"/>
        </w:rPr>
        <w:t xml:space="preserve"> including such alloys as naval copper alloys (</w:t>
      </w:r>
      <w:r>
        <w:rPr>
          <w:rFonts w:cs="Arial"/>
          <w:sz w:val="24"/>
          <w:szCs w:val="24"/>
        </w:rPr>
        <w:t xml:space="preserve">which is </w:t>
      </w:r>
      <w:r w:rsidRPr="00527CD6">
        <w:rPr>
          <w:rFonts w:cs="Arial"/>
          <w:sz w:val="24"/>
          <w:szCs w:val="24"/>
        </w:rPr>
        <w:t xml:space="preserve">understood to be also commonly used); indium brass; gallium brass; graphite alloys and manganese/zinc alloys. </w:t>
      </w:r>
    </w:p>
    <w:p w14:paraId="0DA50CF6" w14:textId="12536032" w:rsidR="00442DC7" w:rsidRPr="00527CD6" w:rsidRDefault="00442DC7" w:rsidP="00527CD6">
      <w:pPr>
        <w:spacing w:line="360" w:lineRule="auto"/>
        <w:jc w:val="both"/>
        <w:rPr>
          <w:rFonts w:cs="Arial"/>
          <w:sz w:val="24"/>
          <w:szCs w:val="24"/>
        </w:rPr>
      </w:pPr>
      <w:r w:rsidRPr="00527CD6">
        <w:rPr>
          <w:rFonts w:cs="Arial"/>
          <w:sz w:val="24"/>
          <w:szCs w:val="24"/>
        </w:rPr>
        <w:t>Naval copper alloys have had the lead removed and replaced with a combination of copper, zinc</w:t>
      </w:r>
      <w:r>
        <w:rPr>
          <w:rFonts w:cs="Arial"/>
          <w:sz w:val="24"/>
          <w:szCs w:val="24"/>
        </w:rPr>
        <w:t xml:space="preserve"> </w:t>
      </w:r>
      <w:r w:rsidRPr="00527CD6">
        <w:rPr>
          <w:rFonts w:cs="Arial"/>
          <w:sz w:val="24"/>
          <w:szCs w:val="24"/>
        </w:rPr>
        <w:t xml:space="preserve">and tin, which would not result in any additional adverse health effects. However, naval copper alloys </w:t>
      </w:r>
      <w:r>
        <w:rPr>
          <w:rFonts w:cs="Arial"/>
          <w:sz w:val="24"/>
          <w:szCs w:val="24"/>
        </w:rPr>
        <w:t xml:space="preserve">present </w:t>
      </w:r>
      <w:r w:rsidRPr="00527CD6">
        <w:rPr>
          <w:rFonts w:cs="Arial"/>
          <w:sz w:val="24"/>
          <w:szCs w:val="24"/>
        </w:rPr>
        <w:t xml:space="preserve">a higher risk of dezincification and </w:t>
      </w:r>
      <w:r>
        <w:rPr>
          <w:rFonts w:cs="Arial"/>
          <w:sz w:val="24"/>
          <w:szCs w:val="24"/>
        </w:rPr>
        <w:t>are</w:t>
      </w:r>
      <w:r w:rsidRPr="00527CD6">
        <w:rPr>
          <w:rFonts w:cs="Arial"/>
          <w:sz w:val="24"/>
          <w:szCs w:val="24"/>
        </w:rPr>
        <w:t xml:space="preserve"> difficult to machine. Other brass types cited are understood to be used infrequently as a replacement in plumbing products in contact with drinking water and are unlikely to be the dominant forms of low lead copper alloy in the market.</w:t>
      </w:r>
    </w:p>
    <w:p w14:paraId="68490E7A" w14:textId="77777777" w:rsidR="00442DC7" w:rsidRDefault="00442DC7" w:rsidP="004F0578">
      <w:pPr>
        <w:spacing w:line="360" w:lineRule="auto"/>
        <w:jc w:val="both"/>
        <w:rPr>
          <w:rFonts w:cs="Arial"/>
          <w:sz w:val="24"/>
          <w:szCs w:val="24"/>
        </w:rPr>
      </w:pPr>
      <w:r>
        <w:rPr>
          <w:rFonts w:cs="Arial"/>
          <w:sz w:val="24"/>
          <w:szCs w:val="24"/>
        </w:rPr>
        <w:t xml:space="preserve">Of those familiar with the use of bismuth and silicon, many noted that there is no existing health-based guideline value for their use within AS/NZS 4020 or equivalent international standards. However, health agencies also noted that the absence of existing health-based guideline values did imply these substitutes are safe and may </w:t>
      </w:r>
      <w:r w:rsidRPr="00663022">
        <w:rPr>
          <w:rFonts w:cs="Arial"/>
          <w:iCs/>
          <w:sz w:val="24"/>
          <w:szCs w:val="24"/>
        </w:rPr>
        <w:t xml:space="preserve">precipitate </w:t>
      </w:r>
      <w:r>
        <w:rPr>
          <w:rFonts w:cs="Arial"/>
          <w:sz w:val="24"/>
          <w:szCs w:val="24"/>
        </w:rPr>
        <w:t xml:space="preserve">a need for change. </w:t>
      </w:r>
    </w:p>
    <w:p w14:paraId="55BD5575" w14:textId="77777777" w:rsidR="00442DC7" w:rsidRDefault="00442DC7" w:rsidP="00184209">
      <w:pPr>
        <w:spacing w:line="360" w:lineRule="auto"/>
        <w:jc w:val="both"/>
        <w:rPr>
          <w:rFonts w:cs="Arial"/>
          <w:sz w:val="24"/>
          <w:szCs w:val="24"/>
        </w:rPr>
      </w:pPr>
      <w:r>
        <w:rPr>
          <w:rFonts w:cs="Arial"/>
          <w:sz w:val="24"/>
          <w:szCs w:val="24"/>
        </w:rPr>
        <w:t xml:space="preserve">The NHMRC advised of </w:t>
      </w:r>
      <w:r w:rsidRPr="00B50FF5">
        <w:rPr>
          <w:rFonts w:cs="Arial"/>
          <w:sz w:val="24"/>
          <w:szCs w:val="24"/>
        </w:rPr>
        <w:t>anecdotal reports of health concerns with the use of bismuth in plumbing in Europe. However, at the time of drafting th</w:t>
      </w:r>
      <w:r>
        <w:rPr>
          <w:rFonts w:cs="Arial"/>
          <w:sz w:val="24"/>
          <w:szCs w:val="24"/>
        </w:rPr>
        <w:t>eir</w:t>
      </w:r>
      <w:r w:rsidRPr="00B50FF5">
        <w:rPr>
          <w:rFonts w:cs="Arial"/>
          <w:sz w:val="24"/>
          <w:szCs w:val="24"/>
        </w:rPr>
        <w:t xml:space="preserve"> submission</w:t>
      </w:r>
      <w:r>
        <w:rPr>
          <w:rFonts w:cs="Arial"/>
          <w:sz w:val="24"/>
          <w:szCs w:val="24"/>
        </w:rPr>
        <w:t xml:space="preserve"> to the Consultation RIS</w:t>
      </w:r>
      <w:r w:rsidRPr="00B50FF5">
        <w:rPr>
          <w:rFonts w:cs="Arial"/>
          <w:sz w:val="24"/>
          <w:szCs w:val="24"/>
        </w:rPr>
        <w:t xml:space="preserve">, </w:t>
      </w:r>
      <w:r>
        <w:rPr>
          <w:rFonts w:cs="Arial"/>
          <w:sz w:val="24"/>
          <w:szCs w:val="24"/>
        </w:rPr>
        <w:t>these reports had not</w:t>
      </w:r>
      <w:r w:rsidRPr="00B50FF5">
        <w:rPr>
          <w:rFonts w:cs="Arial"/>
          <w:sz w:val="24"/>
          <w:szCs w:val="24"/>
        </w:rPr>
        <w:t xml:space="preserve"> been published or substantiated</w:t>
      </w:r>
      <w:r>
        <w:rPr>
          <w:rFonts w:cs="Arial"/>
          <w:sz w:val="24"/>
          <w:szCs w:val="24"/>
        </w:rPr>
        <w:t xml:space="preserve">. </w:t>
      </w:r>
    </w:p>
    <w:p w14:paraId="5B843C00" w14:textId="5A6DA82A" w:rsidR="00442DC7" w:rsidRDefault="00442DC7" w:rsidP="00184209">
      <w:pPr>
        <w:spacing w:line="360" w:lineRule="auto"/>
        <w:jc w:val="both"/>
        <w:rPr>
          <w:rFonts w:cs="Arial"/>
          <w:sz w:val="24"/>
          <w:szCs w:val="24"/>
        </w:rPr>
      </w:pPr>
      <w:r w:rsidRPr="00663022">
        <w:rPr>
          <w:rFonts w:cs="Arial"/>
          <w:sz w:val="24"/>
          <w:szCs w:val="24"/>
        </w:rPr>
        <w:t xml:space="preserve">Experts on </w:t>
      </w:r>
      <w:r w:rsidR="00DD3048">
        <w:rPr>
          <w:rFonts w:cs="Arial"/>
          <w:sz w:val="24"/>
          <w:szCs w:val="24"/>
        </w:rPr>
        <w:t>its</w:t>
      </w:r>
      <w:r w:rsidR="00DD3048" w:rsidRPr="00663022">
        <w:rPr>
          <w:rFonts w:cs="Arial"/>
          <w:sz w:val="24"/>
          <w:szCs w:val="24"/>
        </w:rPr>
        <w:t xml:space="preserve"> </w:t>
      </w:r>
      <w:r w:rsidRPr="00663022">
        <w:rPr>
          <w:rFonts w:cs="Arial"/>
          <w:sz w:val="24"/>
          <w:szCs w:val="24"/>
        </w:rPr>
        <w:t>Water Quality Advisory Committee</w:t>
      </w:r>
      <w:r>
        <w:rPr>
          <w:rFonts w:cs="Arial"/>
          <w:sz w:val="24"/>
          <w:szCs w:val="24"/>
        </w:rPr>
        <w:t xml:space="preserve"> </w:t>
      </w:r>
      <w:r w:rsidRPr="00663022">
        <w:rPr>
          <w:rFonts w:cs="Arial"/>
          <w:sz w:val="24"/>
          <w:szCs w:val="24"/>
        </w:rPr>
        <w:t>also raised concerns with</w:t>
      </w:r>
      <w:r>
        <w:rPr>
          <w:rFonts w:cs="Arial"/>
          <w:sz w:val="24"/>
          <w:szCs w:val="24"/>
        </w:rPr>
        <w:t xml:space="preserve"> the</w:t>
      </w:r>
      <w:r w:rsidRPr="00663022">
        <w:rPr>
          <w:rFonts w:cs="Arial"/>
          <w:sz w:val="24"/>
          <w:szCs w:val="24"/>
        </w:rPr>
        <w:t xml:space="preserve"> NHMRC about the social and environmental impacts of using bismuth as an alternative to lead in brass alloys. Global supply and demand may result in unsustainable pricing </w:t>
      </w:r>
      <w:r w:rsidRPr="00663022">
        <w:rPr>
          <w:rFonts w:cs="Arial"/>
          <w:sz w:val="24"/>
          <w:szCs w:val="24"/>
        </w:rPr>
        <w:lastRenderedPageBreak/>
        <w:t>of bismuth as a commodity and its depletion as a resource.</w:t>
      </w:r>
      <w:r>
        <w:rPr>
          <w:rFonts w:cs="Arial"/>
          <w:sz w:val="24"/>
          <w:szCs w:val="24"/>
        </w:rPr>
        <w:t xml:space="preserve"> The</w:t>
      </w:r>
      <w:r w:rsidRPr="00663022">
        <w:rPr>
          <w:rFonts w:cs="Arial"/>
          <w:sz w:val="24"/>
          <w:szCs w:val="24"/>
        </w:rPr>
        <w:t xml:space="preserve"> NHMRC </w:t>
      </w:r>
      <w:r>
        <w:rPr>
          <w:rFonts w:cs="Arial"/>
          <w:sz w:val="24"/>
          <w:szCs w:val="24"/>
        </w:rPr>
        <w:t>suggested that the ABCB</w:t>
      </w:r>
      <w:r w:rsidRPr="00663022">
        <w:rPr>
          <w:rFonts w:cs="Arial"/>
          <w:sz w:val="24"/>
          <w:szCs w:val="24"/>
        </w:rPr>
        <w:t xml:space="preserve"> make an effort to explore the sustainability of alternatives to lead, should it drive industry to adopt </w:t>
      </w:r>
      <w:r>
        <w:rPr>
          <w:rFonts w:cs="Arial"/>
          <w:sz w:val="24"/>
          <w:szCs w:val="24"/>
        </w:rPr>
        <w:t>substitute</w:t>
      </w:r>
      <w:r w:rsidR="001D0E44">
        <w:rPr>
          <w:rFonts w:cs="Arial"/>
          <w:sz w:val="24"/>
          <w:szCs w:val="24"/>
        </w:rPr>
        <w:t>s</w:t>
      </w:r>
      <w:r w:rsidRPr="00663022">
        <w:rPr>
          <w:rFonts w:cs="Arial"/>
          <w:sz w:val="24"/>
          <w:szCs w:val="24"/>
        </w:rPr>
        <w:t xml:space="preserve">. </w:t>
      </w:r>
    </w:p>
    <w:p w14:paraId="7AFEA550" w14:textId="2B9E46D0" w:rsidR="00442DC7" w:rsidRDefault="00442DC7" w:rsidP="00184209">
      <w:pPr>
        <w:spacing w:line="360" w:lineRule="auto"/>
        <w:jc w:val="both"/>
        <w:rPr>
          <w:rFonts w:cs="Arial"/>
          <w:sz w:val="24"/>
          <w:szCs w:val="24"/>
        </w:rPr>
      </w:pPr>
      <w:r>
        <w:rPr>
          <w:rFonts w:cs="Arial"/>
          <w:sz w:val="24"/>
          <w:szCs w:val="24"/>
        </w:rPr>
        <w:t>Given there are no known health effects associated with silicon or bismuth, this Decision RIS does not support prohibiting the use of the known substitutes for lead.</w:t>
      </w:r>
      <w:r w:rsidRPr="000A2979">
        <w:rPr>
          <w:rFonts w:cs="Arial"/>
          <w:sz w:val="24"/>
          <w:szCs w:val="24"/>
        </w:rPr>
        <w:t xml:space="preserve"> </w:t>
      </w:r>
      <w:r>
        <w:rPr>
          <w:rFonts w:cs="Arial"/>
          <w:sz w:val="24"/>
          <w:szCs w:val="24"/>
        </w:rPr>
        <w:t xml:space="preserve">The choice of substitute will </w:t>
      </w:r>
      <w:r w:rsidR="004D5055">
        <w:rPr>
          <w:rFonts w:cs="Arial"/>
          <w:sz w:val="24"/>
          <w:szCs w:val="24"/>
        </w:rPr>
        <w:t>remain</w:t>
      </w:r>
      <w:r>
        <w:rPr>
          <w:rFonts w:cs="Arial"/>
          <w:sz w:val="24"/>
          <w:szCs w:val="24"/>
        </w:rPr>
        <w:t xml:space="preserve"> a decision of each manufacturer having regard to the availability of inputs.  </w:t>
      </w:r>
    </w:p>
    <w:p w14:paraId="1618DBAF" w14:textId="1DFDE11F" w:rsidR="00442DC7" w:rsidRDefault="00442DC7" w:rsidP="004F0578">
      <w:pPr>
        <w:spacing w:line="360" w:lineRule="auto"/>
        <w:jc w:val="both"/>
        <w:rPr>
          <w:rFonts w:cs="Arial"/>
          <w:sz w:val="24"/>
          <w:szCs w:val="24"/>
        </w:rPr>
      </w:pPr>
      <w:r>
        <w:rPr>
          <w:rFonts w:cs="Arial"/>
          <w:sz w:val="24"/>
          <w:szCs w:val="24"/>
        </w:rPr>
        <w:t xml:space="preserve">Both the NHMRC and enHealth </w:t>
      </w:r>
      <w:r w:rsidRPr="004F0578">
        <w:rPr>
          <w:rFonts w:cs="Arial"/>
          <w:sz w:val="24"/>
          <w:szCs w:val="24"/>
        </w:rPr>
        <w:t>strongly recommend</w:t>
      </w:r>
      <w:r>
        <w:rPr>
          <w:rFonts w:cs="Arial"/>
          <w:sz w:val="24"/>
          <w:szCs w:val="24"/>
        </w:rPr>
        <w:t>ed</w:t>
      </w:r>
      <w:r w:rsidRPr="004F0578">
        <w:rPr>
          <w:rFonts w:cs="Arial"/>
          <w:sz w:val="24"/>
          <w:szCs w:val="24"/>
        </w:rPr>
        <w:t xml:space="preserve"> that any material that industry is encouraged to use in plumbing products as a result of </w:t>
      </w:r>
      <w:r>
        <w:rPr>
          <w:rFonts w:cs="Arial"/>
          <w:sz w:val="24"/>
          <w:szCs w:val="24"/>
        </w:rPr>
        <w:t>a change in the requirements for lead</w:t>
      </w:r>
      <w:r w:rsidRPr="004F0578">
        <w:rPr>
          <w:rFonts w:cs="Arial"/>
          <w:sz w:val="24"/>
          <w:szCs w:val="24"/>
        </w:rPr>
        <w:t xml:space="preserve"> needs to be established to be safe for consumer use under all Australian conditions. </w:t>
      </w:r>
      <w:r>
        <w:rPr>
          <w:rFonts w:cs="Arial"/>
          <w:sz w:val="24"/>
          <w:szCs w:val="24"/>
        </w:rPr>
        <w:t xml:space="preserve">In this regard, </w:t>
      </w:r>
      <w:r w:rsidR="001D0E44">
        <w:rPr>
          <w:rFonts w:cs="Arial"/>
          <w:sz w:val="24"/>
          <w:szCs w:val="24"/>
        </w:rPr>
        <w:t xml:space="preserve">they suggest </w:t>
      </w:r>
      <w:r>
        <w:rPr>
          <w:rFonts w:cs="Arial"/>
          <w:sz w:val="24"/>
          <w:szCs w:val="24"/>
        </w:rPr>
        <w:t>a</w:t>
      </w:r>
      <w:r w:rsidRPr="004F0578">
        <w:rPr>
          <w:rFonts w:cs="Arial"/>
          <w:sz w:val="24"/>
          <w:szCs w:val="24"/>
        </w:rPr>
        <w:t xml:space="preserve">ny lead substitute </w:t>
      </w:r>
      <w:r w:rsidR="001D0E44">
        <w:rPr>
          <w:rFonts w:cs="Arial"/>
          <w:sz w:val="24"/>
          <w:szCs w:val="24"/>
        </w:rPr>
        <w:t xml:space="preserve">have </w:t>
      </w:r>
      <w:r w:rsidRPr="004F0578">
        <w:rPr>
          <w:rFonts w:cs="Arial"/>
          <w:sz w:val="24"/>
          <w:szCs w:val="24"/>
        </w:rPr>
        <w:t>a health-based guideline value for inclusion in the Australian Drinking Water Guidelines. In addition, each material would</w:t>
      </w:r>
      <w:r>
        <w:rPr>
          <w:rFonts w:cs="Arial"/>
          <w:sz w:val="24"/>
          <w:szCs w:val="24"/>
        </w:rPr>
        <w:t xml:space="preserve"> also</w:t>
      </w:r>
      <w:r w:rsidRPr="004F0578">
        <w:rPr>
          <w:rFonts w:cs="Arial"/>
          <w:sz w:val="24"/>
          <w:szCs w:val="24"/>
        </w:rPr>
        <w:t xml:space="preserve"> need to be appropriately tested under AS/NZS 4020 conditions to ensure that it does not leach into water at unsafe levels. </w:t>
      </w:r>
    </w:p>
    <w:p w14:paraId="52B09886" w14:textId="7F21B5BE" w:rsidR="00442DC7" w:rsidRPr="00663022" w:rsidRDefault="00442DC7" w:rsidP="00663022">
      <w:pPr>
        <w:spacing w:line="360" w:lineRule="auto"/>
        <w:jc w:val="both"/>
        <w:rPr>
          <w:rFonts w:cs="Arial"/>
          <w:b/>
          <w:bCs/>
          <w:sz w:val="24"/>
          <w:szCs w:val="24"/>
        </w:rPr>
      </w:pPr>
      <w:r>
        <w:rPr>
          <w:rFonts w:cs="Arial"/>
          <w:sz w:val="24"/>
          <w:szCs w:val="24"/>
        </w:rPr>
        <w:t>The Decision RIS acknowledges the need to set health-based guideline or threshold values for lead substitutes and supports in principle health authorities determining the most appropriate values as part of the scope of work for revision to AS/NZS 4020 and the Australian Drinking Water Guidelines</w:t>
      </w:r>
      <w:r>
        <w:rPr>
          <w:rStyle w:val="FootnoteReference"/>
          <w:rFonts w:cs="Arial"/>
          <w:sz w:val="24"/>
          <w:szCs w:val="24"/>
        </w:rPr>
        <w:footnoteReference w:id="116"/>
      </w:r>
      <w:r>
        <w:rPr>
          <w:rFonts w:cs="Arial"/>
          <w:sz w:val="24"/>
          <w:szCs w:val="24"/>
        </w:rPr>
        <w:t xml:space="preserve">. </w:t>
      </w:r>
    </w:p>
    <w:p w14:paraId="5BD81F40" w14:textId="77777777" w:rsidR="00442DC7" w:rsidRPr="004874BA" w:rsidRDefault="00442DC7" w:rsidP="004874BA">
      <w:pPr>
        <w:pStyle w:val="Heading3"/>
        <w:rPr>
          <w:rFonts w:ascii="Arial" w:eastAsiaTheme="minorHAnsi" w:hAnsi="Arial" w:cs="Arial"/>
          <w:b w:val="0"/>
          <w:iCs/>
        </w:rPr>
      </w:pPr>
      <w:bookmarkStart w:id="285" w:name="_Toc71789291"/>
      <w:r w:rsidRPr="004874BA">
        <w:rPr>
          <w:rFonts w:ascii="Arial" w:eastAsiaTheme="minorHAnsi" w:hAnsi="Arial" w:cs="Arial"/>
          <w:b w:val="0"/>
        </w:rPr>
        <w:t>Opportunistic pathogens</w:t>
      </w:r>
      <w:bookmarkEnd w:id="285"/>
    </w:p>
    <w:p w14:paraId="0D33BA89" w14:textId="77777777" w:rsidR="00442DC7" w:rsidRPr="00DA119A" w:rsidRDefault="00442DC7" w:rsidP="00DA119A">
      <w:pPr>
        <w:spacing w:before="240" w:line="360" w:lineRule="auto"/>
        <w:jc w:val="both"/>
        <w:rPr>
          <w:rFonts w:cs="Arial"/>
          <w:sz w:val="24"/>
          <w:szCs w:val="24"/>
        </w:rPr>
      </w:pPr>
      <w:r w:rsidRPr="00DA119A">
        <w:rPr>
          <w:rFonts w:cs="Arial"/>
          <w:sz w:val="24"/>
          <w:szCs w:val="24"/>
        </w:rPr>
        <w:t>One plumbing industry group (PPI Group) and one Australian manufacturer (Enware) did not agree that there was no available evidence on the health risks associated with bacterial contamination of end-of-line plumbing fixtures involving plumbing products.</w:t>
      </w:r>
    </w:p>
    <w:p w14:paraId="1487DCE9" w14:textId="162D0FF3" w:rsidR="00442DC7" w:rsidRPr="00044537" w:rsidRDefault="00442DC7" w:rsidP="00681E62">
      <w:pPr>
        <w:spacing w:line="360" w:lineRule="auto"/>
        <w:jc w:val="both"/>
        <w:rPr>
          <w:rFonts w:cs="Arial"/>
          <w:sz w:val="24"/>
          <w:szCs w:val="24"/>
        </w:rPr>
      </w:pPr>
      <w:r w:rsidRPr="00044537">
        <w:rPr>
          <w:rFonts w:cs="Arial"/>
          <w:sz w:val="24"/>
          <w:szCs w:val="24"/>
        </w:rPr>
        <w:t xml:space="preserve">They claimed the proposed changes would likely to cause undue infection risk and existing literature shows end-of-the line plumbing fixtures to be a significant source of microbial pathogens. </w:t>
      </w:r>
    </w:p>
    <w:p w14:paraId="2567F036" w14:textId="10039D52" w:rsidR="00442DC7" w:rsidRDefault="00442DC7" w:rsidP="00681E62">
      <w:pPr>
        <w:spacing w:line="360" w:lineRule="auto"/>
        <w:jc w:val="both"/>
        <w:rPr>
          <w:rFonts w:cs="Arial"/>
          <w:sz w:val="24"/>
          <w:szCs w:val="24"/>
        </w:rPr>
      </w:pPr>
      <w:r w:rsidRPr="00663022">
        <w:rPr>
          <w:rFonts w:cs="Arial"/>
          <w:sz w:val="24"/>
          <w:szCs w:val="24"/>
        </w:rPr>
        <w:t>It is understood that product substitution concern</w:t>
      </w:r>
      <w:r>
        <w:rPr>
          <w:rFonts w:cs="Arial"/>
          <w:sz w:val="24"/>
          <w:szCs w:val="24"/>
        </w:rPr>
        <w:t>s</w:t>
      </w:r>
      <w:r w:rsidRPr="00663022">
        <w:rPr>
          <w:rFonts w:cs="Arial"/>
          <w:sz w:val="24"/>
          <w:szCs w:val="24"/>
        </w:rPr>
        <w:t xml:space="preserve"> stem from the potential substitution of brass (known to inhibit the growth and colonisation of various </w:t>
      </w:r>
      <w:bookmarkStart w:id="286" w:name="_Hlk70924050"/>
      <w:r w:rsidRPr="00663022">
        <w:rPr>
          <w:rFonts w:cs="Arial"/>
          <w:sz w:val="24"/>
          <w:szCs w:val="24"/>
        </w:rPr>
        <w:t>waterborne opportunistic pathogens</w:t>
      </w:r>
      <w:bookmarkEnd w:id="286"/>
      <w:r w:rsidRPr="00663022">
        <w:rPr>
          <w:rFonts w:cs="Arial"/>
          <w:sz w:val="24"/>
          <w:szCs w:val="24"/>
        </w:rPr>
        <w:t xml:space="preserve">) with other end of line fixtures made from other materials, </w:t>
      </w:r>
      <w:r w:rsidRPr="00663022">
        <w:rPr>
          <w:rFonts w:cs="Arial"/>
          <w:sz w:val="24"/>
          <w:szCs w:val="24"/>
        </w:rPr>
        <w:lastRenderedPageBreak/>
        <w:t>such as stainless steel and various polymers. While the effectiveness of copper alloy materials against inhibiting microbial growth is not disputed, there is no evidence which conclusively shows other materials are not suitable for use. This is also reflected by the current requirements of the PCA, which allow</w:t>
      </w:r>
      <w:r w:rsidR="004D5055">
        <w:rPr>
          <w:rFonts w:cs="Arial"/>
          <w:sz w:val="24"/>
          <w:szCs w:val="24"/>
        </w:rPr>
        <w:t>s</w:t>
      </w:r>
      <w:r w:rsidRPr="00663022">
        <w:rPr>
          <w:rFonts w:cs="Arial"/>
          <w:sz w:val="24"/>
          <w:szCs w:val="24"/>
        </w:rPr>
        <w:t xml:space="preserve"> </w:t>
      </w:r>
      <w:r w:rsidR="004D5055" w:rsidRPr="00663022">
        <w:rPr>
          <w:rFonts w:cs="Arial"/>
          <w:sz w:val="24"/>
          <w:szCs w:val="24"/>
        </w:rPr>
        <w:t xml:space="preserve">not </w:t>
      </w:r>
      <w:r w:rsidR="004D5055">
        <w:rPr>
          <w:rFonts w:cs="Arial"/>
          <w:sz w:val="24"/>
          <w:szCs w:val="24"/>
        </w:rPr>
        <w:t>only</w:t>
      </w:r>
      <w:r w:rsidR="004D5055" w:rsidRPr="00663022">
        <w:rPr>
          <w:rFonts w:cs="Arial"/>
          <w:sz w:val="24"/>
          <w:szCs w:val="24"/>
        </w:rPr>
        <w:t xml:space="preserve"> copper alloy products</w:t>
      </w:r>
      <w:r w:rsidR="004D5055">
        <w:rPr>
          <w:rFonts w:cs="Arial"/>
          <w:sz w:val="24"/>
          <w:szCs w:val="24"/>
        </w:rPr>
        <w:t xml:space="preserve">, but </w:t>
      </w:r>
      <w:r w:rsidRPr="00663022">
        <w:rPr>
          <w:rFonts w:cs="Arial"/>
          <w:sz w:val="24"/>
          <w:szCs w:val="24"/>
        </w:rPr>
        <w:t xml:space="preserve">a range </w:t>
      </w:r>
      <w:r w:rsidR="004D5055">
        <w:rPr>
          <w:rFonts w:cs="Arial"/>
          <w:sz w:val="24"/>
          <w:szCs w:val="24"/>
        </w:rPr>
        <w:t xml:space="preserve">of </w:t>
      </w:r>
      <w:r w:rsidRPr="00663022">
        <w:rPr>
          <w:rFonts w:cs="Arial"/>
          <w:sz w:val="24"/>
          <w:szCs w:val="24"/>
        </w:rPr>
        <w:t>products in contact</w:t>
      </w:r>
      <w:r w:rsidR="004D5055">
        <w:rPr>
          <w:rFonts w:cs="Arial"/>
          <w:sz w:val="24"/>
          <w:szCs w:val="24"/>
        </w:rPr>
        <w:t xml:space="preserve"> with drinking water to be used</w:t>
      </w:r>
      <w:r w:rsidRPr="00663022">
        <w:rPr>
          <w:rFonts w:cs="Arial"/>
          <w:sz w:val="24"/>
          <w:szCs w:val="24"/>
        </w:rPr>
        <w:t>.</w:t>
      </w:r>
    </w:p>
    <w:p w14:paraId="351DDBC7" w14:textId="0D8C0CCD" w:rsidR="00442DC7" w:rsidRDefault="00442DC7" w:rsidP="00681E62">
      <w:pPr>
        <w:spacing w:line="360" w:lineRule="auto"/>
        <w:jc w:val="both"/>
        <w:rPr>
          <w:rFonts w:cs="Arial"/>
          <w:sz w:val="24"/>
          <w:szCs w:val="24"/>
        </w:rPr>
      </w:pPr>
      <w:r w:rsidRPr="007B68A4">
        <w:rPr>
          <w:rFonts w:cs="Arial"/>
          <w:sz w:val="24"/>
          <w:szCs w:val="24"/>
        </w:rPr>
        <w:t>The</w:t>
      </w:r>
      <w:r>
        <w:rPr>
          <w:rFonts w:cs="Arial"/>
          <w:sz w:val="24"/>
          <w:szCs w:val="24"/>
        </w:rPr>
        <w:t xml:space="preserve"> </w:t>
      </w:r>
      <w:r w:rsidR="004D5055">
        <w:rPr>
          <w:rFonts w:cs="Arial"/>
          <w:sz w:val="24"/>
          <w:szCs w:val="24"/>
        </w:rPr>
        <w:t>Decision</w:t>
      </w:r>
      <w:r>
        <w:rPr>
          <w:rFonts w:cs="Arial"/>
          <w:sz w:val="24"/>
          <w:szCs w:val="24"/>
        </w:rPr>
        <w:t xml:space="preserve"> RIS recognises the</w:t>
      </w:r>
      <w:r w:rsidRPr="007B68A4">
        <w:rPr>
          <w:rFonts w:cs="Arial"/>
          <w:sz w:val="24"/>
          <w:szCs w:val="24"/>
        </w:rPr>
        <w:t xml:space="preserve"> concerns being raised </w:t>
      </w:r>
      <w:r>
        <w:rPr>
          <w:rFonts w:cs="Arial"/>
          <w:sz w:val="24"/>
          <w:szCs w:val="24"/>
        </w:rPr>
        <w:t>that</w:t>
      </w:r>
      <w:r w:rsidRPr="007B68A4">
        <w:rPr>
          <w:rFonts w:cs="Arial"/>
          <w:sz w:val="24"/>
          <w:szCs w:val="24"/>
        </w:rPr>
        <w:t xml:space="preserve"> an increase in bacterial contamination, particularly where copper, which is inherently resistant to microbial growth, is substituted for other materials. However, as the Consultation RIS explain</w:t>
      </w:r>
      <w:r>
        <w:rPr>
          <w:rFonts w:cs="Arial"/>
          <w:sz w:val="24"/>
          <w:szCs w:val="24"/>
        </w:rPr>
        <w:t>ed</w:t>
      </w:r>
      <w:r w:rsidRPr="007B68A4">
        <w:rPr>
          <w:rFonts w:cs="Arial"/>
          <w:sz w:val="24"/>
          <w:szCs w:val="24"/>
        </w:rPr>
        <w:t xml:space="preserve">, there are very few instances this is expected as a consequence of the proposed change as most of the substitution has already occurred due to other factors (predominantly cost). </w:t>
      </w:r>
      <w:r>
        <w:rPr>
          <w:rFonts w:cs="Arial"/>
          <w:sz w:val="24"/>
          <w:szCs w:val="24"/>
        </w:rPr>
        <w:t xml:space="preserve">The importation of cheaper alternatives, is not a direct consequence of the proposal being considered. </w:t>
      </w:r>
    </w:p>
    <w:p w14:paraId="558523AE" w14:textId="77777777" w:rsidR="00442DC7" w:rsidRPr="00663022" w:rsidRDefault="00442DC7" w:rsidP="00681E62">
      <w:pPr>
        <w:spacing w:line="360" w:lineRule="auto"/>
        <w:jc w:val="both"/>
        <w:rPr>
          <w:b/>
          <w:bCs/>
          <w:iCs/>
          <w:sz w:val="24"/>
          <w:szCs w:val="24"/>
        </w:rPr>
      </w:pPr>
      <w:r>
        <w:rPr>
          <w:rFonts w:cs="Arial"/>
          <w:sz w:val="24"/>
          <w:szCs w:val="24"/>
        </w:rPr>
        <w:t xml:space="preserve">The calls for continued evidence-based approaches to risk in plumbing is supported and the ABCB will continue to monitor and respond to any new research into the factors influencing </w:t>
      </w:r>
      <w:r w:rsidRPr="00663022">
        <w:rPr>
          <w:rFonts w:cs="Arial"/>
          <w:sz w:val="24"/>
          <w:szCs w:val="24"/>
        </w:rPr>
        <w:t>waterborne opportunistic pathogens</w:t>
      </w:r>
      <w:r>
        <w:rPr>
          <w:rFonts w:cs="Arial"/>
          <w:sz w:val="24"/>
          <w:szCs w:val="24"/>
        </w:rPr>
        <w:t>, including the influence of different material types.</w:t>
      </w:r>
    </w:p>
    <w:p w14:paraId="6FB6A180" w14:textId="77777777" w:rsidR="00442DC7" w:rsidRPr="004874BA" w:rsidRDefault="00442DC7" w:rsidP="00044537">
      <w:pPr>
        <w:pStyle w:val="Heading2"/>
        <w:spacing w:after="240"/>
        <w:rPr>
          <w:rFonts w:ascii="Arial" w:hAnsi="Arial" w:cs="Arial"/>
          <w:b w:val="0"/>
        </w:rPr>
      </w:pPr>
      <w:bookmarkStart w:id="287" w:name="_Toc71789292"/>
      <w:r w:rsidRPr="004874BA">
        <w:rPr>
          <w:rFonts w:ascii="Arial" w:hAnsi="Arial" w:cs="Arial"/>
          <w:b w:val="0"/>
        </w:rPr>
        <w:t>Impacts on the recycling of brass</w:t>
      </w:r>
      <w:bookmarkEnd w:id="287"/>
    </w:p>
    <w:p w14:paraId="4C5E9CCB" w14:textId="77777777" w:rsidR="00442DC7" w:rsidRDefault="00442DC7" w:rsidP="00065442">
      <w:pPr>
        <w:spacing w:after="120" w:line="360" w:lineRule="auto"/>
        <w:jc w:val="both"/>
        <w:rPr>
          <w:rFonts w:cs="Arial"/>
          <w:sz w:val="24"/>
          <w:szCs w:val="24"/>
        </w:rPr>
      </w:pPr>
      <w:r w:rsidRPr="00065442">
        <w:rPr>
          <w:rFonts w:cs="Arial"/>
          <w:sz w:val="24"/>
          <w:szCs w:val="24"/>
        </w:rPr>
        <w:t xml:space="preserve">Option 2 may impact the ability to </w:t>
      </w:r>
      <w:r>
        <w:rPr>
          <w:rFonts w:cs="Arial"/>
          <w:sz w:val="24"/>
          <w:szCs w:val="24"/>
        </w:rPr>
        <w:t>recycle copper alloy</w:t>
      </w:r>
      <w:r w:rsidRPr="00065442">
        <w:rPr>
          <w:rFonts w:cs="Arial"/>
          <w:sz w:val="24"/>
          <w:szCs w:val="24"/>
        </w:rPr>
        <w:t xml:space="preserve"> in the manufacture of new plumbing products</w:t>
      </w:r>
      <w:r>
        <w:rPr>
          <w:rFonts w:cs="Arial"/>
          <w:sz w:val="24"/>
          <w:szCs w:val="24"/>
        </w:rPr>
        <w:t xml:space="preserve"> intended for contact with drinking water</w:t>
      </w:r>
      <w:r w:rsidRPr="00065442">
        <w:rPr>
          <w:rFonts w:cs="Arial"/>
          <w:sz w:val="24"/>
          <w:szCs w:val="24"/>
        </w:rPr>
        <w:t xml:space="preserve">. </w:t>
      </w:r>
      <w:r>
        <w:rPr>
          <w:rFonts w:cs="Arial"/>
          <w:sz w:val="24"/>
          <w:szCs w:val="24"/>
        </w:rPr>
        <w:t xml:space="preserve">This is due to higher amounts of lead being present which would prevent the material’s reuse in the manufacture of plumbing products intended for contact with drinking water. This wouldn’t, however, impact the ability for the material to be used for plumbing products not in contact with drinking water or for other uses. </w:t>
      </w:r>
    </w:p>
    <w:p w14:paraId="64B1E3CC" w14:textId="59BBC181" w:rsidR="00442DC7" w:rsidRDefault="00442DC7" w:rsidP="00065442">
      <w:pPr>
        <w:spacing w:after="120" w:line="360" w:lineRule="auto"/>
        <w:jc w:val="both"/>
        <w:rPr>
          <w:rFonts w:cs="Arial"/>
          <w:sz w:val="24"/>
          <w:szCs w:val="24"/>
        </w:rPr>
      </w:pPr>
      <w:r>
        <w:rPr>
          <w:rFonts w:cs="Arial"/>
          <w:sz w:val="24"/>
          <w:szCs w:val="24"/>
        </w:rPr>
        <w:t xml:space="preserve">In developing the Consultation RIS, advice was sought from the Australian Metal Recycling Industry Association (ARIMA) on the impacts of low lead requirements on the ability to recycle copper alloy materials. ARIMA advised that it was common practice to use scrap brass as a substitute for new metal to reduce the cost of manufacturing new materials. Consequently, as available scrap brass in the future will contain higher concentrations of lead than that permitted, the demand for scrap brass by Australian smelters will fall. </w:t>
      </w:r>
    </w:p>
    <w:p w14:paraId="177CF0F6" w14:textId="77777777" w:rsidR="00442DC7" w:rsidRDefault="00442DC7" w:rsidP="00065442">
      <w:pPr>
        <w:spacing w:after="120" w:line="360" w:lineRule="auto"/>
        <w:jc w:val="both"/>
        <w:rPr>
          <w:rFonts w:cs="Arial"/>
          <w:sz w:val="24"/>
          <w:szCs w:val="24"/>
        </w:rPr>
      </w:pPr>
      <w:r>
        <w:rPr>
          <w:rFonts w:cs="Arial"/>
          <w:sz w:val="24"/>
          <w:szCs w:val="24"/>
        </w:rPr>
        <w:t>ARIMA advised that this fall in demand would be softened by two factors:</w:t>
      </w:r>
    </w:p>
    <w:p w14:paraId="2F34DDC4" w14:textId="77777777" w:rsidR="00442DC7" w:rsidRPr="002553D0" w:rsidRDefault="00442DC7" w:rsidP="00DF50F2">
      <w:pPr>
        <w:pStyle w:val="ListParagraph"/>
        <w:numPr>
          <w:ilvl w:val="0"/>
          <w:numId w:val="23"/>
        </w:numPr>
        <w:spacing w:after="120" w:line="360" w:lineRule="auto"/>
        <w:jc w:val="both"/>
        <w:rPr>
          <w:rFonts w:cs="Arial"/>
          <w:sz w:val="24"/>
          <w:szCs w:val="24"/>
        </w:rPr>
      </w:pPr>
      <w:r w:rsidRPr="002553D0">
        <w:rPr>
          <w:rFonts w:cs="Arial"/>
          <w:sz w:val="24"/>
          <w:szCs w:val="24"/>
        </w:rPr>
        <w:lastRenderedPageBreak/>
        <w:t>Brass is used in the manufacture of products which are not used in plumbing products in contact with drinking water (e.</w:t>
      </w:r>
      <w:r>
        <w:rPr>
          <w:rFonts w:cs="Arial"/>
          <w:sz w:val="24"/>
          <w:szCs w:val="24"/>
        </w:rPr>
        <w:t>g.</w:t>
      </w:r>
      <w:r w:rsidRPr="002553D0">
        <w:rPr>
          <w:rFonts w:cs="Arial"/>
          <w:sz w:val="24"/>
          <w:szCs w:val="24"/>
        </w:rPr>
        <w:t xml:space="preserve"> electrical, architectural, fluid transfer industries and plumbing products not in contact with drinking water). Therefore</w:t>
      </w:r>
      <w:r>
        <w:rPr>
          <w:rFonts w:cs="Arial"/>
          <w:sz w:val="24"/>
          <w:szCs w:val="24"/>
        </w:rPr>
        <w:t>,</w:t>
      </w:r>
      <w:r w:rsidRPr="002553D0">
        <w:rPr>
          <w:rFonts w:cs="Arial"/>
          <w:sz w:val="24"/>
          <w:szCs w:val="24"/>
        </w:rPr>
        <w:t xml:space="preserve"> the production of these types of </w:t>
      </w:r>
      <w:r>
        <w:rPr>
          <w:rFonts w:cs="Arial"/>
          <w:sz w:val="24"/>
          <w:szCs w:val="24"/>
        </w:rPr>
        <w:t>products</w:t>
      </w:r>
      <w:r w:rsidRPr="002553D0">
        <w:rPr>
          <w:rFonts w:cs="Arial"/>
          <w:sz w:val="24"/>
          <w:szCs w:val="24"/>
        </w:rPr>
        <w:t xml:space="preserve"> need not be affected.  </w:t>
      </w:r>
    </w:p>
    <w:p w14:paraId="1A2C7E39" w14:textId="77777777" w:rsidR="00442DC7" w:rsidRPr="002553D0" w:rsidRDefault="00442DC7" w:rsidP="00DF50F2">
      <w:pPr>
        <w:pStyle w:val="ListParagraph"/>
        <w:numPr>
          <w:ilvl w:val="0"/>
          <w:numId w:val="23"/>
        </w:numPr>
        <w:spacing w:after="120" w:line="360" w:lineRule="auto"/>
        <w:jc w:val="both"/>
        <w:rPr>
          <w:rFonts w:cs="Arial"/>
          <w:sz w:val="24"/>
          <w:szCs w:val="24"/>
        </w:rPr>
      </w:pPr>
      <w:r w:rsidRPr="002553D0">
        <w:rPr>
          <w:rFonts w:cs="Arial"/>
          <w:sz w:val="24"/>
          <w:szCs w:val="24"/>
        </w:rPr>
        <w:t>There are now very few brass smelters in operation in Australia and the majority of scrap brass is exported to countries which may not require low lead brass. Therefore</w:t>
      </w:r>
      <w:r>
        <w:rPr>
          <w:rFonts w:cs="Arial"/>
          <w:sz w:val="24"/>
          <w:szCs w:val="24"/>
        </w:rPr>
        <w:t>,</w:t>
      </w:r>
      <w:r w:rsidRPr="002553D0">
        <w:rPr>
          <w:rFonts w:cs="Arial"/>
          <w:sz w:val="24"/>
          <w:szCs w:val="24"/>
        </w:rPr>
        <w:t xml:space="preserve"> the demand for scrap brass </w:t>
      </w:r>
      <w:r>
        <w:rPr>
          <w:rFonts w:cs="Arial"/>
          <w:sz w:val="24"/>
          <w:szCs w:val="24"/>
        </w:rPr>
        <w:t xml:space="preserve">as an exportable good </w:t>
      </w:r>
      <w:r w:rsidRPr="002553D0">
        <w:rPr>
          <w:rFonts w:cs="Arial"/>
          <w:sz w:val="24"/>
          <w:szCs w:val="24"/>
        </w:rPr>
        <w:t xml:space="preserve">need not be affected. </w:t>
      </w:r>
    </w:p>
    <w:p w14:paraId="37F31844" w14:textId="77777777" w:rsidR="00442DC7" w:rsidRDefault="00442DC7" w:rsidP="00065442">
      <w:pPr>
        <w:spacing w:after="120" w:line="360" w:lineRule="auto"/>
        <w:jc w:val="both"/>
        <w:rPr>
          <w:rFonts w:cs="Arial"/>
          <w:sz w:val="24"/>
          <w:szCs w:val="24"/>
        </w:rPr>
      </w:pPr>
      <w:r>
        <w:rPr>
          <w:rFonts w:cs="Arial"/>
          <w:sz w:val="24"/>
          <w:szCs w:val="24"/>
        </w:rPr>
        <w:t xml:space="preserve">Based on the above factors, ARIMA believe that if new regulations were to come into effect, there would be an initial local oversupply of recycled brass which would drive down the local price of scrap brass. However, based on price fluctuations within the industry being common, this wouldn’t result in a large demand shock as scrap brass would continue to be a useful recycled material, particularly as an exportable good.  </w:t>
      </w:r>
    </w:p>
    <w:p w14:paraId="03F6AE17" w14:textId="1E56513A" w:rsidR="00442DC7" w:rsidRDefault="00442DC7" w:rsidP="00065442">
      <w:pPr>
        <w:spacing w:after="120" w:line="360" w:lineRule="auto"/>
        <w:jc w:val="both"/>
        <w:rPr>
          <w:sz w:val="24"/>
          <w:szCs w:val="24"/>
        </w:rPr>
      </w:pPr>
      <w:r w:rsidRPr="00AC2ACD">
        <w:rPr>
          <w:rFonts w:cs="Arial"/>
          <w:sz w:val="24"/>
          <w:szCs w:val="24"/>
        </w:rPr>
        <w:t xml:space="preserve">While supportive of Option 2, Advanced Alloys Holdings, representing a consortium of international companies across the plumbing products supply chain advised that </w:t>
      </w:r>
      <w:r w:rsidRPr="00663022">
        <w:rPr>
          <w:sz w:val="24"/>
          <w:szCs w:val="24"/>
        </w:rPr>
        <w:t xml:space="preserve">if silicon brasses become the preferred substitute, as is the case in the USA, the demand for such brass as a recycled material would be less for both domestic </w:t>
      </w:r>
      <w:r>
        <w:rPr>
          <w:sz w:val="24"/>
          <w:szCs w:val="24"/>
        </w:rPr>
        <w:t xml:space="preserve">and </w:t>
      </w:r>
      <w:r w:rsidRPr="00663022">
        <w:rPr>
          <w:sz w:val="24"/>
          <w:szCs w:val="24"/>
        </w:rPr>
        <w:t>export markets across most brass products. It is understood that this is due to silicon being an impurity in many copper alloys, causing issues such as grain boundary embrittlement. This limits the ability of silicon brasses to be recycled, as many foundries have strict quality control measures in place producing alloys sensitive to such contaminants.</w:t>
      </w:r>
    </w:p>
    <w:p w14:paraId="2981637A" w14:textId="3DA870AB" w:rsidR="00442DC7" w:rsidRPr="00AC2ACD" w:rsidRDefault="00442DC7" w:rsidP="00065442">
      <w:pPr>
        <w:spacing w:after="120" w:line="360" w:lineRule="auto"/>
        <w:jc w:val="both"/>
        <w:rPr>
          <w:rFonts w:cs="Arial"/>
          <w:sz w:val="24"/>
          <w:szCs w:val="24"/>
        </w:rPr>
      </w:pPr>
      <w:r>
        <w:rPr>
          <w:sz w:val="24"/>
          <w:szCs w:val="24"/>
        </w:rPr>
        <w:t>The recyclability of silicon brasses is noted and it is anticipated that with an increase in the quantity of recyclable material, existing controls may need to be softened or other substitutes may be preferred by the industry. Based on the available evidence there is no reason to apply further controls on lead substitutes on this basis.</w:t>
      </w:r>
    </w:p>
    <w:p w14:paraId="63D1FEDC" w14:textId="77777777" w:rsidR="00442DC7" w:rsidRPr="004874BA" w:rsidRDefault="00442DC7" w:rsidP="00086C30">
      <w:pPr>
        <w:pStyle w:val="Heading2"/>
        <w:spacing w:after="240"/>
        <w:rPr>
          <w:rFonts w:ascii="Arial" w:eastAsiaTheme="minorHAnsi" w:hAnsi="Arial" w:cs="Arial"/>
          <w:b w:val="0"/>
        </w:rPr>
      </w:pPr>
      <w:bookmarkStart w:id="288" w:name="_Toc71789293"/>
      <w:r w:rsidRPr="004874BA">
        <w:rPr>
          <w:rFonts w:ascii="Arial" w:eastAsiaTheme="minorHAnsi" w:hAnsi="Arial" w:cs="Arial"/>
          <w:b w:val="0"/>
        </w:rPr>
        <w:t>Lead leaching from low lead products</w:t>
      </w:r>
      <w:bookmarkEnd w:id="288"/>
    </w:p>
    <w:p w14:paraId="0A2B18F7" w14:textId="77777777" w:rsidR="00442DC7" w:rsidRDefault="00442DC7" w:rsidP="006E3C95">
      <w:pPr>
        <w:spacing w:line="360" w:lineRule="auto"/>
        <w:jc w:val="both"/>
        <w:rPr>
          <w:rFonts w:cs="Arial"/>
          <w:sz w:val="24"/>
          <w:szCs w:val="24"/>
        </w:rPr>
      </w:pPr>
      <w:r>
        <w:rPr>
          <w:rFonts w:cs="Arial"/>
          <w:sz w:val="24"/>
          <w:szCs w:val="24"/>
        </w:rPr>
        <w:t>S</w:t>
      </w:r>
      <w:r w:rsidRPr="0059689F">
        <w:rPr>
          <w:rFonts w:cs="Arial"/>
          <w:sz w:val="24"/>
          <w:szCs w:val="24"/>
        </w:rPr>
        <w:t xml:space="preserve">mall studies conducted </w:t>
      </w:r>
      <w:r>
        <w:rPr>
          <w:rFonts w:cs="Arial"/>
          <w:sz w:val="24"/>
          <w:szCs w:val="24"/>
        </w:rPr>
        <w:t>by</w:t>
      </w:r>
      <w:r w:rsidRPr="0059689F">
        <w:rPr>
          <w:rFonts w:cs="Arial"/>
          <w:sz w:val="24"/>
          <w:szCs w:val="24"/>
        </w:rPr>
        <w:t xml:space="preserve"> the </w:t>
      </w:r>
      <w:bookmarkStart w:id="289" w:name="_Hlk53317595"/>
      <w:r w:rsidRPr="0059689F">
        <w:rPr>
          <w:rFonts w:cs="Arial"/>
          <w:sz w:val="24"/>
          <w:szCs w:val="24"/>
        </w:rPr>
        <w:t>A</w:t>
      </w:r>
      <w:r>
        <w:rPr>
          <w:rFonts w:cs="Arial"/>
          <w:sz w:val="24"/>
          <w:szCs w:val="24"/>
        </w:rPr>
        <w:t xml:space="preserve">ustralian </w:t>
      </w:r>
      <w:r w:rsidRPr="0059689F">
        <w:rPr>
          <w:rFonts w:cs="Arial"/>
          <w:sz w:val="24"/>
          <w:szCs w:val="24"/>
        </w:rPr>
        <w:t>W</w:t>
      </w:r>
      <w:r>
        <w:rPr>
          <w:rFonts w:cs="Arial"/>
          <w:sz w:val="24"/>
          <w:szCs w:val="24"/>
        </w:rPr>
        <w:t xml:space="preserve">ater </w:t>
      </w:r>
      <w:r w:rsidRPr="0059689F">
        <w:rPr>
          <w:rFonts w:cs="Arial"/>
          <w:sz w:val="24"/>
          <w:szCs w:val="24"/>
        </w:rPr>
        <w:t>Q</w:t>
      </w:r>
      <w:r>
        <w:rPr>
          <w:rFonts w:cs="Arial"/>
          <w:sz w:val="24"/>
          <w:szCs w:val="24"/>
        </w:rPr>
        <w:t xml:space="preserve">uality </w:t>
      </w:r>
      <w:r w:rsidRPr="0059689F">
        <w:rPr>
          <w:rFonts w:cs="Arial"/>
          <w:sz w:val="24"/>
          <w:szCs w:val="24"/>
        </w:rPr>
        <w:t>C</w:t>
      </w:r>
      <w:r>
        <w:rPr>
          <w:rFonts w:cs="Arial"/>
          <w:sz w:val="24"/>
          <w:szCs w:val="24"/>
        </w:rPr>
        <w:t xml:space="preserve">entre (AWQC) </w:t>
      </w:r>
      <w:bookmarkEnd w:id="289"/>
      <w:r>
        <w:rPr>
          <w:rFonts w:cs="Arial"/>
          <w:sz w:val="24"/>
          <w:szCs w:val="24"/>
        </w:rPr>
        <w:t xml:space="preserve">have observed higher levels of lead leaching from low lead plumbing products when compared to higher leaded products. When conducting further studies, lead levels fluctuated based on whether the product had been acid rinsed. Acid rinsed products complied with the AS/NZS 4020 requirements whereas water rinsed products failed. </w:t>
      </w:r>
      <w:r>
        <w:rPr>
          <w:rFonts w:cs="Arial"/>
          <w:sz w:val="24"/>
          <w:szCs w:val="24"/>
        </w:rPr>
        <w:lastRenderedPageBreak/>
        <w:t xml:space="preserve">These findings are consistent with reports in the US, which found some lead-free products still leached high concentrations of lead. </w:t>
      </w:r>
    </w:p>
    <w:p w14:paraId="4F9090CC" w14:textId="77777777" w:rsidR="00442DC7" w:rsidRDefault="00442DC7" w:rsidP="003D3F5E">
      <w:pPr>
        <w:spacing w:line="360" w:lineRule="auto"/>
        <w:jc w:val="both"/>
        <w:rPr>
          <w:rFonts w:cs="Arial"/>
          <w:sz w:val="24"/>
          <w:szCs w:val="24"/>
        </w:rPr>
      </w:pPr>
      <w:r>
        <w:rPr>
          <w:rFonts w:cs="Arial"/>
          <w:sz w:val="24"/>
          <w:szCs w:val="24"/>
        </w:rPr>
        <w:t xml:space="preserve">Although this unintended consequence is counter intuitive with the objectives of the changes, it highlights the importance of the correct finishing of products after manufacture. The findings of the AWQC support the need for the continued testing, by accredited testing laboratories, and certification of plumbing products in contact with drinking water to ensure adequate rinsing processes are achieved through the certification process. </w:t>
      </w:r>
    </w:p>
    <w:p w14:paraId="1018CA3C" w14:textId="3E21624F" w:rsidR="00442DC7" w:rsidRDefault="00442DC7" w:rsidP="004A0717">
      <w:pPr>
        <w:spacing w:line="360" w:lineRule="auto"/>
        <w:jc w:val="both"/>
        <w:rPr>
          <w:rFonts w:cs="Arial"/>
          <w:sz w:val="24"/>
          <w:szCs w:val="24"/>
        </w:rPr>
      </w:pPr>
      <w:r>
        <w:rPr>
          <w:rFonts w:cs="Arial"/>
          <w:sz w:val="24"/>
          <w:szCs w:val="24"/>
        </w:rPr>
        <w:t>Both the</w:t>
      </w:r>
      <w:r w:rsidRPr="00663022">
        <w:rPr>
          <w:rFonts w:cs="Arial"/>
          <w:sz w:val="24"/>
          <w:szCs w:val="24"/>
        </w:rPr>
        <w:t xml:space="preserve"> </w:t>
      </w:r>
      <w:r>
        <w:rPr>
          <w:rFonts w:cs="Arial"/>
          <w:sz w:val="24"/>
          <w:szCs w:val="24"/>
        </w:rPr>
        <w:t xml:space="preserve">HIA and WSAA in response to the Consultation RIS highlighted the importance of ensuring the short-term release of lead is controlled. WSAA felt that the existing requirements within AS/NZS 4020 was insufficient to ensure that the existing threshold of 10 </w:t>
      </w:r>
      <w:r w:rsidRPr="00267B1B">
        <w:rPr>
          <w:rFonts w:cs="Arial"/>
          <w:bCs/>
          <w:sz w:val="24"/>
          <w:szCs w:val="24"/>
        </w:rPr>
        <w:t>µg</w:t>
      </w:r>
      <w:r>
        <w:rPr>
          <w:rFonts w:cs="Arial"/>
          <w:sz w:val="24"/>
          <w:szCs w:val="24"/>
        </w:rPr>
        <w:t xml:space="preserve">/L was satisfied in all cases. It was recommended that the ABCB further investigate the issue to ensure that appropriate controls are in place to meet the end goal of ensuring that the long-term release of lead is reduced. In light of this issue, they also suggested that the best instrument to make any changes was via AS/NZS 4020. </w:t>
      </w:r>
    </w:p>
    <w:p w14:paraId="22130DA8" w14:textId="29379AA6" w:rsidR="00442DC7" w:rsidRDefault="00442DC7" w:rsidP="004A0717">
      <w:pPr>
        <w:spacing w:line="360" w:lineRule="auto"/>
        <w:jc w:val="both"/>
        <w:rPr>
          <w:rFonts w:cs="Arial"/>
          <w:sz w:val="24"/>
          <w:szCs w:val="24"/>
        </w:rPr>
      </w:pPr>
      <w:r>
        <w:rPr>
          <w:rFonts w:cs="Arial"/>
          <w:sz w:val="24"/>
          <w:szCs w:val="24"/>
        </w:rPr>
        <w:t xml:space="preserve">HIA also prompted consideration of mandatory rinsing requirements to ensure that short term release of lead was reduced. However, their preferred instrument was individual product specifications rather than through changes AS/NZS 4020. </w:t>
      </w:r>
    </w:p>
    <w:p w14:paraId="1CA2570A" w14:textId="02036341" w:rsidR="00442DC7" w:rsidRDefault="00110977" w:rsidP="00663022">
      <w:pPr>
        <w:spacing w:line="360" w:lineRule="auto"/>
        <w:jc w:val="both"/>
        <w:rPr>
          <w:rFonts w:cs="Arial"/>
          <w:sz w:val="24"/>
          <w:szCs w:val="24"/>
        </w:rPr>
      </w:pPr>
      <w:r w:rsidRPr="00110977">
        <w:rPr>
          <w:rFonts w:cs="Arial"/>
          <w:noProof/>
          <w:sz w:val="24"/>
          <w:szCs w:val="24"/>
          <w:lang w:eastAsia="en-AU"/>
        </w:rPr>
        <mc:AlternateContent>
          <mc:Choice Requires="wps">
            <w:drawing>
              <wp:anchor distT="45720" distB="45720" distL="114300" distR="114300" simplePos="0" relativeHeight="251665408" behindDoc="0" locked="0" layoutInCell="1" allowOverlap="1" wp14:anchorId="0D72F3D8" wp14:editId="0F3C366F">
                <wp:simplePos x="0" y="0"/>
                <wp:positionH relativeFrom="margin">
                  <wp:align>right</wp:align>
                </wp:positionH>
                <wp:positionV relativeFrom="paragraph">
                  <wp:posOffset>1722148</wp:posOffset>
                </wp:positionV>
                <wp:extent cx="5705475" cy="1404620"/>
                <wp:effectExtent l="0" t="0" r="28575" b="1079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bg1">
                            <a:lumMod val="85000"/>
                          </a:schemeClr>
                        </a:solidFill>
                        <a:ln w="9525">
                          <a:solidFill>
                            <a:srgbClr val="000000"/>
                          </a:solidFill>
                          <a:miter lim="800000"/>
                          <a:headEnd/>
                          <a:tailEnd/>
                        </a:ln>
                      </wps:spPr>
                      <wps:txbx>
                        <w:txbxContent>
                          <w:p w14:paraId="4950D44F" w14:textId="5DA9C7DA" w:rsidR="00944D93" w:rsidRDefault="00944D93" w:rsidP="005545BF">
                            <w:pPr>
                              <w:spacing w:before="120" w:after="120" w:line="360" w:lineRule="auto"/>
                            </w:pPr>
                            <w:r w:rsidRPr="00901E24">
                              <w:rPr>
                                <w:rFonts w:cs="Arial"/>
                                <w:sz w:val="24"/>
                                <w:szCs w:val="24"/>
                              </w:rPr>
                              <w:t>The Consultation RIS asked stakeholders whether there were incentives other than regulation that would address the problem.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2F3D8" id="_x0000_s1028" type="#_x0000_t202" style="position:absolute;left:0;text-align:left;margin-left:398.05pt;margin-top:135.6pt;width:449.2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HJOgIAAHAEAAAOAAAAZHJzL2Uyb0RvYy54bWysVNuO0zAQfUfiHyy/06RVs+1GTVdLlyKk&#10;ZUHa5QMcx0ksfMN2m5SvZ2y3JQtviBfL9ozPnDkz483dKAU6Muu4VhWez3KMmKK64aqr8LeX/bs1&#10;Rs4T1RChFavwiTl8t337ZjOYki10r0XDLAIQ5crBVLj33pRZ5mjPJHEzbZgCY6utJB6OtssaSwZA&#10;lyJb5PlNNmjbGKspcw5uH5IRbyN+2zLqv7StYx6JCgM3H1cb1zqs2XZDys4S03N6pkH+gYUkXEHQ&#10;K9QD8QQdLP8LSnJqtdOtn1EtM922nLKYA2Qzz//I5rknhsVcQBxnrjK5/wdLn45fLeJNhRcgjyIS&#10;avTCRo/e6xEtgjyDcSV4PRvw8yNcQ5ljqs48avrdIaV3PVEdu7dWDz0jDdCbh5fZ5GnCcQGkHj7r&#10;BsKQg9cRaGytDNqBGgjQgcfpWppAhcJlscqL5arAiIJtvsyXN8A3xCDl5bmxzn9kWqKwqbCF2kd4&#10;cnx0PrleXEI0pwVv9lyIeAj9xnbCoiOBTqm7lKI4SOCa7tZFnl9CxvYM7pHAKySh0FDh22JRJJFe&#10;RbFdfY0BaBPAqZvkHmZCcFnh9dWJlEHaD6qBTEjpCRdpDwIIddY6yJuE9mM9pqpeSljr5gTiW51G&#10;AEYWNr22PzEaoP0r7H4ciGUYiU8KCng7Xy7DvMTDsliF7rBTSz21EEUBqsIeo7Td+ThjUVpzD4Xe&#10;81iC0BGJyZkytHXU8DyCYW6m5+j1+6PY/gIAAP//AwBQSwMEFAAGAAgAAAAhAB5Rs7LeAAAACAEA&#10;AA8AAABkcnMvZG93bnJldi54bWxMj0FLw0AUhO+C/2F5gje7aayapnkpRREET02FXrfZZzY0+zZk&#10;N2n8964nexxmmPmm2M62ExMNvnWMsFwkIIhrp1tuEL4O7w8ZCB8Ua9U5JoQf8rAtb28KlWt34T1N&#10;VWhELGGfKwQTQp9L6WtDVvmF64mj9+0Gq0KUQyP1oC6x3HYyTZJnaVXLccGonl4N1edqtAjDR3V8&#10;bJvg5HE3J9qMb/vp84B4fzfvNiACzeE/DH/4ER3KyHRyI2svOoR4JCCkL8sURLSzdfYE4oSwWqcr&#10;kGUhrw+UvwAAAP//AwBQSwECLQAUAAYACAAAACEAtoM4kv4AAADhAQAAEwAAAAAAAAAAAAAAAAAA&#10;AAAAW0NvbnRlbnRfVHlwZXNdLnhtbFBLAQItABQABgAIAAAAIQA4/SH/1gAAAJQBAAALAAAAAAAA&#10;AAAAAAAAAC8BAABfcmVscy8ucmVsc1BLAQItABQABgAIAAAAIQBMjvHJOgIAAHAEAAAOAAAAAAAA&#10;AAAAAAAAAC4CAABkcnMvZTJvRG9jLnhtbFBLAQItABQABgAIAAAAIQAeUbOy3gAAAAgBAAAPAAAA&#10;AAAAAAAAAAAAAJQEAABkcnMvZG93bnJldi54bWxQSwUGAAAAAAQABADzAAAAnwUAAAAA&#10;" fillcolor="#d8d8d8 [2732]">
                <v:textbox style="mso-fit-shape-to-text:t">
                  <w:txbxContent>
                    <w:p w14:paraId="4950D44F" w14:textId="5DA9C7DA" w:rsidR="00944D93" w:rsidRDefault="00944D93" w:rsidP="005545BF">
                      <w:pPr>
                        <w:spacing w:before="120" w:after="120" w:line="360" w:lineRule="auto"/>
                      </w:pPr>
                      <w:r w:rsidRPr="00901E24">
                        <w:rPr>
                          <w:rFonts w:cs="Arial"/>
                          <w:sz w:val="24"/>
                          <w:szCs w:val="24"/>
                        </w:rPr>
                        <w:t>The Consultation RIS asked stakeholders whether there were incentives other than regulation that would address the problem.</w:t>
                      </w:r>
                    </w:p>
                  </w:txbxContent>
                </v:textbox>
                <w10:wrap type="square" anchorx="margin"/>
              </v:shape>
            </w:pict>
          </mc:Fallback>
        </mc:AlternateContent>
      </w:r>
      <w:r w:rsidR="00442DC7">
        <w:rPr>
          <w:rFonts w:cs="Arial"/>
          <w:sz w:val="24"/>
          <w:szCs w:val="24"/>
        </w:rPr>
        <w:t xml:space="preserve">The Decision RIS gives recognition </w:t>
      </w:r>
      <w:r w:rsidR="005545BF">
        <w:rPr>
          <w:rFonts w:cs="Arial"/>
          <w:sz w:val="24"/>
          <w:szCs w:val="24"/>
        </w:rPr>
        <w:t>t</w:t>
      </w:r>
      <w:r w:rsidR="00442DC7">
        <w:rPr>
          <w:rFonts w:cs="Arial"/>
          <w:sz w:val="24"/>
          <w:szCs w:val="24"/>
        </w:rPr>
        <w:t xml:space="preserve">o concerns about the short-term release of lead and underlying mechanisms. It is understood that when products are tested to AS/NZS 4020, they are done so using products supplied by the manufacturer. These products are likely to represent a cleaned product to ensure the best results are achieved by the testing laboratory. This may in turn result in the cleaned product not always being representative of a typical batch. </w:t>
      </w:r>
    </w:p>
    <w:p w14:paraId="14CA9AD4" w14:textId="3DA6AAD3" w:rsidR="00442DC7" w:rsidRDefault="00442DC7" w:rsidP="005545BF">
      <w:pPr>
        <w:spacing w:before="360" w:line="360" w:lineRule="auto"/>
        <w:jc w:val="both"/>
        <w:rPr>
          <w:rFonts w:cs="Arial"/>
          <w:sz w:val="24"/>
          <w:szCs w:val="24"/>
        </w:rPr>
      </w:pPr>
      <w:r>
        <w:rPr>
          <w:rFonts w:cs="Arial"/>
          <w:sz w:val="24"/>
          <w:szCs w:val="24"/>
        </w:rPr>
        <w:t xml:space="preserve">A majority of respondents (58%) felt that regulation was the only means to achieve the stated objective.  </w:t>
      </w:r>
    </w:p>
    <w:p w14:paraId="3BA27E7F" w14:textId="77777777" w:rsidR="00442DC7" w:rsidRDefault="00442DC7" w:rsidP="00663022">
      <w:pPr>
        <w:spacing w:before="240" w:line="360" w:lineRule="auto"/>
        <w:jc w:val="both"/>
        <w:rPr>
          <w:rFonts w:cs="Arial"/>
          <w:sz w:val="24"/>
          <w:szCs w:val="24"/>
        </w:rPr>
      </w:pPr>
      <w:r>
        <w:rPr>
          <w:rFonts w:cs="Arial"/>
          <w:sz w:val="24"/>
          <w:szCs w:val="24"/>
        </w:rPr>
        <w:lastRenderedPageBreak/>
        <w:t>Of those that felt there were other incentives available to address the problem, several types of government subsidies were proposed in the form of:</w:t>
      </w:r>
    </w:p>
    <w:p w14:paraId="63DBB2EA" w14:textId="77777777" w:rsidR="00442DC7" w:rsidRDefault="00442DC7" w:rsidP="008734AE">
      <w:pPr>
        <w:pStyle w:val="ListParagraph"/>
        <w:numPr>
          <w:ilvl w:val="0"/>
          <w:numId w:val="22"/>
        </w:numPr>
        <w:spacing w:line="360" w:lineRule="auto"/>
        <w:jc w:val="both"/>
        <w:rPr>
          <w:rFonts w:cs="Arial"/>
          <w:sz w:val="24"/>
          <w:szCs w:val="24"/>
        </w:rPr>
      </w:pPr>
      <w:r>
        <w:rPr>
          <w:rFonts w:cs="Arial"/>
          <w:sz w:val="24"/>
          <w:szCs w:val="24"/>
        </w:rPr>
        <w:t>Subsidising the incremental production costs of manufacturers producing low-lead plumbing products in contact with drinking water.</w:t>
      </w:r>
    </w:p>
    <w:p w14:paraId="7E6BA09B" w14:textId="77777777" w:rsidR="00442DC7" w:rsidRDefault="00442DC7" w:rsidP="008734AE">
      <w:pPr>
        <w:pStyle w:val="ListParagraph"/>
        <w:numPr>
          <w:ilvl w:val="0"/>
          <w:numId w:val="22"/>
        </w:numPr>
        <w:spacing w:line="360" w:lineRule="auto"/>
        <w:jc w:val="both"/>
        <w:rPr>
          <w:rFonts w:cs="Arial"/>
          <w:sz w:val="24"/>
          <w:szCs w:val="24"/>
        </w:rPr>
      </w:pPr>
      <w:r>
        <w:rPr>
          <w:rFonts w:cs="Arial"/>
          <w:sz w:val="24"/>
          <w:szCs w:val="24"/>
        </w:rPr>
        <w:t xml:space="preserve">Subsidising consumers when selecting low-lead plumbing products in contact with drinking water. This would be in the form of covering the price difference between low lead products and leaded products. </w:t>
      </w:r>
    </w:p>
    <w:p w14:paraId="01FD6634" w14:textId="26F1F704" w:rsidR="00442DC7" w:rsidRDefault="00442DC7" w:rsidP="008734AE">
      <w:pPr>
        <w:pStyle w:val="ListParagraph"/>
        <w:numPr>
          <w:ilvl w:val="0"/>
          <w:numId w:val="22"/>
        </w:numPr>
        <w:spacing w:line="360" w:lineRule="auto"/>
        <w:jc w:val="both"/>
        <w:rPr>
          <w:rFonts w:cs="Arial"/>
          <w:sz w:val="24"/>
          <w:szCs w:val="24"/>
        </w:rPr>
      </w:pPr>
      <w:r>
        <w:rPr>
          <w:rFonts w:cs="Arial"/>
          <w:sz w:val="24"/>
          <w:szCs w:val="24"/>
        </w:rPr>
        <w:t xml:space="preserve">A government </w:t>
      </w:r>
      <w:r w:rsidR="008F416D">
        <w:rPr>
          <w:rFonts w:cs="Arial"/>
          <w:sz w:val="24"/>
          <w:szCs w:val="24"/>
        </w:rPr>
        <w:t>‘</w:t>
      </w:r>
      <w:r>
        <w:rPr>
          <w:rFonts w:cs="Arial"/>
          <w:sz w:val="24"/>
          <w:szCs w:val="24"/>
        </w:rPr>
        <w:t>swap-out</w:t>
      </w:r>
      <w:r w:rsidR="008F416D">
        <w:rPr>
          <w:rFonts w:cs="Arial"/>
          <w:sz w:val="24"/>
          <w:szCs w:val="24"/>
        </w:rPr>
        <w:t>’</w:t>
      </w:r>
      <w:r>
        <w:rPr>
          <w:rFonts w:cs="Arial"/>
          <w:sz w:val="24"/>
          <w:szCs w:val="24"/>
        </w:rPr>
        <w:t xml:space="preserve"> scheme whereby the government offers replacement of leaded plumbing products with low leaded products free of charge. </w:t>
      </w:r>
    </w:p>
    <w:p w14:paraId="0962E89E" w14:textId="030EA20F" w:rsidR="00442DC7" w:rsidRPr="008758F9" w:rsidRDefault="00442DC7" w:rsidP="00086C30">
      <w:pPr>
        <w:spacing w:line="360" w:lineRule="auto"/>
        <w:jc w:val="both"/>
        <w:rPr>
          <w:rFonts w:cs="Arial"/>
          <w:bCs/>
          <w:sz w:val="28"/>
          <w:szCs w:val="28"/>
        </w:rPr>
      </w:pPr>
      <w:r>
        <w:rPr>
          <w:rFonts w:cs="Arial"/>
          <w:sz w:val="24"/>
          <w:szCs w:val="24"/>
        </w:rPr>
        <w:t xml:space="preserve">These incentives are expected to be either less effective or more expensive than those examined under the central options. </w:t>
      </w:r>
    </w:p>
    <w:p w14:paraId="3B5C314D" w14:textId="3DF44222" w:rsidR="00442DC7" w:rsidRDefault="00442DC7" w:rsidP="00086C30">
      <w:pPr>
        <w:spacing w:line="360" w:lineRule="auto"/>
        <w:jc w:val="both"/>
        <w:rPr>
          <w:rFonts w:cs="Arial"/>
          <w:sz w:val="24"/>
          <w:szCs w:val="24"/>
        </w:rPr>
      </w:pPr>
      <w:r>
        <w:rPr>
          <w:rFonts w:cs="Arial"/>
          <w:sz w:val="24"/>
          <w:szCs w:val="24"/>
        </w:rPr>
        <w:t>In addition to these suggestions, some stakeholders who responded to the question saw benefit in producing enhanced educational material to raise awareness of the problem of lead exposure in Australia. This would include promoting the use of low lead products in addition to flushing the plumbing system after periods of stagnation.</w:t>
      </w:r>
      <w:bookmarkStart w:id="290" w:name="_Toc456699922"/>
      <w:bookmarkStart w:id="291" w:name="_Toc471734639"/>
      <w:bookmarkStart w:id="292" w:name="_Toc483834469"/>
      <w:bookmarkStart w:id="293" w:name="_Toc491078347"/>
      <w:bookmarkStart w:id="294" w:name="_Toc507170737"/>
      <w:bookmarkEnd w:id="283"/>
      <w:bookmarkEnd w:id="284"/>
      <w:r>
        <w:rPr>
          <w:rFonts w:cs="Arial"/>
          <w:sz w:val="24"/>
          <w:szCs w:val="24"/>
        </w:rPr>
        <w:t xml:space="preserve"> It is envisaged that enhanced education material will complement any regulatory change. </w:t>
      </w:r>
    </w:p>
    <w:p w14:paraId="497B2E82" w14:textId="5E4FEDA1" w:rsidR="00442DC7" w:rsidRPr="0029376F" w:rsidRDefault="00442DC7" w:rsidP="0029376F">
      <w:pPr>
        <w:pStyle w:val="Heading2"/>
        <w:spacing w:after="240"/>
        <w:rPr>
          <w:rFonts w:ascii="Arial" w:eastAsiaTheme="minorHAnsi" w:hAnsi="Arial" w:cs="Arial"/>
          <w:b w:val="0"/>
        </w:rPr>
      </w:pPr>
      <w:r w:rsidRPr="0029376F">
        <w:rPr>
          <w:rFonts w:ascii="Arial" w:eastAsiaTheme="minorHAnsi" w:hAnsi="Arial" w:cs="Arial"/>
          <w:b w:val="0"/>
        </w:rPr>
        <w:t xml:space="preserve">Enforcement </w:t>
      </w:r>
    </w:p>
    <w:p w14:paraId="15B41AA7" w14:textId="77777777" w:rsidR="00442DC7" w:rsidRPr="00544629" w:rsidRDefault="00442DC7" w:rsidP="001C048B">
      <w:pPr>
        <w:spacing w:line="360" w:lineRule="auto"/>
        <w:jc w:val="both"/>
        <w:rPr>
          <w:sz w:val="24"/>
          <w:szCs w:val="24"/>
        </w:rPr>
      </w:pPr>
      <w:r w:rsidRPr="00544629">
        <w:rPr>
          <w:rFonts w:cs="Arial"/>
          <w:sz w:val="24"/>
          <w:szCs w:val="24"/>
        </w:rPr>
        <w:t xml:space="preserve">PPIG and Enware raised existing compliance rates with the existing WMCS citing a report the ABCB commissioned in 2018 by Aither. In this regard, both respondents expressed a need for a renewed effort </w:t>
      </w:r>
      <w:r w:rsidRPr="00544629">
        <w:rPr>
          <w:sz w:val="24"/>
          <w:szCs w:val="24"/>
        </w:rPr>
        <w:t>to improve the national administration and State and Territory monitoring, surveillance and enforcement of WaterMark, especially as it relates to lead in plumbing products.</w:t>
      </w:r>
    </w:p>
    <w:p w14:paraId="396F41F3" w14:textId="41BEF977" w:rsidR="00442DC7" w:rsidRPr="00544629" w:rsidRDefault="00442DC7" w:rsidP="002D1E18">
      <w:pPr>
        <w:pStyle w:val="Quote"/>
        <w:spacing w:line="360" w:lineRule="auto"/>
        <w:ind w:left="862" w:right="862"/>
        <w:jc w:val="left"/>
      </w:pPr>
      <w:r w:rsidRPr="00544629">
        <w:t>“A manufacturer or supplier having made an initial application for WaterMa</w:t>
      </w:r>
      <w:r>
        <w:t>rk certification may provide a ‘sample’</w:t>
      </w:r>
      <w:r w:rsidRPr="00544629">
        <w:t xml:space="preserve"> product from a production run for testing which if successful is issued with a WaterMark license, and then may only be subject to a desk top (paper) audit until the term of the WaterMark license expires. An audit regime is needed that balances costs and benefits, preferably involving one factory visit per annum. It would help counter the increased use of recycled materials, particularly lead, </w:t>
      </w:r>
      <w:r w:rsidRPr="00544629">
        <w:lastRenderedPageBreak/>
        <w:t>sometimes sourced from old car batteries, leading to lead content in brass being extremely variable.</w:t>
      </w:r>
    </w:p>
    <w:p w14:paraId="7C41D37A" w14:textId="77777777" w:rsidR="00442DC7" w:rsidRPr="00C11F51" w:rsidRDefault="00442DC7" w:rsidP="002D1E18">
      <w:pPr>
        <w:pStyle w:val="Quote"/>
        <w:spacing w:line="360" w:lineRule="auto"/>
        <w:ind w:left="862" w:right="862"/>
        <w:jc w:val="left"/>
        <w:rPr>
          <w:rFonts w:cs="Arial"/>
        </w:rPr>
      </w:pPr>
      <w:r w:rsidRPr="00544629">
        <w:t>To illustrate, NSF/ANSI/CAN 372 Low lead Product Certification in North America is typically based on two factory inspection per year. However, if Australia adopts a Low Lead policy as part of the NCC PCA, then a minimum of one factory inspection would most likely suffice. Most manufacturers of copper alloy based plumbing products have several suppliers of low lead brass, therefore the only way to effectively monitor low lead compliance, is by undertaking compliance inspections at the manufacturing site where chemical analysis reports can be reviewed for all received low lead copper alloy. Under the current ABCB WaterMark Product Certification Scheme, factory inspections are only required at 5 yearly intervals. i.e., within 12 months of the initial issuance of the WaterMark certification and then prior to the WaterMark licence renewal after the 5-year certification. WaterMark Product Inspections are required annually, however these are permitted to be undertaken at warehousing and retail locations. It would be impossible to verify low lead ongoing compliance at the Annual Product inspections unless conducted at the manufacturing location. We note that currently, this is only an optional requirement under the ABCB WaterMark Scheme.” – PPI Group.</w:t>
      </w:r>
    </w:p>
    <w:p w14:paraId="045AE51D" w14:textId="77777777" w:rsidR="00442DC7" w:rsidDel="00627279" w:rsidRDefault="00442DC7" w:rsidP="00251D69">
      <w:pPr>
        <w:spacing w:line="360" w:lineRule="auto"/>
        <w:jc w:val="both"/>
        <w:rPr>
          <w:rFonts w:eastAsiaTheme="majorEastAsia" w:cs="Arial"/>
          <w:color w:val="000000" w:themeColor="text1"/>
          <w:sz w:val="24"/>
          <w:szCs w:val="24"/>
        </w:rPr>
      </w:pPr>
      <w:r w:rsidDel="00627279">
        <w:rPr>
          <w:rFonts w:eastAsiaTheme="majorEastAsia" w:cs="Arial"/>
          <w:color w:val="000000" w:themeColor="text1"/>
          <w:sz w:val="24"/>
          <w:szCs w:val="24"/>
        </w:rPr>
        <w:t xml:space="preserve">A plumbing manufacturer who wished to remain anonymous also commented on the influence of imported products and felt that the problem would continue to occur without strengthening the importation controls. The compliance levels of plumbing products with existing Australian Standards were also challenged by an individual from a law firm, suggesting that these Standards were guidelines as opposed to mandatory requirements. </w:t>
      </w:r>
    </w:p>
    <w:p w14:paraId="2E142B54" w14:textId="60EDAB1C" w:rsidR="00442DC7" w:rsidDel="00627279" w:rsidRDefault="00442DC7" w:rsidP="00251D6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Local and i</w:t>
      </w:r>
      <w:r w:rsidRPr="00CB3B92" w:rsidDel="00627279">
        <w:rPr>
          <w:rFonts w:eastAsiaTheme="majorEastAsia" w:cs="Arial"/>
          <w:color w:val="000000" w:themeColor="text1"/>
          <w:sz w:val="24"/>
          <w:szCs w:val="24"/>
        </w:rPr>
        <w:t xml:space="preserve">mported plumbing products and materials for use in contact with drinking water must obtain WaterMark </w:t>
      </w:r>
      <w:r w:rsidDel="00627279">
        <w:rPr>
          <w:rFonts w:eastAsiaTheme="majorEastAsia" w:cs="Arial"/>
          <w:color w:val="000000" w:themeColor="text1"/>
          <w:sz w:val="24"/>
          <w:szCs w:val="24"/>
        </w:rPr>
        <w:t>c</w:t>
      </w:r>
      <w:r w:rsidRPr="00CB3B92" w:rsidDel="00627279">
        <w:rPr>
          <w:rFonts w:eastAsiaTheme="majorEastAsia" w:cs="Arial"/>
          <w:color w:val="000000" w:themeColor="text1"/>
          <w:sz w:val="24"/>
          <w:szCs w:val="24"/>
        </w:rPr>
        <w:t xml:space="preserve">ertification. </w:t>
      </w:r>
      <w:r w:rsidDel="00627279">
        <w:rPr>
          <w:rFonts w:eastAsiaTheme="majorEastAsia" w:cs="Arial"/>
          <w:color w:val="000000" w:themeColor="text1"/>
          <w:sz w:val="24"/>
          <w:szCs w:val="24"/>
        </w:rPr>
        <w:t xml:space="preserve">In obtaining certification, compliance with the relevant </w:t>
      </w:r>
      <w:r>
        <w:rPr>
          <w:rFonts w:eastAsiaTheme="majorEastAsia" w:cs="Arial"/>
          <w:color w:val="000000" w:themeColor="text1"/>
          <w:sz w:val="24"/>
          <w:szCs w:val="24"/>
        </w:rPr>
        <w:t>WaterMark referenced product specification</w:t>
      </w:r>
      <w:r w:rsidR="00F43521">
        <w:rPr>
          <w:rFonts w:eastAsiaTheme="majorEastAsia" w:cs="Arial"/>
          <w:color w:val="000000" w:themeColor="text1"/>
          <w:sz w:val="24"/>
          <w:szCs w:val="24"/>
        </w:rPr>
        <w:t>s</w:t>
      </w:r>
      <w:r>
        <w:rPr>
          <w:rFonts w:eastAsiaTheme="majorEastAsia" w:cs="Arial"/>
          <w:color w:val="000000" w:themeColor="text1"/>
          <w:sz w:val="24"/>
          <w:szCs w:val="24"/>
        </w:rPr>
        <w:t xml:space="preserve"> </w:t>
      </w:r>
      <w:r w:rsidDel="00627279">
        <w:rPr>
          <w:rFonts w:eastAsiaTheme="majorEastAsia" w:cs="Arial"/>
          <w:color w:val="000000" w:themeColor="text1"/>
          <w:sz w:val="24"/>
          <w:szCs w:val="24"/>
        </w:rPr>
        <w:t xml:space="preserve">is required, thus any </w:t>
      </w:r>
      <w:r>
        <w:rPr>
          <w:rFonts w:eastAsiaTheme="majorEastAsia" w:cs="Arial"/>
          <w:color w:val="000000" w:themeColor="text1"/>
          <w:sz w:val="24"/>
          <w:szCs w:val="24"/>
        </w:rPr>
        <w:t xml:space="preserve">product specification </w:t>
      </w:r>
      <w:r w:rsidDel="00627279">
        <w:rPr>
          <w:rFonts w:eastAsiaTheme="majorEastAsia" w:cs="Arial"/>
          <w:color w:val="000000" w:themeColor="text1"/>
          <w:sz w:val="24"/>
          <w:szCs w:val="24"/>
        </w:rPr>
        <w:t xml:space="preserve">referenced by the WMCS is mandatory under the Scheme. </w:t>
      </w:r>
    </w:p>
    <w:p w14:paraId="56CF0C48" w14:textId="77777777" w:rsidR="00442DC7" w:rsidRDefault="00442DC7" w:rsidP="00251D69">
      <w:pPr>
        <w:spacing w:line="360" w:lineRule="auto"/>
        <w:jc w:val="both"/>
        <w:rPr>
          <w:rFonts w:eastAsiaTheme="majorEastAsia" w:cs="Arial"/>
          <w:color w:val="000000" w:themeColor="text1"/>
          <w:sz w:val="24"/>
          <w:szCs w:val="24"/>
        </w:rPr>
      </w:pPr>
      <w:r w:rsidRPr="00CB3B92">
        <w:rPr>
          <w:rFonts w:eastAsiaTheme="majorEastAsia" w:cs="Arial"/>
          <w:color w:val="000000" w:themeColor="text1"/>
          <w:sz w:val="24"/>
          <w:szCs w:val="24"/>
        </w:rPr>
        <w:t xml:space="preserve">The ABCB is not aware of evidence </w:t>
      </w:r>
      <w:r>
        <w:rPr>
          <w:rFonts w:eastAsiaTheme="majorEastAsia" w:cs="Arial"/>
          <w:color w:val="000000" w:themeColor="text1"/>
          <w:sz w:val="24"/>
          <w:szCs w:val="24"/>
        </w:rPr>
        <w:t>isolating imported products as the source of the problem, however, it is recognised that imported products represent a large segment of the market, accounting for approximately 80% of all products sold annually.  This</w:t>
      </w:r>
      <w:r w:rsidRPr="00CB3B92">
        <w:rPr>
          <w:rFonts w:eastAsiaTheme="majorEastAsia" w:cs="Arial"/>
          <w:color w:val="000000" w:themeColor="text1"/>
          <w:sz w:val="24"/>
          <w:szCs w:val="24"/>
        </w:rPr>
        <w:t xml:space="preserve"> </w:t>
      </w:r>
      <w:r w:rsidRPr="00CB3B92">
        <w:rPr>
          <w:rFonts w:eastAsiaTheme="majorEastAsia" w:cs="Arial"/>
          <w:color w:val="000000" w:themeColor="text1"/>
          <w:sz w:val="24"/>
          <w:szCs w:val="24"/>
        </w:rPr>
        <w:lastRenderedPageBreak/>
        <w:t>should</w:t>
      </w:r>
      <w:r>
        <w:rPr>
          <w:rFonts w:eastAsiaTheme="majorEastAsia" w:cs="Arial"/>
          <w:color w:val="000000" w:themeColor="text1"/>
          <w:sz w:val="24"/>
          <w:szCs w:val="24"/>
        </w:rPr>
        <w:t xml:space="preserve"> </w:t>
      </w:r>
      <w:r w:rsidRPr="00CB3B92">
        <w:rPr>
          <w:rFonts w:eastAsiaTheme="majorEastAsia" w:cs="Arial"/>
          <w:color w:val="000000" w:themeColor="text1"/>
          <w:sz w:val="24"/>
          <w:szCs w:val="24"/>
        </w:rPr>
        <w:t>n</w:t>
      </w:r>
      <w:r>
        <w:rPr>
          <w:rFonts w:eastAsiaTheme="majorEastAsia" w:cs="Arial"/>
          <w:color w:val="000000" w:themeColor="text1"/>
          <w:sz w:val="24"/>
          <w:szCs w:val="24"/>
        </w:rPr>
        <w:t>o</w:t>
      </w:r>
      <w:r w:rsidRPr="00CB3B92">
        <w:rPr>
          <w:rFonts w:eastAsiaTheme="majorEastAsia" w:cs="Arial"/>
          <w:color w:val="000000" w:themeColor="text1"/>
          <w:sz w:val="24"/>
          <w:szCs w:val="24"/>
        </w:rPr>
        <w:t>t deter policy makers in considering lowering lead levels</w:t>
      </w:r>
      <w:r>
        <w:rPr>
          <w:rFonts w:eastAsiaTheme="majorEastAsia" w:cs="Arial"/>
          <w:color w:val="000000" w:themeColor="text1"/>
          <w:sz w:val="24"/>
          <w:szCs w:val="24"/>
        </w:rPr>
        <w:t>, as imported products currently must meet the same rules as those manufactured domestically via the WMCS</w:t>
      </w:r>
      <w:r w:rsidRPr="00CB3B92">
        <w:rPr>
          <w:rFonts w:eastAsiaTheme="majorEastAsia" w:cs="Arial"/>
          <w:color w:val="000000" w:themeColor="text1"/>
          <w:sz w:val="24"/>
          <w:szCs w:val="24"/>
        </w:rPr>
        <w:t xml:space="preserve">.  </w:t>
      </w:r>
    </w:p>
    <w:p w14:paraId="60170D08" w14:textId="303D08F1" w:rsidR="00442DC7" w:rsidRPr="00D04F67" w:rsidRDefault="00442DC7" w:rsidP="008758F9">
      <w:pPr>
        <w:spacing w:line="360" w:lineRule="auto"/>
        <w:jc w:val="both"/>
        <w:rPr>
          <w:rFonts w:eastAsiaTheme="majorEastAsia" w:cs="Arial"/>
          <w:color w:val="000000" w:themeColor="text1"/>
          <w:sz w:val="24"/>
          <w:szCs w:val="24"/>
        </w:rPr>
      </w:pPr>
      <w:r w:rsidRPr="00CB3B92">
        <w:rPr>
          <w:rFonts w:eastAsiaTheme="majorEastAsia" w:cs="Arial"/>
          <w:color w:val="000000" w:themeColor="text1"/>
          <w:sz w:val="24"/>
          <w:szCs w:val="24"/>
        </w:rPr>
        <w:t xml:space="preserve">The effectiveness of the policy change will be influenced by the extent </w:t>
      </w:r>
      <w:r>
        <w:rPr>
          <w:rFonts w:eastAsiaTheme="majorEastAsia" w:cs="Arial"/>
          <w:color w:val="000000" w:themeColor="text1"/>
          <w:sz w:val="24"/>
          <w:szCs w:val="24"/>
        </w:rPr>
        <w:t>the WMCS</w:t>
      </w:r>
      <w:r w:rsidRPr="00CB3B92">
        <w:rPr>
          <w:rFonts w:eastAsiaTheme="majorEastAsia" w:cs="Arial"/>
          <w:color w:val="000000" w:themeColor="text1"/>
          <w:sz w:val="24"/>
          <w:szCs w:val="24"/>
        </w:rPr>
        <w:t xml:space="preserve"> is enforced </w:t>
      </w:r>
      <w:r>
        <w:rPr>
          <w:rFonts w:eastAsiaTheme="majorEastAsia" w:cs="Arial"/>
          <w:color w:val="000000" w:themeColor="text1"/>
          <w:sz w:val="24"/>
          <w:szCs w:val="24"/>
        </w:rPr>
        <w:t>by</w:t>
      </w:r>
      <w:r w:rsidRPr="00CB3B92">
        <w:rPr>
          <w:rFonts w:eastAsiaTheme="majorEastAsia" w:cs="Arial"/>
          <w:color w:val="000000" w:themeColor="text1"/>
          <w:sz w:val="24"/>
          <w:szCs w:val="24"/>
        </w:rPr>
        <w:t xml:space="preserve"> State and Territory </w:t>
      </w:r>
      <w:r w:rsidR="00F43521">
        <w:rPr>
          <w:rFonts w:eastAsiaTheme="majorEastAsia" w:cs="Arial"/>
          <w:color w:val="000000" w:themeColor="text1"/>
          <w:sz w:val="24"/>
          <w:szCs w:val="24"/>
        </w:rPr>
        <w:t xml:space="preserve">plumbing </w:t>
      </w:r>
      <w:r w:rsidRPr="00CB3B92">
        <w:rPr>
          <w:rFonts w:eastAsiaTheme="majorEastAsia" w:cs="Arial"/>
          <w:color w:val="000000" w:themeColor="text1"/>
          <w:sz w:val="24"/>
          <w:szCs w:val="24"/>
        </w:rPr>
        <w:t>authorities.</w:t>
      </w:r>
      <w:r>
        <w:rPr>
          <w:rFonts w:eastAsiaTheme="majorEastAsia" w:cs="Arial"/>
          <w:color w:val="000000" w:themeColor="text1"/>
          <w:sz w:val="24"/>
          <w:szCs w:val="24"/>
        </w:rPr>
        <w:t xml:space="preserve"> Current enforcement levels are assumed not to play a role in the nature of the problem. </w:t>
      </w:r>
    </w:p>
    <w:p w14:paraId="5C95344B" w14:textId="154CF064" w:rsidR="00442DC7" w:rsidRPr="00B27115" w:rsidRDefault="00442DC7" w:rsidP="008758F9">
      <w:pPr>
        <w:spacing w:line="360" w:lineRule="auto"/>
        <w:jc w:val="both"/>
        <w:rPr>
          <w:rFonts w:eastAsiaTheme="majorEastAsia" w:cs="Arial"/>
          <w:color w:val="000000" w:themeColor="text1"/>
          <w:sz w:val="24"/>
          <w:szCs w:val="24"/>
        </w:rPr>
      </w:pPr>
      <w:bookmarkStart w:id="295" w:name="_Toc71195753"/>
      <w:bookmarkStart w:id="296" w:name="_Toc71789294"/>
      <w:r w:rsidRPr="008758F9">
        <w:rPr>
          <w:rFonts w:cs="Arial"/>
          <w:sz w:val="24"/>
          <w:szCs w:val="24"/>
        </w:rPr>
        <w:t xml:space="preserve">The </w:t>
      </w:r>
      <w:r w:rsidR="00F43521">
        <w:rPr>
          <w:rFonts w:cs="Arial"/>
          <w:sz w:val="24"/>
          <w:szCs w:val="24"/>
        </w:rPr>
        <w:t xml:space="preserve">ABCB </w:t>
      </w:r>
      <w:r w:rsidRPr="008758F9">
        <w:rPr>
          <w:rFonts w:cs="Arial"/>
          <w:sz w:val="24"/>
          <w:szCs w:val="24"/>
        </w:rPr>
        <w:t>Board recently committed to strengthen</w:t>
      </w:r>
      <w:r>
        <w:rPr>
          <w:rFonts w:cs="Arial"/>
          <w:sz w:val="24"/>
          <w:szCs w:val="24"/>
        </w:rPr>
        <w:t>ing</w:t>
      </w:r>
      <w:r w:rsidRPr="008758F9">
        <w:rPr>
          <w:rFonts w:cs="Arial"/>
          <w:sz w:val="24"/>
          <w:szCs w:val="24"/>
        </w:rPr>
        <w:t xml:space="preserve"> existing arrangements before considering point of sale regulations for the WMCS. </w:t>
      </w:r>
      <w:r w:rsidRPr="008758F9">
        <w:rPr>
          <w:rFonts w:eastAsiaTheme="majorEastAsia" w:cs="Arial"/>
          <w:color w:val="000000" w:themeColor="text1"/>
          <w:sz w:val="24"/>
          <w:szCs w:val="24"/>
        </w:rPr>
        <w:t>Key</w:t>
      </w:r>
      <w:r w:rsidRPr="00B27115">
        <w:rPr>
          <w:rFonts w:eastAsiaTheme="majorEastAsia" w:cs="Arial"/>
          <w:color w:val="000000" w:themeColor="text1"/>
          <w:sz w:val="24"/>
          <w:szCs w:val="24"/>
        </w:rPr>
        <w:t xml:space="preserve"> findings </w:t>
      </w:r>
      <w:r>
        <w:rPr>
          <w:rFonts w:eastAsiaTheme="majorEastAsia" w:cs="Arial"/>
          <w:color w:val="000000" w:themeColor="text1"/>
          <w:sz w:val="24"/>
          <w:szCs w:val="24"/>
        </w:rPr>
        <w:t xml:space="preserve">of </w:t>
      </w:r>
      <w:r w:rsidR="0038559E">
        <w:rPr>
          <w:rFonts w:eastAsiaTheme="majorEastAsia" w:cs="Arial"/>
          <w:color w:val="000000" w:themeColor="text1"/>
          <w:sz w:val="24"/>
          <w:szCs w:val="24"/>
        </w:rPr>
        <w:t>a review and report by</w:t>
      </w:r>
      <w:r>
        <w:rPr>
          <w:rFonts w:eastAsiaTheme="majorEastAsia" w:cs="Arial"/>
          <w:color w:val="000000" w:themeColor="text1"/>
          <w:sz w:val="24"/>
          <w:szCs w:val="24"/>
        </w:rPr>
        <w:t xml:space="preserve"> AIther </w:t>
      </w:r>
      <w:r w:rsidRPr="00B27115">
        <w:rPr>
          <w:rFonts w:eastAsiaTheme="majorEastAsia" w:cs="Arial"/>
          <w:color w:val="000000" w:themeColor="text1"/>
          <w:sz w:val="24"/>
          <w:szCs w:val="24"/>
        </w:rPr>
        <w:t xml:space="preserve">were that compliance with </w:t>
      </w:r>
      <w:r>
        <w:rPr>
          <w:rFonts w:eastAsiaTheme="majorEastAsia" w:cs="Arial"/>
          <w:color w:val="000000" w:themeColor="text1"/>
          <w:sz w:val="24"/>
          <w:szCs w:val="24"/>
        </w:rPr>
        <w:t xml:space="preserve">the </w:t>
      </w:r>
      <w:r w:rsidRPr="00B27115">
        <w:rPr>
          <w:rFonts w:eastAsiaTheme="majorEastAsia" w:cs="Arial"/>
          <w:color w:val="000000" w:themeColor="text1"/>
          <w:sz w:val="24"/>
          <w:szCs w:val="24"/>
        </w:rPr>
        <w:t>WM</w:t>
      </w:r>
      <w:r>
        <w:rPr>
          <w:rFonts w:eastAsiaTheme="majorEastAsia" w:cs="Arial"/>
          <w:color w:val="000000" w:themeColor="text1"/>
          <w:sz w:val="24"/>
          <w:szCs w:val="24"/>
        </w:rPr>
        <w:t>CS</w:t>
      </w:r>
      <w:r w:rsidRPr="00B27115">
        <w:rPr>
          <w:rFonts w:eastAsiaTheme="majorEastAsia" w:cs="Arial"/>
          <w:color w:val="000000" w:themeColor="text1"/>
          <w:sz w:val="24"/>
          <w:szCs w:val="24"/>
        </w:rPr>
        <w:t xml:space="preserve"> </w:t>
      </w:r>
      <w:r>
        <w:rPr>
          <w:rFonts w:eastAsiaTheme="majorEastAsia" w:cs="Arial"/>
          <w:color w:val="000000" w:themeColor="text1"/>
          <w:sz w:val="24"/>
          <w:szCs w:val="24"/>
        </w:rPr>
        <w:t>was likely to</w:t>
      </w:r>
      <w:r w:rsidRPr="00B27115">
        <w:rPr>
          <w:rFonts w:eastAsiaTheme="majorEastAsia" w:cs="Arial"/>
          <w:color w:val="000000" w:themeColor="text1"/>
          <w:sz w:val="24"/>
          <w:szCs w:val="24"/>
        </w:rPr>
        <w:t xml:space="preserve"> increase when:</w:t>
      </w:r>
    </w:p>
    <w:p w14:paraId="7A8A76FA" w14:textId="606B52E0" w:rsidR="00442DC7" w:rsidRDefault="0038559E" w:rsidP="008758F9">
      <w:pPr>
        <w:pStyle w:val="ListParagraph"/>
        <w:numPr>
          <w:ilvl w:val="0"/>
          <w:numId w:val="71"/>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t</w:t>
      </w:r>
      <w:r w:rsidR="00442DC7" w:rsidRPr="008758F9">
        <w:rPr>
          <w:rFonts w:eastAsiaTheme="majorEastAsia" w:cs="Arial"/>
          <w:color w:val="000000" w:themeColor="text1"/>
          <w:sz w:val="24"/>
          <w:szCs w:val="24"/>
        </w:rPr>
        <w:t>he improved single level scheme was fully implemented</w:t>
      </w:r>
    </w:p>
    <w:p w14:paraId="2ECF1E1C" w14:textId="53B32779" w:rsidR="00442DC7" w:rsidRPr="008758F9" w:rsidRDefault="0038559E" w:rsidP="008758F9">
      <w:pPr>
        <w:pStyle w:val="ListParagraph"/>
        <w:numPr>
          <w:ilvl w:val="0"/>
          <w:numId w:val="71"/>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c</w:t>
      </w:r>
      <w:r w:rsidR="00442DC7" w:rsidRPr="008758F9">
        <w:rPr>
          <w:rFonts w:eastAsiaTheme="majorEastAsia" w:cs="Arial"/>
          <w:color w:val="000000" w:themeColor="text1"/>
          <w:sz w:val="24"/>
          <w:szCs w:val="24"/>
        </w:rPr>
        <w:t>oncerted education and awareness activity was undertaken across the whole supply chain.</w:t>
      </w:r>
    </w:p>
    <w:p w14:paraId="1AD7EE87" w14:textId="77777777" w:rsidR="00442DC7" w:rsidRDefault="00442DC7" w:rsidP="008758F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At a m</w:t>
      </w:r>
      <w:r w:rsidRPr="00B90154">
        <w:rPr>
          <w:rFonts w:eastAsiaTheme="majorEastAsia" w:cs="Arial"/>
          <w:color w:val="000000" w:themeColor="text1"/>
          <w:sz w:val="24"/>
          <w:szCs w:val="24"/>
        </w:rPr>
        <w:t>inimum</w:t>
      </w:r>
      <w:r>
        <w:rPr>
          <w:rFonts w:eastAsiaTheme="majorEastAsia" w:cs="Arial"/>
          <w:color w:val="000000" w:themeColor="text1"/>
          <w:sz w:val="24"/>
          <w:szCs w:val="24"/>
        </w:rPr>
        <w:t>, the WMCS</w:t>
      </w:r>
      <w:r w:rsidRPr="00B90154">
        <w:rPr>
          <w:rFonts w:eastAsiaTheme="majorEastAsia" w:cs="Arial"/>
          <w:color w:val="000000" w:themeColor="text1"/>
          <w:sz w:val="24"/>
          <w:szCs w:val="24"/>
        </w:rPr>
        <w:t xml:space="preserve"> </w:t>
      </w:r>
      <w:r>
        <w:rPr>
          <w:rFonts w:eastAsiaTheme="majorEastAsia" w:cs="Arial"/>
          <w:color w:val="000000" w:themeColor="text1"/>
          <w:sz w:val="24"/>
          <w:szCs w:val="24"/>
        </w:rPr>
        <w:t>presently</w:t>
      </w:r>
      <w:r w:rsidRPr="00B90154">
        <w:rPr>
          <w:rFonts w:eastAsiaTheme="majorEastAsia" w:cs="Arial"/>
          <w:color w:val="000000" w:themeColor="text1"/>
          <w:sz w:val="24"/>
          <w:szCs w:val="24"/>
        </w:rPr>
        <w:t xml:space="preserve"> require</w:t>
      </w:r>
      <w:r>
        <w:rPr>
          <w:rFonts w:eastAsiaTheme="majorEastAsia" w:cs="Arial"/>
          <w:color w:val="000000" w:themeColor="text1"/>
          <w:sz w:val="24"/>
          <w:szCs w:val="24"/>
        </w:rPr>
        <w:t>s an initial factory assessment and re-assessment every five years for re-certification (at each manufacturing site), coupled with annual product conformity surveillance. At a minimum, this surveillance comprises:</w:t>
      </w:r>
    </w:p>
    <w:p w14:paraId="77773BEF" w14:textId="10773961" w:rsidR="00442DC7" w:rsidRDefault="0038559E" w:rsidP="008758F9">
      <w:pPr>
        <w:pStyle w:val="ListParagraph"/>
        <w:numPr>
          <w:ilvl w:val="0"/>
          <w:numId w:val="72"/>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r</w:t>
      </w:r>
      <w:r w:rsidR="00442DC7" w:rsidRPr="008758F9">
        <w:rPr>
          <w:rFonts w:eastAsiaTheme="majorEastAsia" w:cs="Arial"/>
          <w:color w:val="000000" w:themeColor="text1"/>
          <w:sz w:val="24"/>
          <w:szCs w:val="24"/>
        </w:rPr>
        <w:t>eview of type testing as per the product specification and when there has been any change to the product specification, design, material, manufa</w:t>
      </w:r>
      <w:r w:rsidR="00CE71D1">
        <w:rPr>
          <w:rFonts w:eastAsiaTheme="majorEastAsia" w:cs="Arial"/>
          <w:color w:val="000000" w:themeColor="text1"/>
          <w:sz w:val="24"/>
          <w:szCs w:val="24"/>
        </w:rPr>
        <w:t>cturing process or location</w:t>
      </w:r>
    </w:p>
    <w:p w14:paraId="0AB745F3" w14:textId="7E42B6CA" w:rsidR="00442DC7" w:rsidRDefault="0038559E" w:rsidP="008758F9">
      <w:pPr>
        <w:pStyle w:val="ListParagraph"/>
        <w:numPr>
          <w:ilvl w:val="0"/>
          <w:numId w:val="72"/>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p</w:t>
      </w:r>
      <w:r w:rsidR="00442DC7" w:rsidRPr="008758F9">
        <w:rPr>
          <w:rFonts w:eastAsiaTheme="majorEastAsia" w:cs="Arial"/>
          <w:color w:val="000000" w:themeColor="text1"/>
          <w:sz w:val="24"/>
          <w:szCs w:val="24"/>
        </w:rPr>
        <w:t>roduct inspection of samples from, or intended</w:t>
      </w:r>
      <w:r w:rsidR="00CE71D1">
        <w:rPr>
          <w:rFonts w:eastAsiaTheme="majorEastAsia" w:cs="Arial"/>
          <w:color w:val="000000" w:themeColor="text1"/>
          <w:sz w:val="24"/>
          <w:szCs w:val="24"/>
        </w:rPr>
        <w:t xml:space="preserve"> for, the Australian market</w:t>
      </w:r>
    </w:p>
    <w:p w14:paraId="013CC246" w14:textId="570EA94F" w:rsidR="00442DC7" w:rsidRDefault="0038559E" w:rsidP="008758F9">
      <w:pPr>
        <w:pStyle w:val="ListParagraph"/>
        <w:numPr>
          <w:ilvl w:val="0"/>
          <w:numId w:val="72"/>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a</w:t>
      </w:r>
      <w:r w:rsidR="00442DC7" w:rsidRPr="008758F9">
        <w:rPr>
          <w:rFonts w:eastAsiaTheme="majorEastAsia" w:cs="Arial"/>
          <w:color w:val="000000" w:themeColor="text1"/>
          <w:sz w:val="24"/>
          <w:szCs w:val="24"/>
        </w:rPr>
        <w:t xml:space="preserve"> desk top review, including an annual manufacturer’s</w:t>
      </w:r>
      <w:r w:rsidR="00CE71D1">
        <w:rPr>
          <w:rFonts w:eastAsiaTheme="majorEastAsia" w:cs="Arial"/>
          <w:color w:val="000000" w:themeColor="text1"/>
          <w:sz w:val="24"/>
          <w:szCs w:val="24"/>
        </w:rPr>
        <w:t xml:space="preserve"> declaration of conformity</w:t>
      </w:r>
    </w:p>
    <w:p w14:paraId="22D784DF" w14:textId="64F73C63" w:rsidR="00442DC7" w:rsidRPr="008758F9" w:rsidRDefault="0038559E" w:rsidP="008758F9">
      <w:pPr>
        <w:pStyle w:val="ListParagraph"/>
        <w:numPr>
          <w:ilvl w:val="0"/>
          <w:numId w:val="72"/>
        </w:num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i</w:t>
      </w:r>
      <w:r w:rsidR="00442DC7" w:rsidRPr="008758F9">
        <w:rPr>
          <w:rFonts w:eastAsiaTheme="majorEastAsia" w:cs="Arial"/>
          <w:color w:val="000000" w:themeColor="text1"/>
          <w:sz w:val="24"/>
          <w:szCs w:val="24"/>
        </w:rPr>
        <w:t xml:space="preserve">nvestigation and resolution of any concerns arising from this annual review, which may require factory assessment and product testing. </w:t>
      </w:r>
    </w:p>
    <w:p w14:paraId="4111266C" w14:textId="5CC6185B" w:rsidR="00442DC7" w:rsidRDefault="00442DC7" w:rsidP="008758F9">
      <w:pPr>
        <w:spacing w:line="360" w:lineRule="auto"/>
        <w:jc w:val="both"/>
        <w:rPr>
          <w:rFonts w:eastAsiaTheme="majorEastAsia" w:cs="Arial"/>
          <w:color w:val="000000" w:themeColor="text1"/>
          <w:sz w:val="24"/>
          <w:szCs w:val="24"/>
        </w:rPr>
      </w:pPr>
      <w:r w:rsidRPr="00B90154">
        <w:rPr>
          <w:rFonts w:eastAsiaTheme="majorEastAsia" w:cs="Arial"/>
          <w:color w:val="000000" w:themeColor="text1"/>
          <w:sz w:val="24"/>
          <w:szCs w:val="24"/>
        </w:rPr>
        <w:t xml:space="preserve">However, </w:t>
      </w:r>
      <w:r>
        <w:rPr>
          <w:rFonts w:eastAsiaTheme="majorEastAsia" w:cs="Arial"/>
          <w:color w:val="000000" w:themeColor="text1"/>
          <w:sz w:val="24"/>
          <w:szCs w:val="24"/>
        </w:rPr>
        <w:t xml:space="preserve">testing, </w:t>
      </w:r>
      <w:r w:rsidRPr="00B90154">
        <w:rPr>
          <w:rFonts w:eastAsiaTheme="majorEastAsia" w:cs="Arial"/>
          <w:color w:val="000000" w:themeColor="text1"/>
          <w:sz w:val="24"/>
          <w:szCs w:val="24"/>
        </w:rPr>
        <w:t>surveillance</w:t>
      </w:r>
      <w:r>
        <w:rPr>
          <w:rFonts w:eastAsiaTheme="majorEastAsia" w:cs="Arial"/>
          <w:color w:val="000000" w:themeColor="text1"/>
          <w:sz w:val="24"/>
          <w:szCs w:val="24"/>
        </w:rPr>
        <w:t xml:space="preserve"> and inspection</w:t>
      </w:r>
      <w:r w:rsidRPr="00B90154">
        <w:rPr>
          <w:rFonts w:eastAsiaTheme="majorEastAsia" w:cs="Arial"/>
          <w:color w:val="000000" w:themeColor="text1"/>
          <w:sz w:val="24"/>
          <w:szCs w:val="24"/>
        </w:rPr>
        <w:t xml:space="preserve"> regimes are included in Appendix A of each product specification. Product</w:t>
      </w:r>
      <w:r>
        <w:rPr>
          <w:rFonts w:eastAsiaTheme="majorEastAsia" w:cs="Arial"/>
          <w:color w:val="000000" w:themeColor="text1"/>
          <w:sz w:val="24"/>
          <w:szCs w:val="24"/>
        </w:rPr>
        <w:t xml:space="preserve">s or </w:t>
      </w:r>
      <w:r w:rsidRPr="00B90154">
        <w:rPr>
          <w:rFonts w:eastAsiaTheme="majorEastAsia" w:cs="Arial"/>
          <w:color w:val="000000" w:themeColor="text1"/>
          <w:sz w:val="24"/>
          <w:szCs w:val="24"/>
        </w:rPr>
        <w:t>components with a high sensitivity to the manufacturing process, i</w:t>
      </w:r>
      <w:r>
        <w:rPr>
          <w:rFonts w:eastAsiaTheme="majorEastAsia" w:cs="Arial"/>
          <w:color w:val="000000" w:themeColor="text1"/>
          <w:sz w:val="24"/>
          <w:szCs w:val="24"/>
        </w:rPr>
        <w:t>.</w:t>
      </w:r>
      <w:r w:rsidRPr="00B90154">
        <w:rPr>
          <w:rFonts w:eastAsiaTheme="majorEastAsia" w:cs="Arial"/>
          <w:color w:val="000000" w:themeColor="text1"/>
          <w:sz w:val="24"/>
          <w:szCs w:val="24"/>
        </w:rPr>
        <w:t>e</w:t>
      </w:r>
      <w:r>
        <w:rPr>
          <w:rFonts w:eastAsiaTheme="majorEastAsia" w:cs="Arial"/>
          <w:color w:val="000000" w:themeColor="text1"/>
          <w:sz w:val="24"/>
          <w:szCs w:val="24"/>
        </w:rPr>
        <w:t>.</w:t>
      </w:r>
      <w:r w:rsidRPr="00B90154">
        <w:rPr>
          <w:rFonts w:eastAsiaTheme="majorEastAsia" w:cs="Arial"/>
          <w:color w:val="000000" w:themeColor="text1"/>
          <w:sz w:val="24"/>
          <w:szCs w:val="24"/>
        </w:rPr>
        <w:t xml:space="preserve"> a propensity </w:t>
      </w:r>
      <w:r>
        <w:rPr>
          <w:rFonts w:eastAsiaTheme="majorEastAsia" w:cs="Arial"/>
          <w:color w:val="000000" w:themeColor="text1"/>
          <w:sz w:val="24"/>
          <w:szCs w:val="24"/>
        </w:rPr>
        <w:t>for non-</w:t>
      </w:r>
      <w:r w:rsidRPr="00B90154">
        <w:rPr>
          <w:rFonts w:eastAsiaTheme="majorEastAsia" w:cs="Arial"/>
          <w:color w:val="000000" w:themeColor="text1"/>
          <w:sz w:val="24"/>
          <w:szCs w:val="24"/>
        </w:rPr>
        <w:t>conformance with the product specification during manufacture</w:t>
      </w:r>
      <w:r>
        <w:rPr>
          <w:rFonts w:eastAsiaTheme="majorEastAsia" w:cs="Arial"/>
          <w:color w:val="000000" w:themeColor="text1"/>
          <w:sz w:val="24"/>
          <w:szCs w:val="24"/>
        </w:rPr>
        <w:t xml:space="preserve"> (rather than due to</w:t>
      </w:r>
      <w:r w:rsidRPr="00B90154">
        <w:rPr>
          <w:rFonts w:eastAsiaTheme="majorEastAsia" w:cs="Arial"/>
          <w:color w:val="000000" w:themeColor="text1"/>
          <w:sz w:val="24"/>
          <w:szCs w:val="24"/>
        </w:rPr>
        <w:t xml:space="preserve"> the design), </w:t>
      </w:r>
      <w:r>
        <w:rPr>
          <w:rFonts w:eastAsiaTheme="majorEastAsia" w:cs="Arial"/>
          <w:color w:val="000000" w:themeColor="text1"/>
          <w:sz w:val="24"/>
          <w:szCs w:val="24"/>
        </w:rPr>
        <w:t>should</w:t>
      </w:r>
      <w:r w:rsidRPr="00B90154">
        <w:rPr>
          <w:rFonts w:eastAsiaTheme="majorEastAsia" w:cs="Arial"/>
          <w:color w:val="000000" w:themeColor="text1"/>
          <w:sz w:val="24"/>
          <w:szCs w:val="24"/>
        </w:rPr>
        <w:t xml:space="preserve"> have a commensurate </w:t>
      </w:r>
      <w:r>
        <w:rPr>
          <w:rFonts w:eastAsiaTheme="majorEastAsia" w:cs="Arial"/>
          <w:color w:val="000000" w:themeColor="text1"/>
          <w:sz w:val="24"/>
          <w:szCs w:val="24"/>
        </w:rPr>
        <w:t>regime</w:t>
      </w:r>
      <w:r w:rsidRPr="00B90154">
        <w:rPr>
          <w:rFonts w:eastAsiaTheme="majorEastAsia" w:cs="Arial"/>
          <w:color w:val="000000" w:themeColor="text1"/>
          <w:sz w:val="24"/>
          <w:szCs w:val="24"/>
        </w:rPr>
        <w:t xml:space="preserve"> of facto</w:t>
      </w:r>
      <w:r w:rsidRPr="00337E15">
        <w:rPr>
          <w:rFonts w:eastAsiaTheme="majorEastAsia" w:cs="Arial"/>
          <w:color w:val="000000" w:themeColor="text1"/>
          <w:sz w:val="24"/>
          <w:szCs w:val="24"/>
        </w:rPr>
        <w:t>ry</w:t>
      </w:r>
      <w:r>
        <w:rPr>
          <w:rFonts w:eastAsiaTheme="majorEastAsia" w:cs="Arial"/>
          <w:color w:val="000000" w:themeColor="text1"/>
          <w:sz w:val="24"/>
          <w:szCs w:val="24"/>
        </w:rPr>
        <w:t xml:space="preserve"> and product </w:t>
      </w:r>
      <w:r w:rsidRPr="00B90154">
        <w:rPr>
          <w:rFonts w:eastAsiaTheme="majorEastAsia" w:cs="Arial"/>
          <w:color w:val="000000" w:themeColor="text1"/>
          <w:sz w:val="24"/>
          <w:szCs w:val="24"/>
        </w:rPr>
        <w:t>surveillance</w:t>
      </w:r>
      <w:r>
        <w:rPr>
          <w:rFonts w:eastAsiaTheme="majorEastAsia" w:cs="Arial"/>
          <w:color w:val="000000" w:themeColor="text1"/>
          <w:sz w:val="24"/>
          <w:szCs w:val="24"/>
        </w:rPr>
        <w:t xml:space="preserve"> stipulated in the product specification. </w:t>
      </w:r>
    </w:p>
    <w:p w14:paraId="49FBCBAF" w14:textId="465A0015" w:rsidR="00442DC7" w:rsidRPr="00B90154" w:rsidRDefault="00442DC7" w:rsidP="008758F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lastRenderedPageBreak/>
        <w:t xml:space="preserve">Should requirements for low lead products be mandated, the </w:t>
      </w:r>
      <w:r w:rsidR="00F43521">
        <w:rPr>
          <w:rFonts w:eastAsiaTheme="majorEastAsia" w:cs="Arial"/>
          <w:color w:val="000000" w:themeColor="text1"/>
          <w:sz w:val="24"/>
          <w:szCs w:val="24"/>
        </w:rPr>
        <w:t xml:space="preserve">ABCB as the </w:t>
      </w:r>
      <w:r>
        <w:rPr>
          <w:rFonts w:eastAsiaTheme="majorEastAsia" w:cs="Arial"/>
          <w:color w:val="000000" w:themeColor="text1"/>
          <w:sz w:val="24"/>
          <w:szCs w:val="24"/>
        </w:rPr>
        <w:t>WMCS</w:t>
      </w:r>
      <w:r w:rsidR="00F43521">
        <w:rPr>
          <w:rFonts w:eastAsiaTheme="majorEastAsia" w:cs="Arial"/>
          <w:color w:val="000000" w:themeColor="text1"/>
          <w:sz w:val="24"/>
          <w:szCs w:val="24"/>
        </w:rPr>
        <w:t>’s</w:t>
      </w:r>
      <w:r>
        <w:rPr>
          <w:rFonts w:eastAsiaTheme="majorEastAsia" w:cs="Arial"/>
          <w:color w:val="000000" w:themeColor="text1"/>
          <w:sz w:val="24"/>
          <w:szCs w:val="24"/>
        </w:rPr>
        <w:t xml:space="preserve"> Administering Body</w:t>
      </w:r>
      <w:r w:rsidR="00F43521">
        <w:rPr>
          <w:rFonts w:eastAsiaTheme="majorEastAsia" w:cs="Arial"/>
          <w:color w:val="000000" w:themeColor="text1"/>
          <w:sz w:val="24"/>
          <w:szCs w:val="24"/>
        </w:rPr>
        <w:t>,</w:t>
      </w:r>
      <w:r>
        <w:rPr>
          <w:rFonts w:eastAsiaTheme="majorEastAsia" w:cs="Arial"/>
          <w:color w:val="000000" w:themeColor="text1"/>
          <w:sz w:val="24"/>
          <w:szCs w:val="24"/>
        </w:rPr>
        <w:t xml:space="preserve"> could issue a Notice of Direction requiring WMCABs to undertake more frequent factory surveillance for some, or all, low lead products, until their respective specifications have been amended.</w:t>
      </w:r>
    </w:p>
    <w:p w14:paraId="5BC1D93B" w14:textId="129AE72C" w:rsidR="00442DC7" w:rsidRDefault="00442DC7" w:rsidP="008758F9">
      <w:pPr>
        <w:spacing w:line="360" w:lineRule="auto"/>
        <w:jc w:val="both"/>
        <w:rPr>
          <w:rFonts w:eastAsiaTheme="majorEastAsia" w:cs="Arial"/>
          <w:color w:val="000000" w:themeColor="text1"/>
          <w:sz w:val="24"/>
          <w:szCs w:val="24"/>
        </w:rPr>
      </w:pPr>
      <w:r w:rsidRPr="00B90154">
        <w:rPr>
          <w:rFonts w:eastAsiaTheme="majorEastAsia" w:cs="Arial"/>
          <w:color w:val="000000" w:themeColor="text1"/>
          <w:sz w:val="24"/>
          <w:szCs w:val="24"/>
        </w:rPr>
        <w:t>Similarly</w:t>
      </w:r>
      <w:r>
        <w:rPr>
          <w:rFonts w:eastAsiaTheme="majorEastAsia" w:cs="Arial"/>
          <w:color w:val="000000" w:themeColor="text1"/>
          <w:sz w:val="24"/>
          <w:szCs w:val="24"/>
        </w:rPr>
        <w:t>, u</w:t>
      </w:r>
      <w:r w:rsidRPr="00B90154">
        <w:rPr>
          <w:rFonts w:eastAsiaTheme="majorEastAsia" w:cs="Arial"/>
          <w:color w:val="000000" w:themeColor="text1"/>
          <w:sz w:val="24"/>
          <w:szCs w:val="24"/>
        </w:rPr>
        <w:t>ntil all impacted W</w:t>
      </w:r>
      <w:r>
        <w:rPr>
          <w:rFonts w:eastAsiaTheme="majorEastAsia" w:cs="Arial"/>
          <w:color w:val="000000" w:themeColor="text1"/>
          <w:sz w:val="24"/>
          <w:szCs w:val="24"/>
        </w:rPr>
        <w:t>ater</w:t>
      </w:r>
      <w:r w:rsidRPr="00B90154">
        <w:rPr>
          <w:rFonts w:eastAsiaTheme="majorEastAsia" w:cs="Arial"/>
          <w:color w:val="000000" w:themeColor="text1"/>
          <w:sz w:val="24"/>
          <w:szCs w:val="24"/>
        </w:rPr>
        <w:t>M</w:t>
      </w:r>
      <w:r>
        <w:rPr>
          <w:rFonts w:eastAsiaTheme="majorEastAsia" w:cs="Arial"/>
          <w:color w:val="000000" w:themeColor="text1"/>
          <w:sz w:val="24"/>
          <w:szCs w:val="24"/>
        </w:rPr>
        <w:t>ark</w:t>
      </w:r>
      <w:r w:rsidRPr="00B90154">
        <w:rPr>
          <w:rFonts w:eastAsiaTheme="majorEastAsia" w:cs="Arial"/>
          <w:color w:val="000000" w:themeColor="text1"/>
          <w:sz w:val="24"/>
          <w:szCs w:val="24"/>
        </w:rPr>
        <w:t xml:space="preserve"> referenced product specifications</w:t>
      </w:r>
      <w:r>
        <w:rPr>
          <w:rFonts w:eastAsiaTheme="majorEastAsia" w:cs="Arial"/>
          <w:color w:val="000000" w:themeColor="text1"/>
          <w:sz w:val="24"/>
          <w:szCs w:val="24"/>
        </w:rPr>
        <w:t xml:space="preserve"> are updated to include the important </w:t>
      </w:r>
      <w:r w:rsidRPr="00B90154">
        <w:rPr>
          <w:rFonts w:eastAsiaTheme="majorEastAsia" w:cs="Arial"/>
          <w:color w:val="000000" w:themeColor="text1"/>
          <w:sz w:val="24"/>
          <w:szCs w:val="24"/>
        </w:rPr>
        <w:t>requirement</w:t>
      </w:r>
      <w:r>
        <w:rPr>
          <w:rFonts w:eastAsiaTheme="majorEastAsia" w:cs="Arial"/>
          <w:color w:val="000000" w:themeColor="text1"/>
          <w:sz w:val="24"/>
          <w:szCs w:val="24"/>
        </w:rPr>
        <w:t>s</w:t>
      </w:r>
      <w:r w:rsidRPr="00B90154">
        <w:rPr>
          <w:rFonts w:eastAsiaTheme="majorEastAsia" w:cs="Arial"/>
          <w:color w:val="000000" w:themeColor="text1"/>
          <w:sz w:val="24"/>
          <w:szCs w:val="24"/>
        </w:rPr>
        <w:t xml:space="preserve"> for acid rinsing </w:t>
      </w:r>
      <w:r>
        <w:rPr>
          <w:rFonts w:eastAsiaTheme="majorEastAsia" w:cs="Arial"/>
          <w:color w:val="000000" w:themeColor="text1"/>
          <w:sz w:val="24"/>
          <w:szCs w:val="24"/>
        </w:rPr>
        <w:t xml:space="preserve">of products </w:t>
      </w:r>
      <w:r w:rsidRPr="00B90154">
        <w:rPr>
          <w:rFonts w:eastAsiaTheme="majorEastAsia" w:cs="Arial"/>
          <w:color w:val="000000" w:themeColor="text1"/>
          <w:sz w:val="24"/>
          <w:szCs w:val="24"/>
        </w:rPr>
        <w:t>and</w:t>
      </w:r>
      <w:r>
        <w:rPr>
          <w:rFonts w:eastAsiaTheme="majorEastAsia" w:cs="Arial"/>
          <w:color w:val="000000" w:themeColor="text1"/>
          <w:sz w:val="24"/>
          <w:szCs w:val="24"/>
        </w:rPr>
        <w:t>/or</w:t>
      </w:r>
      <w:r w:rsidRPr="00B90154">
        <w:rPr>
          <w:rFonts w:eastAsiaTheme="majorEastAsia" w:cs="Arial"/>
          <w:color w:val="000000" w:themeColor="text1"/>
          <w:sz w:val="24"/>
          <w:szCs w:val="24"/>
        </w:rPr>
        <w:t xml:space="preserve"> suitable batch release testing</w:t>
      </w:r>
      <w:r>
        <w:rPr>
          <w:rFonts w:eastAsiaTheme="majorEastAsia" w:cs="Arial"/>
          <w:color w:val="000000" w:themeColor="text1"/>
          <w:sz w:val="24"/>
          <w:szCs w:val="24"/>
        </w:rPr>
        <w:t xml:space="preserve"> regimes</w:t>
      </w:r>
      <w:r w:rsidRPr="00B90154">
        <w:rPr>
          <w:rFonts w:eastAsiaTheme="majorEastAsia" w:cs="Arial"/>
          <w:color w:val="000000" w:themeColor="text1"/>
          <w:sz w:val="24"/>
          <w:szCs w:val="24"/>
        </w:rPr>
        <w:t xml:space="preserve">, </w:t>
      </w:r>
      <w:r>
        <w:rPr>
          <w:rFonts w:eastAsiaTheme="majorEastAsia" w:cs="Arial"/>
          <w:color w:val="000000" w:themeColor="text1"/>
          <w:sz w:val="24"/>
          <w:szCs w:val="24"/>
        </w:rPr>
        <w:t xml:space="preserve">the </w:t>
      </w:r>
      <w:r w:rsidR="00F43521">
        <w:rPr>
          <w:rFonts w:eastAsiaTheme="majorEastAsia" w:cs="Arial"/>
          <w:color w:val="000000" w:themeColor="text1"/>
          <w:sz w:val="24"/>
          <w:szCs w:val="24"/>
        </w:rPr>
        <w:t xml:space="preserve">ABCB as the </w:t>
      </w:r>
      <w:r>
        <w:rPr>
          <w:rFonts w:eastAsiaTheme="majorEastAsia" w:cs="Arial"/>
          <w:color w:val="000000" w:themeColor="text1"/>
          <w:sz w:val="24"/>
          <w:szCs w:val="24"/>
        </w:rPr>
        <w:t>WMCS Administering Body</w:t>
      </w:r>
      <w:r w:rsidRPr="00B90154">
        <w:rPr>
          <w:rFonts w:eastAsiaTheme="majorEastAsia" w:cs="Arial"/>
          <w:color w:val="000000" w:themeColor="text1"/>
          <w:sz w:val="24"/>
          <w:szCs w:val="24"/>
        </w:rPr>
        <w:t xml:space="preserve"> could issue a Notice of Direction to WMCABs that they are to ensure that the licence holder’s manufacturing process include low lead appropriate acid rinsing and batch release testing regimes.</w:t>
      </w:r>
      <w:r>
        <w:rPr>
          <w:rFonts w:eastAsiaTheme="majorEastAsia" w:cs="Arial"/>
          <w:color w:val="000000" w:themeColor="text1"/>
          <w:sz w:val="24"/>
          <w:szCs w:val="24"/>
        </w:rPr>
        <w:t xml:space="preserve"> </w:t>
      </w:r>
    </w:p>
    <w:p w14:paraId="36B79269" w14:textId="74DD8D7D" w:rsidR="00442DC7" w:rsidRPr="00B90154" w:rsidRDefault="00442DC7" w:rsidP="008758F9">
      <w:pPr>
        <w:spacing w:line="360" w:lineRule="auto"/>
        <w:jc w:val="both"/>
        <w:rPr>
          <w:rFonts w:eastAsiaTheme="majorEastAsia" w:cs="Arial"/>
          <w:color w:val="000000" w:themeColor="text1"/>
          <w:sz w:val="24"/>
          <w:szCs w:val="24"/>
        </w:rPr>
      </w:pPr>
      <w:r>
        <w:rPr>
          <w:rFonts w:eastAsiaTheme="majorEastAsia" w:cs="Arial"/>
          <w:color w:val="000000" w:themeColor="text1"/>
          <w:sz w:val="24"/>
          <w:szCs w:val="24"/>
        </w:rPr>
        <w:t>These supporting mechanisms within the WMCS are available for the consideration of decision makers when contemplating the introduction of requirements for low lead products. They may be particularly effective at ensuring consistent compliance with the relatively new requirements for low lead products until such time as there can be confidence the domestic market has normalised a low lead environment.</w:t>
      </w:r>
    </w:p>
    <w:p w14:paraId="3CD028F5" w14:textId="6C3C02A2" w:rsidR="00442DC7" w:rsidRPr="00606555" w:rsidRDefault="00442DC7" w:rsidP="000B5120">
      <w:pPr>
        <w:pStyle w:val="Heading1"/>
        <w:spacing w:before="360" w:after="240"/>
        <w:rPr>
          <w:rFonts w:ascii="Arial" w:hAnsi="Arial" w:cs="Arial"/>
          <w:b w:val="0"/>
          <w:bCs w:val="0"/>
        </w:rPr>
      </w:pPr>
      <w:r w:rsidRPr="00606555">
        <w:rPr>
          <w:rFonts w:ascii="Arial" w:hAnsi="Arial" w:cs="Arial"/>
          <w:b w:val="0"/>
          <w:bCs w:val="0"/>
        </w:rPr>
        <w:t>Business compliance costs</w:t>
      </w:r>
      <w:bookmarkEnd w:id="290"/>
      <w:bookmarkEnd w:id="291"/>
      <w:bookmarkEnd w:id="292"/>
      <w:bookmarkEnd w:id="293"/>
      <w:bookmarkEnd w:id="294"/>
      <w:bookmarkEnd w:id="295"/>
      <w:bookmarkEnd w:id="296"/>
    </w:p>
    <w:p w14:paraId="18C01BB1" w14:textId="77777777" w:rsidR="00442DC7" w:rsidRPr="00606555" w:rsidRDefault="00442DC7" w:rsidP="004E234A">
      <w:pPr>
        <w:spacing w:after="120" w:line="360" w:lineRule="auto"/>
        <w:jc w:val="both"/>
        <w:rPr>
          <w:rFonts w:cs="Arial"/>
          <w:sz w:val="24"/>
          <w:szCs w:val="24"/>
        </w:rPr>
      </w:pPr>
      <w:r w:rsidRPr="00606555">
        <w:rPr>
          <w:rFonts w:cs="Arial"/>
          <w:sz w:val="24"/>
          <w:szCs w:val="24"/>
        </w:rPr>
        <w:t>Business compliance costs are assessed under the following checklist:</w:t>
      </w:r>
    </w:p>
    <w:p w14:paraId="1CF3233B" w14:textId="77777777" w:rsidR="00442DC7" w:rsidRPr="00606555" w:rsidRDefault="00442DC7" w:rsidP="009F7B64">
      <w:pPr>
        <w:numPr>
          <w:ilvl w:val="0"/>
          <w:numId w:val="7"/>
        </w:numPr>
        <w:spacing w:line="360" w:lineRule="auto"/>
        <w:contextualSpacing/>
        <w:jc w:val="both"/>
        <w:rPr>
          <w:rFonts w:cs="Arial"/>
          <w:sz w:val="24"/>
          <w:szCs w:val="24"/>
        </w:rPr>
      </w:pPr>
      <w:r w:rsidRPr="00606555">
        <w:rPr>
          <w:rFonts w:cs="Arial"/>
          <w:sz w:val="24"/>
          <w:szCs w:val="24"/>
        </w:rPr>
        <w:t>Notification – businesses will not be required to report certain events.</w:t>
      </w:r>
    </w:p>
    <w:p w14:paraId="369B3E50" w14:textId="77777777" w:rsidR="00442DC7" w:rsidRPr="00EF198E" w:rsidRDefault="00442DC7" w:rsidP="009F7B64">
      <w:pPr>
        <w:numPr>
          <w:ilvl w:val="0"/>
          <w:numId w:val="7"/>
        </w:numPr>
        <w:spacing w:line="360" w:lineRule="auto"/>
        <w:contextualSpacing/>
        <w:jc w:val="both"/>
        <w:rPr>
          <w:rFonts w:cs="Arial"/>
          <w:sz w:val="24"/>
          <w:szCs w:val="24"/>
        </w:rPr>
      </w:pPr>
      <w:r w:rsidRPr="00EF198E">
        <w:rPr>
          <w:rFonts w:cs="Arial"/>
          <w:sz w:val="24"/>
          <w:szCs w:val="24"/>
        </w:rPr>
        <w:t>Education – businesses will be required to keep abreast of regulatory requirements.</w:t>
      </w:r>
    </w:p>
    <w:p w14:paraId="7CB25F85" w14:textId="77777777" w:rsidR="00442DC7" w:rsidRPr="00EF198E" w:rsidRDefault="00442DC7" w:rsidP="009F7B64">
      <w:pPr>
        <w:numPr>
          <w:ilvl w:val="0"/>
          <w:numId w:val="7"/>
        </w:numPr>
        <w:spacing w:line="360" w:lineRule="auto"/>
        <w:contextualSpacing/>
        <w:jc w:val="both"/>
        <w:rPr>
          <w:rFonts w:cs="Arial"/>
          <w:sz w:val="24"/>
          <w:szCs w:val="24"/>
        </w:rPr>
      </w:pPr>
      <w:r w:rsidRPr="00EF198E">
        <w:rPr>
          <w:rFonts w:cs="Arial"/>
          <w:sz w:val="24"/>
          <w:szCs w:val="24"/>
        </w:rPr>
        <w:t>Permission – businesses will not need to seek permission to conduct an activity.</w:t>
      </w:r>
    </w:p>
    <w:p w14:paraId="62077710" w14:textId="77777777" w:rsidR="00442DC7" w:rsidRPr="00EF198E" w:rsidRDefault="00442DC7" w:rsidP="009F7B64">
      <w:pPr>
        <w:numPr>
          <w:ilvl w:val="0"/>
          <w:numId w:val="7"/>
        </w:numPr>
        <w:spacing w:line="360" w:lineRule="auto"/>
        <w:contextualSpacing/>
        <w:jc w:val="both"/>
        <w:rPr>
          <w:rFonts w:cs="Arial"/>
          <w:sz w:val="24"/>
          <w:szCs w:val="24"/>
        </w:rPr>
      </w:pPr>
      <w:r w:rsidRPr="00EF198E">
        <w:rPr>
          <w:rFonts w:cs="Arial"/>
          <w:sz w:val="24"/>
          <w:szCs w:val="24"/>
        </w:rPr>
        <w:t xml:space="preserve">Purchase cost – businesses </w:t>
      </w:r>
      <w:r>
        <w:rPr>
          <w:rFonts w:cs="Arial"/>
          <w:sz w:val="24"/>
          <w:szCs w:val="24"/>
        </w:rPr>
        <w:t>may be</w:t>
      </w:r>
      <w:r w:rsidRPr="00EF198E">
        <w:rPr>
          <w:rFonts w:cs="Arial"/>
          <w:sz w:val="24"/>
          <w:szCs w:val="24"/>
        </w:rPr>
        <w:t xml:space="preserve"> required to purchase items</w:t>
      </w:r>
      <w:r>
        <w:rPr>
          <w:rFonts w:cs="Arial"/>
          <w:sz w:val="24"/>
          <w:szCs w:val="24"/>
        </w:rPr>
        <w:t xml:space="preserve"> such as new manufacturing equipment</w:t>
      </w:r>
      <w:r w:rsidRPr="00EF198E">
        <w:rPr>
          <w:rFonts w:cs="Arial"/>
          <w:sz w:val="24"/>
          <w:szCs w:val="24"/>
        </w:rPr>
        <w:t>.</w:t>
      </w:r>
      <w:r>
        <w:rPr>
          <w:rFonts w:cs="Arial"/>
          <w:sz w:val="24"/>
          <w:szCs w:val="24"/>
        </w:rPr>
        <w:t xml:space="preserve"> This impact is embedded into the impacts of Option 2. </w:t>
      </w:r>
    </w:p>
    <w:p w14:paraId="536F837E" w14:textId="77777777" w:rsidR="00442DC7" w:rsidRPr="00EF198E" w:rsidRDefault="00442DC7" w:rsidP="009F7B64">
      <w:pPr>
        <w:numPr>
          <w:ilvl w:val="0"/>
          <w:numId w:val="7"/>
        </w:numPr>
        <w:spacing w:line="360" w:lineRule="auto"/>
        <w:contextualSpacing/>
        <w:jc w:val="both"/>
        <w:rPr>
          <w:rFonts w:cs="Arial"/>
          <w:sz w:val="24"/>
          <w:szCs w:val="24"/>
        </w:rPr>
      </w:pPr>
      <w:r w:rsidRPr="00EF198E">
        <w:rPr>
          <w:rFonts w:cs="Arial"/>
          <w:sz w:val="24"/>
          <w:szCs w:val="24"/>
        </w:rPr>
        <w:t>Record keeping – businesses will not be required to update their records.</w:t>
      </w:r>
    </w:p>
    <w:p w14:paraId="78145B14" w14:textId="77777777" w:rsidR="00442DC7" w:rsidRPr="00EF198E" w:rsidRDefault="00442DC7" w:rsidP="009F7B64">
      <w:pPr>
        <w:numPr>
          <w:ilvl w:val="0"/>
          <w:numId w:val="7"/>
        </w:numPr>
        <w:spacing w:line="360" w:lineRule="auto"/>
        <w:contextualSpacing/>
        <w:jc w:val="both"/>
        <w:rPr>
          <w:rFonts w:cs="Arial"/>
          <w:sz w:val="24"/>
          <w:szCs w:val="24"/>
        </w:rPr>
      </w:pPr>
      <w:r w:rsidRPr="00EF198E">
        <w:rPr>
          <w:rFonts w:cs="Arial"/>
          <w:sz w:val="24"/>
          <w:szCs w:val="24"/>
        </w:rPr>
        <w:t>Enforcement – businesses will not incur additional costs when cooperating with audits or inspections.</w:t>
      </w:r>
    </w:p>
    <w:p w14:paraId="3FF6F418" w14:textId="77777777" w:rsidR="00442DC7" w:rsidRPr="00EF198E" w:rsidRDefault="00442DC7" w:rsidP="009F7B64">
      <w:pPr>
        <w:numPr>
          <w:ilvl w:val="0"/>
          <w:numId w:val="7"/>
        </w:numPr>
        <w:spacing w:line="360" w:lineRule="auto"/>
        <w:contextualSpacing/>
        <w:jc w:val="both"/>
        <w:rPr>
          <w:rFonts w:cs="Arial"/>
          <w:sz w:val="24"/>
          <w:szCs w:val="24"/>
        </w:rPr>
      </w:pPr>
      <w:r w:rsidRPr="00EF198E">
        <w:rPr>
          <w:rFonts w:cs="Arial"/>
          <w:sz w:val="24"/>
          <w:szCs w:val="24"/>
        </w:rPr>
        <w:t>Publication and documentation – businesses will not incur costs of producing documents for third parties.</w:t>
      </w:r>
    </w:p>
    <w:p w14:paraId="7FFF10DC" w14:textId="77777777" w:rsidR="00442DC7" w:rsidRPr="00EF198E" w:rsidRDefault="00442DC7" w:rsidP="009F7B64">
      <w:pPr>
        <w:numPr>
          <w:ilvl w:val="0"/>
          <w:numId w:val="7"/>
        </w:numPr>
        <w:spacing w:line="360" w:lineRule="auto"/>
        <w:contextualSpacing/>
        <w:jc w:val="both"/>
        <w:rPr>
          <w:rFonts w:cs="Arial"/>
          <w:sz w:val="24"/>
          <w:szCs w:val="24"/>
        </w:rPr>
      </w:pPr>
      <w:r w:rsidRPr="00EF198E">
        <w:rPr>
          <w:rFonts w:cs="Arial"/>
          <w:sz w:val="24"/>
          <w:szCs w:val="24"/>
        </w:rPr>
        <w:t>Procedural – businesses will not incur cost of a non-administrative nature.</w:t>
      </w:r>
    </w:p>
    <w:p w14:paraId="7736C772" w14:textId="77777777" w:rsidR="00442DC7" w:rsidRPr="00D10CF8" w:rsidRDefault="00442DC7" w:rsidP="00D10CF8">
      <w:pPr>
        <w:numPr>
          <w:ilvl w:val="0"/>
          <w:numId w:val="7"/>
        </w:numPr>
        <w:spacing w:after="0" w:line="360" w:lineRule="auto"/>
        <w:ind w:left="714" w:hanging="357"/>
        <w:contextualSpacing/>
        <w:jc w:val="both"/>
        <w:rPr>
          <w:rFonts w:cs="Arial"/>
          <w:sz w:val="24"/>
          <w:szCs w:val="24"/>
        </w:rPr>
      </w:pPr>
      <w:r w:rsidRPr="00EF198E">
        <w:rPr>
          <w:rFonts w:cs="Arial"/>
          <w:sz w:val="24"/>
          <w:szCs w:val="24"/>
        </w:rPr>
        <w:lastRenderedPageBreak/>
        <w:t>Other – businesses will not incur any other costs other than those identified by the analysis.</w:t>
      </w:r>
      <w:bookmarkStart w:id="297" w:name="_Toc471734640"/>
      <w:bookmarkStart w:id="298" w:name="_Toc483834470"/>
      <w:bookmarkStart w:id="299" w:name="_Toc491078348"/>
      <w:bookmarkStart w:id="300" w:name="_Toc507170738"/>
    </w:p>
    <w:p w14:paraId="0B8E669D" w14:textId="77777777" w:rsidR="00442DC7" w:rsidRDefault="00442DC7">
      <w:pPr>
        <w:rPr>
          <w:rFonts w:eastAsiaTheme="majorEastAsia" w:cs="Arial"/>
          <w:color w:val="002060"/>
          <w:sz w:val="40"/>
          <w:szCs w:val="28"/>
        </w:rPr>
      </w:pPr>
      <w:r>
        <w:rPr>
          <w:rFonts w:cs="Arial"/>
          <w:b/>
          <w:bCs/>
        </w:rPr>
        <w:br w:type="page"/>
      </w:r>
    </w:p>
    <w:p w14:paraId="710354CC" w14:textId="77777777" w:rsidR="00442DC7" w:rsidRPr="000B675B" w:rsidRDefault="00442DC7" w:rsidP="00BB3884">
      <w:pPr>
        <w:pStyle w:val="Heading1"/>
        <w:spacing w:before="240" w:after="240"/>
        <w:rPr>
          <w:rFonts w:ascii="Arial" w:hAnsi="Arial" w:cs="Arial"/>
          <w:b w:val="0"/>
          <w:bCs w:val="0"/>
        </w:rPr>
      </w:pPr>
      <w:bookmarkStart w:id="301" w:name="_Toc71195754"/>
      <w:bookmarkStart w:id="302" w:name="_Toc71789295"/>
      <w:r w:rsidRPr="000B675B">
        <w:rPr>
          <w:rFonts w:ascii="Arial" w:hAnsi="Arial" w:cs="Arial"/>
          <w:b w:val="0"/>
          <w:bCs w:val="0"/>
        </w:rPr>
        <w:lastRenderedPageBreak/>
        <w:t>Regulatory burden</w:t>
      </w:r>
      <w:bookmarkEnd w:id="297"/>
      <w:bookmarkEnd w:id="298"/>
      <w:bookmarkEnd w:id="299"/>
      <w:bookmarkEnd w:id="300"/>
      <w:bookmarkEnd w:id="301"/>
      <w:bookmarkEnd w:id="302"/>
    </w:p>
    <w:p w14:paraId="27D9060E" w14:textId="77777777" w:rsidR="00442DC7" w:rsidRPr="00EF198E" w:rsidRDefault="00442DC7" w:rsidP="00606555">
      <w:pPr>
        <w:spacing w:before="120" w:after="120" w:line="360" w:lineRule="auto"/>
        <w:jc w:val="both"/>
        <w:rPr>
          <w:rFonts w:cs="Arial"/>
          <w:sz w:val="24"/>
          <w:szCs w:val="24"/>
        </w:rPr>
      </w:pPr>
      <w:r w:rsidRPr="00EF198E">
        <w:rPr>
          <w:rFonts w:cs="Arial"/>
          <w:sz w:val="24"/>
          <w:szCs w:val="24"/>
        </w:rPr>
        <w:t>The Australian Government has introduced the ‘Guide to Regulation’, which discusses the importance of cutting red tape.</w:t>
      </w:r>
    </w:p>
    <w:p w14:paraId="4BCA08F3" w14:textId="77777777" w:rsidR="00442DC7" w:rsidRPr="00EF198E" w:rsidRDefault="00442DC7" w:rsidP="00606555">
      <w:pPr>
        <w:spacing w:after="120" w:line="360" w:lineRule="auto"/>
        <w:jc w:val="both"/>
        <w:rPr>
          <w:rFonts w:cs="Arial"/>
          <w:sz w:val="24"/>
          <w:szCs w:val="24"/>
        </w:rPr>
      </w:pPr>
      <w:r w:rsidRPr="00EF198E">
        <w:rPr>
          <w:rFonts w:cs="Arial"/>
          <w:sz w:val="24"/>
          <w:szCs w:val="24"/>
        </w:rPr>
        <w:t>A key principle for Australian Government policy makers in the Guide to Regulation is that:</w:t>
      </w:r>
    </w:p>
    <w:p w14:paraId="20C61F28" w14:textId="77777777" w:rsidR="00442DC7" w:rsidRPr="00EF198E" w:rsidRDefault="00442DC7" w:rsidP="00606555">
      <w:pPr>
        <w:spacing w:after="120" w:line="360" w:lineRule="auto"/>
        <w:jc w:val="both"/>
        <w:rPr>
          <w:rFonts w:cs="Arial"/>
          <w:i/>
          <w:sz w:val="24"/>
          <w:szCs w:val="24"/>
        </w:rPr>
      </w:pPr>
      <w:r w:rsidRPr="00EF198E">
        <w:rPr>
          <w:rFonts w:cs="Arial"/>
          <w:i/>
          <w:sz w:val="24"/>
          <w:szCs w:val="24"/>
        </w:rPr>
        <w:t>The cost burden of new regulation must be fully offset by reductions in existing regulatory burden.</w:t>
      </w:r>
    </w:p>
    <w:p w14:paraId="6BA602F1" w14:textId="77777777" w:rsidR="00442DC7" w:rsidRPr="00EF198E" w:rsidRDefault="00442DC7" w:rsidP="00606555">
      <w:pPr>
        <w:spacing w:after="120" w:line="360" w:lineRule="auto"/>
        <w:jc w:val="both"/>
        <w:rPr>
          <w:rFonts w:cs="Arial"/>
          <w:sz w:val="24"/>
          <w:szCs w:val="24"/>
        </w:rPr>
      </w:pPr>
      <w:r w:rsidRPr="00EF198E">
        <w:rPr>
          <w:rFonts w:cs="Arial"/>
          <w:sz w:val="24"/>
          <w:szCs w:val="24"/>
        </w:rPr>
        <w:t>All regulatory costs, whether arising from new regulations or changes to existing regulation, must be quantified using the Regulatory Burden Measurement framework. The framework must also be used for quantifying offsetting regulatory savings, where applicable.</w:t>
      </w:r>
    </w:p>
    <w:p w14:paraId="5ACBC758" w14:textId="2A5CD1A4" w:rsidR="00442DC7" w:rsidRPr="00EF198E" w:rsidRDefault="00442DC7" w:rsidP="00606555">
      <w:pPr>
        <w:spacing w:after="120" w:line="360" w:lineRule="auto"/>
        <w:jc w:val="both"/>
        <w:rPr>
          <w:rFonts w:cs="Arial"/>
          <w:sz w:val="24"/>
          <w:szCs w:val="24"/>
        </w:rPr>
      </w:pPr>
      <w:r w:rsidRPr="00EF198E">
        <w:rPr>
          <w:rFonts w:cs="Arial"/>
          <w:sz w:val="24"/>
          <w:szCs w:val="24"/>
        </w:rPr>
        <w:t xml:space="preserve">As measured in accordance with the framework, the regulatory offset required to implement Option </w:t>
      </w:r>
      <w:r>
        <w:rPr>
          <w:rFonts w:cs="Arial"/>
          <w:sz w:val="24"/>
          <w:szCs w:val="24"/>
        </w:rPr>
        <w:t>2</w:t>
      </w:r>
      <w:r w:rsidRPr="00EF198E">
        <w:rPr>
          <w:rFonts w:cs="Arial"/>
          <w:sz w:val="24"/>
          <w:szCs w:val="24"/>
        </w:rPr>
        <w:t xml:space="preserve"> would be a total of </w:t>
      </w:r>
      <w:r w:rsidRPr="008570DA">
        <w:rPr>
          <w:rFonts w:cs="Arial"/>
          <w:sz w:val="24"/>
          <w:szCs w:val="24"/>
        </w:rPr>
        <w:t>$2</w:t>
      </w:r>
      <w:r>
        <w:rPr>
          <w:rFonts w:cs="Arial"/>
          <w:sz w:val="24"/>
          <w:szCs w:val="24"/>
        </w:rPr>
        <w:t>3</w:t>
      </w:r>
      <w:r w:rsidRPr="008570DA">
        <w:rPr>
          <w:rFonts w:cs="Arial"/>
          <w:sz w:val="24"/>
          <w:szCs w:val="24"/>
        </w:rPr>
        <w:t>0</w:t>
      </w:r>
      <w:r>
        <w:rPr>
          <w:rFonts w:cs="Arial"/>
          <w:sz w:val="24"/>
          <w:szCs w:val="24"/>
        </w:rPr>
        <w:t xml:space="preserve"> million annually</w:t>
      </w:r>
      <w:r w:rsidRPr="00EF198E">
        <w:rPr>
          <w:rFonts w:cs="Arial"/>
          <w:sz w:val="24"/>
          <w:szCs w:val="24"/>
        </w:rPr>
        <w:t xml:space="preserve">. The Commonwealth’s share of this is </w:t>
      </w:r>
      <w:r>
        <w:rPr>
          <w:rFonts w:cs="Arial"/>
          <w:sz w:val="24"/>
          <w:szCs w:val="24"/>
        </w:rPr>
        <w:t>$25.8 million annually</w:t>
      </w:r>
      <w:r w:rsidRPr="00EF198E">
        <w:rPr>
          <w:rFonts w:cs="Arial"/>
          <w:sz w:val="24"/>
          <w:szCs w:val="24"/>
        </w:rPr>
        <w:t>.</w:t>
      </w:r>
      <w:r>
        <w:rPr>
          <w:rStyle w:val="FootnoteReference"/>
          <w:rFonts w:cs="Arial"/>
          <w:sz w:val="24"/>
          <w:szCs w:val="24"/>
        </w:rPr>
        <w:footnoteReference w:id="117"/>
      </w:r>
      <w:r w:rsidRPr="00EF198E">
        <w:rPr>
          <w:rFonts w:cs="Arial"/>
          <w:sz w:val="24"/>
          <w:szCs w:val="24"/>
        </w:rPr>
        <w:t xml:space="preserve"> </w:t>
      </w:r>
    </w:p>
    <w:p w14:paraId="56AB551B" w14:textId="77777777" w:rsidR="00442DC7" w:rsidRDefault="00442DC7" w:rsidP="00017489">
      <w:pPr>
        <w:spacing w:after="0" w:line="360" w:lineRule="auto"/>
        <w:jc w:val="both"/>
        <w:rPr>
          <w:rFonts w:cs="Arial"/>
          <w:sz w:val="24"/>
          <w:szCs w:val="24"/>
        </w:rPr>
      </w:pPr>
      <w:r w:rsidRPr="00EF198E">
        <w:rPr>
          <w:rFonts w:cs="Arial"/>
          <w:sz w:val="24"/>
          <w:szCs w:val="24"/>
        </w:rPr>
        <w:t xml:space="preserve">Governments of the </w:t>
      </w:r>
      <w:r>
        <w:rPr>
          <w:rFonts w:cs="Arial"/>
          <w:sz w:val="24"/>
          <w:szCs w:val="24"/>
        </w:rPr>
        <w:t>s</w:t>
      </w:r>
      <w:r w:rsidRPr="00EF198E">
        <w:rPr>
          <w:rFonts w:cs="Arial"/>
          <w:sz w:val="24"/>
          <w:szCs w:val="24"/>
        </w:rPr>
        <w:t xml:space="preserve">tates and </w:t>
      </w:r>
      <w:r>
        <w:rPr>
          <w:rFonts w:cs="Arial"/>
          <w:sz w:val="24"/>
          <w:szCs w:val="24"/>
        </w:rPr>
        <w:t>t</w:t>
      </w:r>
      <w:r w:rsidRPr="00EF198E">
        <w:rPr>
          <w:rFonts w:cs="Arial"/>
          <w:sz w:val="24"/>
          <w:szCs w:val="24"/>
        </w:rPr>
        <w:t>erritories are not required under COAG policy to identify regulatory offsets.</w:t>
      </w:r>
      <w:r>
        <w:rPr>
          <w:rFonts w:cs="Arial"/>
          <w:sz w:val="24"/>
          <w:szCs w:val="24"/>
        </w:rPr>
        <w:t xml:space="preserve"> </w:t>
      </w:r>
      <w:r w:rsidRPr="00EF198E">
        <w:rPr>
          <w:rFonts w:cs="Arial"/>
          <w:sz w:val="24"/>
          <w:szCs w:val="24"/>
        </w:rPr>
        <w:t>Some jurisdictions may have their own mechanisms regarding regulatory offsets, which would be a matter for those jurisdictions to consider.</w:t>
      </w:r>
    </w:p>
    <w:p w14:paraId="05ECDA5C" w14:textId="77777777" w:rsidR="00017489" w:rsidRDefault="00017489">
      <w:pPr>
        <w:rPr>
          <w:rFonts w:eastAsiaTheme="majorEastAsia" w:cs="Arial"/>
          <w:color w:val="002060"/>
          <w:sz w:val="40"/>
          <w:szCs w:val="28"/>
        </w:rPr>
      </w:pPr>
      <w:r>
        <w:rPr>
          <w:rFonts w:cs="Arial"/>
          <w:b/>
          <w:bCs/>
        </w:rPr>
        <w:br w:type="page"/>
      </w:r>
    </w:p>
    <w:p w14:paraId="6A819DF6" w14:textId="77777777" w:rsidR="00250D14" w:rsidRPr="00EF198E" w:rsidRDefault="00856CBA" w:rsidP="000B675B">
      <w:pPr>
        <w:pStyle w:val="Heading1"/>
        <w:spacing w:after="240"/>
        <w:rPr>
          <w:rFonts w:ascii="Arial" w:hAnsi="Arial" w:cs="Arial"/>
        </w:rPr>
      </w:pPr>
      <w:bookmarkStart w:id="303" w:name="_Toc71195755"/>
      <w:bookmarkStart w:id="304" w:name="_Toc71789296"/>
      <w:r w:rsidRPr="000B675B">
        <w:rPr>
          <w:rFonts w:ascii="Arial" w:hAnsi="Arial" w:cs="Arial"/>
          <w:b w:val="0"/>
          <w:bCs w:val="0"/>
        </w:rPr>
        <w:lastRenderedPageBreak/>
        <w:t>Consultation</w:t>
      </w:r>
      <w:bookmarkEnd w:id="303"/>
      <w:bookmarkEnd w:id="304"/>
      <w:r w:rsidRPr="000F113D">
        <w:rPr>
          <w:rFonts w:ascii="Arial" w:hAnsi="Arial" w:cs="Arial"/>
        </w:rPr>
        <w:t xml:space="preserve"> </w:t>
      </w:r>
    </w:p>
    <w:p w14:paraId="0995DC75" w14:textId="4F98D596" w:rsidR="00AC2964" w:rsidRDefault="00643E2F" w:rsidP="0064346A">
      <w:pPr>
        <w:spacing w:after="240" w:line="360" w:lineRule="auto"/>
        <w:jc w:val="both"/>
        <w:rPr>
          <w:rFonts w:cs="Arial"/>
          <w:sz w:val="24"/>
          <w:szCs w:val="24"/>
        </w:rPr>
      </w:pPr>
      <w:r w:rsidRPr="00EF198E">
        <w:rPr>
          <w:rFonts w:cs="Arial"/>
          <w:sz w:val="24"/>
          <w:szCs w:val="24"/>
        </w:rPr>
        <w:t>Consultation is the cornerstone of the ABCB’s commitment to create a contemporary and relevant N</w:t>
      </w:r>
      <w:r w:rsidR="00B95724">
        <w:rPr>
          <w:rFonts w:cs="Arial"/>
          <w:sz w:val="24"/>
          <w:szCs w:val="24"/>
        </w:rPr>
        <w:t>CC</w:t>
      </w:r>
      <w:r w:rsidRPr="00EF198E">
        <w:rPr>
          <w:rFonts w:cs="Arial"/>
          <w:sz w:val="24"/>
          <w:szCs w:val="24"/>
        </w:rPr>
        <w:t xml:space="preserve"> that delivers good societal outcomes for health, safety, amenity and sustainability in the built environment. This must be achieved in the context of good regulatory practice that evaluates the costs and benefits to society, as per the objective of the ABCB’s Intergovernmental Agreement. The ABCB recognises the value of engaging constructively with the community and industry in order to achieve this.</w:t>
      </w:r>
    </w:p>
    <w:p w14:paraId="5537322B" w14:textId="77777777" w:rsidR="00AC2964" w:rsidRPr="00901E24" w:rsidRDefault="00224C51" w:rsidP="00901E24">
      <w:pPr>
        <w:rPr>
          <w:color w:val="002060"/>
          <w:sz w:val="32"/>
          <w:szCs w:val="32"/>
        </w:rPr>
      </w:pPr>
      <w:r w:rsidRPr="00901E24">
        <w:rPr>
          <w:color w:val="002060"/>
          <w:sz w:val="32"/>
          <w:szCs w:val="32"/>
        </w:rPr>
        <w:t>Lead in Plumbing Products</w:t>
      </w:r>
      <w:r w:rsidR="00AC2964" w:rsidRPr="00901E24">
        <w:rPr>
          <w:color w:val="002060"/>
          <w:sz w:val="32"/>
          <w:szCs w:val="32"/>
        </w:rPr>
        <w:t xml:space="preserve"> Forum</w:t>
      </w:r>
    </w:p>
    <w:p w14:paraId="418C8844" w14:textId="77777777" w:rsidR="00643E2F" w:rsidRPr="00EF198E" w:rsidRDefault="007F61D1" w:rsidP="004E234A">
      <w:pPr>
        <w:spacing w:after="0" w:line="360" w:lineRule="auto"/>
        <w:jc w:val="both"/>
        <w:rPr>
          <w:rFonts w:cs="Arial"/>
          <w:sz w:val="24"/>
          <w:szCs w:val="24"/>
        </w:rPr>
      </w:pPr>
      <w:r w:rsidRPr="00EF198E">
        <w:rPr>
          <w:rFonts w:cs="Arial"/>
          <w:sz w:val="24"/>
          <w:szCs w:val="24"/>
        </w:rPr>
        <w:t xml:space="preserve">On 23 May 2019, </w:t>
      </w:r>
      <w:r w:rsidR="00224C51">
        <w:rPr>
          <w:rFonts w:cs="Arial"/>
          <w:sz w:val="24"/>
          <w:szCs w:val="24"/>
        </w:rPr>
        <w:t xml:space="preserve">the </w:t>
      </w:r>
      <w:r w:rsidRPr="00EF198E">
        <w:rPr>
          <w:rFonts w:cs="Arial"/>
          <w:sz w:val="24"/>
          <w:szCs w:val="24"/>
        </w:rPr>
        <w:t>ABCB convened a</w:t>
      </w:r>
      <w:r w:rsidR="00CA0136" w:rsidRPr="00EF198E">
        <w:rPr>
          <w:rFonts w:cs="Arial"/>
          <w:sz w:val="24"/>
          <w:szCs w:val="24"/>
        </w:rPr>
        <w:t xml:space="preserve"> </w:t>
      </w:r>
      <w:r w:rsidR="00B95724">
        <w:rPr>
          <w:rFonts w:cs="Arial"/>
          <w:sz w:val="24"/>
          <w:szCs w:val="24"/>
        </w:rPr>
        <w:t>L</w:t>
      </w:r>
      <w:r w:rsidR="00CA0136" w:rsidRPr="00EF198E">
        <w:rPr>
          <w:rFonts w:cs="Arial"/>
          <w:sz w:val="24"/>
          <w:szCs w:val="24"/>
        </w:rPr>
        <w:t xml:space="preserve">ead in </w:t>
      </w:r>
      <w:r w:rsidR="00B95724">
        <w:rPr>
          <w:rFonts w:cs="Arial"/>
          <w:sz w:val="24"/>
          <w:szCs w:val="24"/>
        </w:rPr>
        <w:t>P</w:t>
      </w:r>
      <w:r w:rsidR="00CA0136" w:rsidRPr="00EF198E">
        <w:rPr>
          <w:rFonts w:cs="Arial"/>
          <w:sz w:val="24"/>
          <w:szCs w:val="24"/>
        </w:rPr>
        <w:t xml:space="preserve">lumbing </w:t>
      </w:r>
      <w:r w:rsidR="00B95724">
        <w:rPr>
          <w:rFonts w:cs="Arial"/>
          <w:sz w:val="24"/>
          <w:szCs w:val="24"/>
        </w:rPr>
        <w:t>P</w:t>
      </w:r>
      <w:r w:rsidR="00CA0136" w:rsidRPr="00EF198E">
        <w:rPr>
          <w:rFonts w:cs="Arial"/>
          <w:sz w:val="24"/>
          <w:szCs w:val="24"/>
        </w:rPr>
        <w:t>roducts forum</w:t>
      </w:r>
      <w:r w:rsidR="00224C51">
        <w:rPr>
          <w:rFonts w:cs="Arial"/>
          <w:sz w:val="24"/>
          <w:szCs w:val="24"/>
        </w:rPr>
        <w:t xml:space="preserve"> which was hosted by Standards Australia. The attendees of the forum were</w:t>
      </w:r>
      <w:r w:rsidR="00CA0136" w:rsidRPr="00EF198E">
        <w:rPr>
          <w:rFonts w:cs="Arial"/>
          <w:sz w:val="24"/>
          <w:szCs w:val="24"/>
        </w:rPr>
        <w:t xml:space="preserve"> representatives of:</w:t>
      </w:r>
    </w:p>
    <w:p w14:paraId="47548114" w14:textId="77777777" w:rsidR="00CA0136" w:rsidRPr="00EF198E" w:rsidRDefault="00CA0136" w:rsidP="007F61D1">
      <w:pPr>
        <w:spacing w:after="0"/>
        <w:rPr>
          <w:rFonts w:cs="Arial"/>
          <w:sz w:val="24"/>
          <w:szCs w:val="24"/>
        </w:rPr>
        <w:sectPr w:rsidR="00CA0136" w:rsidRPr="00EF198E" w:rsidSect="004822D3">
          <w:footerReference w:type="default" r:id="rId29"/>
          <w:pgSz w:w="11906" w:h="16838"/>
          <w:pgMar w:top="1440" w:right="1440" w:bottom="1440" w:left="1440" w:header="708" w:footer="708" w:gutter="0"/>
          <w:cols w:space="708"/>
          <w:docGrid w:linePitch="360"/>
        </w:sectPr>
      </w:pPr>
    </w:p>
    <w:p w14:paraId="0FE8B715" w14:textId="77777777" w:rsidR="00CA0136" w:rsidRPr="00EF198E" w:rsidRDefault="00CA0136" w:rsidP="009F7B64">
      <w:pPr>
        <w:pStyle w:val="ListParagraph"/>
        <w:numPr>
          <w:ilvl w:val="0"/>
          <w:numId w:val="8"/>
        </w:numPr>
        <w:spacing w:after="0"/>
        <w:rPr>
          <w:rFonts w:cs="Arial"/>
          <w:sz w:val="24"/>
          <w:szCs w:val="24"/>
        </w:rPr>
      </w:pPr>
      <w:bookmarkStart w:id="305" w:name="_Hlk70252240"/>
      <w:r w:rsidRPr="00EF198E">
        <w:rPr>
          <w:rFonts w:cs="Arial"/>
          <w:sz w:val="24"/>
          <w:szCs w:val="24"/>
        </w:rPr>
        <w:t>C</w:t>
      </w:r>
      <w:r w:rsidR="003165DA" w:rsidRPr="00EF198E">
        <w:rPr>
          <w:rFonts w:cs="Arial"/>
          <w:sz w:val="24"/>
          <w:szCs w:val="24"/>
        </w:rPr>
        <w:t xml:space="preserve">onsumer Electronics </w:t>
      </w:r>
      <w:r w:rsidR="00930EFB" w:rsidRPr="00EF198E">
        <w:rPr>
          <w:rFonts w:cs="Arial"/>
          <w:sz w:val="24"/>
          <w:szCs w:val="24"/>
        </w:rPr>
        <w:t>Suppliers Australia</w:t>
      </w:r>
      <w:r w:rsidR="003165DA" w:rsidRPr="00EF198E">
        <w:rPr>
          <w:rFonts w:cs="Arial"/>
          <w:sz w:val="24"/>
          <w:szCs w:val="24"/>
        </w:rPr>
        <w:t xml:space="preserve"> </w:t>
      </w:r>
    </w:p>
    <w:p w14:paraId="6DC459CC" w14:textId="77777777" w:rsidR="00CA0136" w:rsidRPr="00EF198E" w:rsidRDefault="00CA0136" w:rsidP="009F7B64">
      <w:pPr>
        <w:pStyle w:val="ListParagraph"/>
        <w:numPr>
          <w:ilvl w:val="0"/>
          <w:numId w:val="8"/>
        </w:numPr>
        <w:spacing w:after="0"/>
        <w:rPr>
          <w:rFonts w:cs="Arial"/>
          <w:sz w:val="24"/>
          <w:szCs w:val="24"/>
        </w:rPr>
      </w:pPr>
      <w:r w:rsidRPr="00EF198E">
        <w:rPr>
          <w:rFonts w:cs="Arial"/>
          <w:sz w:val="24"/>
          <w:szCs w:val="24"/>
        </w:rPr>
        <w:t>Bunnings Group</w:t>
      </w:r>
    </w:p>
    <w:p w14:paraId="20B5D7A7" w14:textId="77777777" w:rsidR="00CA0136" w:rsidRPr="00EF198E" w:rsidRDefault="00CA0136" w:rsidP="009F7B64">
      <w:pPr>
        <w:pStyle w:val="ListParagraph"/>
        <w:numPr>
          <w:ilvl w:val="0"/>
          <w:numId w:val="8"/>
        </w:numPr>
        <w:spacing w:after="0"/>
        <w:rPr>
          <w:rFonts w:cs="Arial"/>
          <w:sz w:val="24"/>
          <w:szCs w:val="24"/>
        </w:rPr>
      </w:pPr>
      <w:r w:rsidRPr="00EF198E">
        <w:rPr>
          <w:rFonts w:cs="Arial"/>
          <w:sz w:val="24"/>
          <w:szCs w:val="24"/>
        </w:rPr>
        <w:t>Reece Group</w:t>
      </w:r>
    </w:p>
    <w:p w14:paraId="7B1EF4E9" w14:textId="70915E03" w:rsidR="00CA0136" w:rsidRDefault="00CA0136" w:rsidP="009F7B64">
      <w:pPr>
        <w:pStyle w:val="ListParagraph"/>
        <w:numPr>
          <w:ilvl w:val="0"/>
          <w:numId w:val="8"/>
        </w:numPr>
        <w:spacing w:after="0"/>
        <w:rPr>
          <w:rFonts w:cs="Arial"/>
          <w:sz w:val="24"/>
          <w:szCs w:val="24"/>
        </w:rPr>
      </w:pPr>
      <w:r w:rsidRPr="00EF198E">
        <w:rPr>
          <w:rFonts w:cs="Arial"/>
          <w:sz w:val="24"/>
          <w:szCs w:val="24"/>
        </w:rPr>
        <w:t xml:space="preserve">Master Plumbers </w:t>
      </w:r>
      <w:r w:rsidR="00224C51">
        <w:rPr>
          <w:rFonts w:cs="Arial"/>
          <w:sz w:val="24"/>
          <w:szCs w:val="24"/>
        </w:rPr>
        <w:t xml:space="preserve">Association </w:t>
      </w:r>
      <w:r w:rsidR="000827FB">
        <w:rPr>
          <w:rFonts w:cs="Arial"/>
          <w:sz w:val="24"/>
          <w:szCs w:val="24"/>
        </w:rPr>
        <w:t>–</w:t>
      </w:r>
      <w:r w:rsidR="00224C51">
        <w:rPr>
          <w:rFonts w:cs="Arial"/>
          <w:sz w:val="24"/>
          <w:szCs w:val="24"/>
        </w:rPr>
        <w:t xml:space="preserve"> </w:t>
      </w:r>
      <w:r w:rsidRPr="00EF198E">
        <w:rPr>
          <w:rFonts w:cs="Arial"/>
          <w:sz w:val="24"/>
          <w:szCs w:val="24"/>
        </w:rPr>
        <w:t>Australia</w:t>
      </w:r>
    </w:p>
    <w:p w14:paraId="6DA68747" w14:textId="13D09F37" w:rsidR="00224C51" w:rsidRPr="00EF198E" w:rsidRDefault="00224C51" w:rsidP="009F7B64">
      <w:pPr>
        <w:pStyle w:val="ListParagraph"/>
        <w:numPr>
          <w:ilvl w:val="0"/>
          <w:numId w:val="8"/>
        </w:numPr>
        <w:spacing w:after="0"/>
        <w:rPr>
          <w:rFonts w:cs="Arial"/>
          <w:sz w:val="24"/>
          <w:szCs w:val="24"/>
        </w:rPr>
      </w:pPr>
      <w:r>
        <w:rPr>
          <w:rFonts w:cs="Arial"/>
          <w:sz w:val="24"/>
          <w:szCs w:val="24"/>
        </w:rPr>
        <w:t xml:space="preserve">Master Plumbers Association </w:t>
      </w:r>
      <w:r w:rsidR="000827FB">
        <w:rPr>
          <w:rFonts w:cs="Arial"/>
          <w:sz w:val="24"/>
          <w:szCs w:val="24"/>
        </w:rPr>
        <w:t>–</w:t>
      </w:r>
      <w:r>
        <w:rPr>
          <w:rFonts w:cs="Arial"/>
          <w:sz w:val="24"/>
          <w:szCs w:val="24"/>
        </w:rPr>
        <w:t xml:space="preserve"> New Zealand</w:t>
      </w:r>
    </w:p>
    <w:p w14:paraId="28A099B8" w14:textId="77777777" w:rsidR="00CA0136" w:rsidRPr="00EF198E" w:rsidRDefault="00CA0136" w:rsidP="009F7B64">
      <w:pPr>
        <w:pStyle w:val="ListParagraph"/>
        <w:numPr>
          <w:ilvl w:val="0"/>
          <w:numId w:val="8"/>
        </w:numPr>
        <w:spacing w:after="0"/>
        <w:rPr>
          <w:rFonts w:cs="Arial"/>
          <w:sz w:val="24"/>
          <w:szCs w:val="24"/>
        </w:rPr>
      </w:pPr>
      <w:r w:rsidRPr="00EF198E">
        <w:rPr>
          <w:rFonts w:cs="Arial"/>
          <w:sz w:val="24"/>
          <w:szCs w:val="24"/>
        </w:rPr>
        <w:t>Hydraulic Consultants Association of Australasia</w:t>
      </w:r>
    </w:p>
    <w:p w14:paraId="3435E31D" w14:textId="77777777" w:rsidR="00CA0136" w:rsidRPr="00EF198E" w:rsidRDefault="004C2B53" w:rsidP="009F7B64">
      <w:pPr>
        <w:pStyle w:val="ListParagraph"/>
        <w:numPr>
          <w:ilvl w:val="0"/>
          <w:numId w:val="8"/>
        </w:numPr>
        <w:spacing w:after="0"/>
        <w:rPr>
          <w:rFonts w:cs="Arial"/>
          <w:sz w:val="24"/>
          <w:szCs w:val="24"/>
        </w:rPr>
      </w:pPr>
      <w:r>
        <w:rPr>
          <w:rFonts w:cs="Arial"/>
          <w:sz w:val="24"/>
          <w:szCs w:val="24"/>
        </w:rPr>
        <w:t>PPI</w:t>
      </w:r>
      <w:r w:rsidR="00996D01">
        <w:rPr>
          <w:rFonts w:cs="Arial"/>
          <w:sz w:val="24"/>
          <w:szCs w:val="24"/>
        </w:rPr>
        <w:t xml:space="preserve"> </w:t>
      </w:r>
      <w:r>
        <w:rPr>
          <w:rFonts w:cs="Arial"/>
          <w:sz w:val="24"/>
          <w:szCs w:val="24"/>
        </w:rPr>
        <w:t>G</w:t>
      </w:r>
      <w:r w:rsidR="00996D01">
        <w:rPr>
          <w:rFonts w:cs="Arial"/>
          <w:sz w:val="24"/>
          <w:szCs w:val="24"/>
        </w:rPr>
        <w:t>roup</w:t>
      </w:r>
    </w:p>
    <w:p w14:paraId="12569D04" w14:textId="77777777" w:rsidR="00224C51" w:rsidRDefault="004C2B53" w:rsidP="00224C51">
      <w:pPr>
        <w:pStyle w:val="ListParagraph"/>
        <w:numPr>
          <w:ilvl w:val="0"/>
          <w:numId w:val="8"/>
        </w:numPr>
        <w:spacing w:after="0"/>
        <w:rPr>
          <w:rFonts w:cs="Arial"/>
          <w:sz w:val="24"/>
          <w:szCs w:val="24"/>
        </w:rPr>
      </w:pPr>
      <w:r>
        <w:rPr>
          <w:rFonts w:cs="Arial"/>
          <w:sz w:val="24"/>
          <w:szCs w:val="24"/>
        </w:rPr>
        <w:t>AI</w:t>
      </w:r>
      <w:r w:rsidR="00996D01">
        <w:rPr>
          <w:rFonts w:cs="Arial"/>
          <w:sz w:val="24"/>
          <w:szCs w:val="24"/>
        </w:rPr>
        <w:t xml:space="preserve"> </w:t>
      </w:r>
      <w:r>
        <w:rPr>
          <w:rFonts w:cs="Arial"/>
          <w:sz w:val="24"/>
          <w:szCs w:val="24"/>
        </w:rPr>
        <w:t>G</w:t>
      </w:r>
      <w:r w:rsidR="00996D01">
        <w:rPr>
          <w:rFonts w:cs="Arial"/>
          <w:sz w:val="24"/>
          <w:szCs w:val="24"/>
        </w:rPr>
        <w:t>roup</w:t>
      </w:r>
    </w:p>
    <w:p w14:paraId="1FD24EE3" w14:textId="77777777" w:rsidR="00CA0136" w:rsidRPr="00224C51" w:rsidRDefault="00CA0136" w:rsidP="00224C51">
      <w:pPr>
        <w:pStyle w:val="ListParagraph"/>
        <w:numPr>
          <w:ilvl w:val="0"/>
          <w:numId w:val="8"/>
        </w:numPr>
        <w:spacing w:after="0"/>
        <w:rPr>
          <w:rFonts w:cs="Arial"/>
          <w:sz w:val="24"/>
          <w:szCs w:val="24"/>
        </w:rPr>
      </w:pPr>
      <w:r w:rsidRPr="00224C51">
        <w:rPr>
          <w:rFonts w:cs="Arial"/>
          <w:sz w:val="24"/>
          <w:szCs w:val="24"/>
        </w:rPr>
        <w:t>enHealth</w:t>
      </w:r>
    </w:p>
    <w:p w14:paraId="6229294A" w14:textId="77777777" w:rsidR="00CA0136" w:rsidRPr="00EF198E" w:rsidRDefault="00CA0136" w:rsidP="009F7B64">
      <w:pPr>
        <w:pStyle w:val="ListParagraph"/>
        <w:numPr>
          <w:ilvl w:val="0"/>
          <w:numId w:val="8"/>
        </w:numPr>
        <w:spacing w:after="0"/>
        <w:rPr>
          <w:rFonts w:cs="Arial"/>
          <w:sz w:val="24"/>
          <w:szCs w:val="24"/>
        </w:rPr>
      </w:pPr>
      <w:r w:rsidRPr="00EF198E">
        <w:rPr>
          <w:rFonts w:cs="Arial"/>
          <w:sz w:val="24"/>
          <w:szCs w:val="24"/>
        </w:rPr>
        <w:t xml:space="preserve">Australian Association of Certifying Authorities </w:t>
      </w:r>
    </w:p>
    <w:p w14:paraId="6021D904" w14:textId="77777777" w:rsidR="00CA0136" w:rsidRPr="00EF198E" w:rsidRDefault="005B7717" w:rsidP="009F7B64">
      <w:pPr>
        <w:pStyle w:val="ListParagraph"/>
        <w:numPr>
          <w:ilvl w:val="0"/>
          <w:numId w:val="8"/>
        </w:numPr>
        <w:spacing w:after="0"/>
        <w:rPr>
          <w:rFonts w:cs="Arial"/>
          <w:sz w:val="24"/>
          <w:szCs w:val="24"/>
        </w:rPr>
      </w:pPr>
      <w:r>
        <w:rPr>
          <w:rFonts w:cs="Arial"/>
          <w:sz w:val="24"/>
          <w:szCs w:val="24"/>
        </w:rPr>
        <w:t>Accredited</w:t>
      </w:r>
      <w:r w:rsidRPr="00EF198E">
        <w:rPr>
          <w:rFonts w:cs="Arial"/>
          <w:sz w:val="24"/>
          <w:szCs w:val="24"/>
        </w:rPr>
        <w:t xml:space="preserve"> </w:t>
      </w:r>
      <w:r w:rsidR="00CA0136" w:rsidRPr="00EF198E">
        <w:rPr>
          <w:rFonts w:cs="Arial"/>
          <w:sz w:val="24"/>
          <w:szCs w:val="24"/>
        </w:rPr>
        <w:t>testing laboratories</w:t>
      </w:r>
    </w:p>
    <w:p w14:paraId="0D8F6631" w14:textId="77777777" w:rsidR="007F61D1" w:rsidRDefault="00CA0136" w:rsidP="009F7B64">
      <w:pPr>
        <w:pStyle w:val="ListParagraph"/>
        <w:numPr>
          <w:ilvl w:val="0"/>
          <w:numId w:val="8"/>
        </w:numPr>
        <w:spacing w:after="0"/>
        <w:rPr>
          <w:rFonts w:cs="Arial"/>
          <w:sz w:val="24"/>
          <w:szCs w:val="24"/>
        </w:rPr>
      </w:pPr>
      <w:r w:rsidRPr="00EF198E">
        <w:rPr>
          <w:rFonts w:cs="Arial"/>
          <w:sz w:val="24"/>
          <w:szCs w:val="24"/>
        </w:rPr>
        <w:t xml:space="preserve">Brassware </w:t>
      </w:r>
      <w:r w:rsidR="003165DA" w:rsidRPr="00EF198E">
        <w:rPr>
          <w:rFonts w:cs="Arial"/>
          <w:sz w:val="24"/>
          <w:szCs w:val="24"/>
        </w:rPr>
        <w:t>Association</w:t>
      </w:r>
      <w:r w:rsidRPr="00EF198E">
        <w:rPr>
          <w:rFonts w:cs="Arial"/>
          <w:sz w:val="24"/>
          <w:szCs w:val="24"/>
        </w:rPr>
        <w:t xml:space="preserve"> </w:t>
      </w:r>
      <w:r w:rsidR="003165DA" w:rsidRPr="00EF198E">
        <w:rPr>
          <w:rFonts w:cs="Arial"/>
          <w:sz w:val="24"/>
          <w:szCs w:val="24"/>
        </w:rPr>
        <w:t>Queensland</w:t>
      </w:r>
    </w:p>
    <w:p w14:paraId="51502351" w14:textId="77777777" w:rsidR="00224C51" w:rsidRDefault="00224C51" w:rsidP="009F7B64">
      <w:pPr>
        <w:pStyle w:val="ListParagraph"/>
        <w:numPr>
          <w:ilvl w:val="0"/>
          <w:numId w:val="8"/>
        </w:numPr>
        <w:spacing w:after="0"/>
        <w:rPr>
          <w:rFonts w:cs="Arial"/>
          <w:sz w:val="24"/>
          <w:szCs w:val="24"/>
        </w:rPr>
      </w:pPr>
      <w:r>
        <w:rPr>
          <w:rFonts w:cs="Arial"/>
          <w:sz w:val="24"/>
          <w:szCs w:val="24"/>
        </w:rPr>
        <w:t>Representatives of Standards Australia’s technical committees:</w:t>
      </w:r>
    </w:p>
    <w:p w14:paraId="0A67B924" w14:textId="4578B9DA" w:rsidR="00224C51" w:rsidRDefault="00224C51" w:rsidP="00BB21C2">
      <w:pPr>
        <w:pStyle w:val="ListParagraph"/>
        <w:numPr>
          <w:ilvl w:val="0"/>
          <w:numId w:val="8"/>
        </w:numPr>
        <w:spacing w:after="0"/>
        <w:rPr>
          <w:rFonts w:cs="Arial"/>
          <w:sz w:val="24"/>
          <w:szCs w:val="24"/>
        </w:rPr>
      </w:pPr>
      <w:r>
        <w:rPr>
          <w:rFonts w:cs="Arial"/>
          <w:sz w:val="24"/>
          <w:szCs w:val="24"/>
        </w:rPr>
        <w:t>PL-021</w:t>
      </w:r>
      <w:r w:rsidRPr="00224C51">
        <w:t xml:space="preserve"> </w:t>
      </w:r>
      <w:r w:rsidR="000827FB">
        <w:t>–</w:t>
      </w:r>
      <w:r>
        <w:t xml:space="preserve"> </w:t>
      </w:r>
      <w:r w:rsidRPr="00224C51">
        <w:rPr>
          <w:rFonts w:cs="Arial"/>
          <w:sz w:val="24"/>
          <w:szCs w:val="24"/>
        </w:rPr>
        <w:t>PVC, ABS and Polyamide Pipe Systems</w:t>
      </w:r>
    </w:p>
    <w:p w14:paraId="48363DF8" w14:textId="437EB4DD" w:rsidR="00224C51" w:rsidRDefault="00224C51" w:rsidP="00BB21C2">
      <w:pPr>
        <w:pStyle w:val="ListParagraph"/>
        <w:numPr>
          <w:ilvl w:val="0"/>
          <w:numId w:val="8"/>
        </w:numPr>
        <w:spacing w:after="0"/>
        <w:rPr>
          <w:rFonts w:cs="Arial"/>
          <w:sz w:val="24"/>
          <w:szCs w:val="24"/>
        </w:rPr>
      </w:pPr>
      <w:r>
        <w:rPr>
          <w:rFonts w:cs="Arial"/>
          <w:sz w:val="24"/>
          <w:szCs w:val="24"/>
        </w:rPr>
        <w:t>PL-006</w:t>
      </w:r>
      <w:r w:rsidRPr="00224C51">
        <w:t xml:space="preserve"> </w:t>
      </w:r>
      <w:r w:rsidR="000827FB">
        <w:t>–</w:t>
      </w:r>
      <w:r>
        <w:t xml:space="preserve"> </w:t>
      </w:r>
      <w:r w:rsidRPr="00224C51">
        <w:rPr>
          <w:rFonts w:cs="Arial"/>
          <w:sz w:val="24"/>
          <w:szCs w:val="24"/>
        </w:rPr>
        <w:t>Polyolefin Pipe Systems</w:t>
      </w:r>
    </w:p>
    <w:p w14:paraId="63F42D28" w14:textId="6EED65DD" w:rsidR="00224C51" w:rsidRPr="00EF198E" w:rsidRDefault="00224C51" w:rsidP="00224C51">
      <w:pPr>
        <w:pStyle w:val="ListParagraph"/>
        <w:numPr>
          <w:ilvl w:val="1"/>
          <w:numId w:val="8"/>
        </w:numPr>
        <w:spacing w:after="0"/>
        <w:rPr>
          <w:rFonts w:cs="Arial"/>
          <w:sz w:val="24"/>
          <w:szCs w:val="24"/>
        </w:rPr>
      </w:pPr>
      <w:r w:rsidRPr="00EF198E">
        <w:rPr>
          <w:rFonts w:cs="Arial"/>
          <w:sz w:val="24"/>
          <w:szCs w:val="24"/>
        </w:rPr>
        <w:t>WS-028</w:t>
      </w:r>
      <w:r>
        <w:rPr>
          <w:rFonts w:cs="Arial"/>
          <w:sz w:val="24"/>
          <w:szCs w:val="24"/>
        </w:rPr>
        <w:t xml:space="preserve"> </w:t>
      </w:r>
      <w:r w:rsidR="000827FB">
        <w:rPr>
          <w:rFonts w:cs="Arial"/>
          <w:sz w:val="24"/>
          <w:szCs w:val="24"/>
        </w:rPr>
        <w:t>–</w:t>
      </w:r>
      <w:r>
        <w:rPr>
          <w:rFonts w:cs="Arial"/>
          <w:sz w:val="24"/>
          <w:szCs w:val="24"/>
        </w:rPr>
        <w:t xml:space="preserve"> Design and Installation of Buried Flexible Pipes</w:t>
      </w:r>
    </w:p>
    <w:p w14:paraId="29753E1C" w14:textId="2469B87D" w:rsidR="00224C51" w:rsidRPr="00EF198E" w:rsidRDefault="00224C51" w:rsidP="00224C51">
      <w:pPr>
        <w:pStyle w:val="ListParagraph"/>
        <w:numPr>
          <w:ilvl w:val="1"/>
          <w:numId w:val="8"/>
        </w:numPr>
        <w:spacing w:after="0"/>
        <w:rPr>
          <w:rFonts w:cs="Arial"/>
          <w:sz w:val="24"/>
          <w:szCs w:val="24"/>
        </w:rPr>
      </w:pPr>
      <w:r w:rsidRPr="00EF198E">
        <w:rPr>
          <w:rFonts w:cs="Arial"/>
          <w:sz w:val="24"/>
          <w:szCs w:val="24"/>
        </w:rPr>
        <w:t>WS-027</w:t>
      </w:r>
      <w:r>
        <w:rPr>
          <w:rFonts w:cs="Arial"/>
          <w:sz w:val="24"/>
          <w:szCs w:val="24"/>
        </w:rPr>
        <w:t xml:space="preserve"> </w:t>
      </w:r>
      <w:r w:rsidR="000827FB">
        <w:rPr>
          <w:rFonts w:cs="Arial"/>
          <w:sz w:val="24"/>
          <w:szCs w:val="24"/>
        </w:rPr>
        <w:t>–</w:t>
      </w:r>
      <w:r>
        <w:rPr>
          <w:rFonts w:cs="Arial"/>
          <w:sz w:val="24"/>
          <w:szCs w:val="24"/>
        </w:rPr>
        <w:t xml:space="preserve"> Drinking Water Treatment Systems</w:t>
      </w:r>
    </w:p>
    <w:p w14:paraId="11DC8534" w14:textId="06D747CA" w:rsidR="00224C51" w:rsidRPr="00EF198E" w:rsidRDefault="00224C51" w:rsidP="00224C51">
      <w:pPr>
        <w:pStyle w:val="ListParagraph"/>
        <w:numPr>
          <w:ilvl w:val="1"/>
          <w:numId w:val="8"/>
        </w:numPr>
        <w:spacing w:after="0"/>
        <w:rPr>
          <w:rFonts w:cs="Arial"/>
          <w:sz w:val="24"/>
          <w:szCs w:val="24"/>
        </w:rPr>
      </w:pPr>
      <w:r w:rsidRPr="00EF198E">
        <w:rPr>
          <w:rFonts w:cs="Arial"/>
          <w:sz w:val="24"/>
          <w:szCs w:val="24"/>
        </w:rPr>
        <w:t>WS-026</w:t>
      </w:r>
      <w:r>
        <w:rPr>
          <w:rFonts w:cs="Arial"/>
          <w:sz w:val="24"/>
          <w:szCs w:val="24"/>
        </w:rPr>
        <w:t xml:space="preserve"> </w:t>
      </w:r>
      <w:r w:rsidR="000827FB">
        <w:rPr>
          <w:rFonts w:cs="Arial"/>
          <w:sz w:val="24"/>
          <w:szCs w:val="24"/>
        </w:rPr>
        <w:t>–</w:t>
      </w:r>
      <w:r>
        <w:rPr>
          <w:rFonts w:cs="Arial"/>
          <w:sz w:val="24"/>
          <w:szCs w:val="24"/>
        </w:rPr>
        <w:t xml:space="preserve"> Valves </w:t>
      </w:r>
      <w:r w:rsidR="004C2B53">
        <w:rPr>
          <w:rFonts w:cs="Arial"/>
          <w:sz w:val="24"/>
          <w:szCs w:val="24"/>
        </w:rPr>
        <w:t>P</w:t>
      </w:r>
      <w:r>
        <w:rPr>
          <w:rFonts w:cs="Arial"/>
          <w:sz w:val="24"/>
          <w:szCs w:val="24"/>
        </w:rPr>
        <w:t>rimarily for use in Warm and Hot Water Systems</w:t>
      </w:r>
    </w:p>
    <w:p w14:paraId="53EEC4E0" w14:textId="0BE9C297" w:rsidR="00224C51" w:rsidRDefault="00224C51" w:rsidP="00224C51">
      <w:pPr>
        <w:pStyle w:val="ListParagraph"/>
        <w:numPr>
          <w:ilvl w:val="1"/>
          <w:numId w:val="8"/>
        </w:numPr>
        <w:spacing w:after="0"/>
        <w:rPr>
          <w:rFonts w:cs="Arial"/>
          <w:sz w:val="24"/>
          <w:szCs w:val="24"/>
        </w:rPr>
      </w:pPr>
      <w:r w:rsidRPr="00EF198E">
        <w:rPr>
          <w:rFonts w:cs="Arial"/>
          <w:sz w:val="24"/>
          <w:szCs w:val="24"/>
        </w:rPr>
        <w:t>WS-022</w:t>
      </w:r>
      <w:r>
        <w:rPr>
          <w:rFonts w:cs="Arial"/>
          <w:sz w:val="24"/>
          <w:szCs w:val="24"/>
        </w:rPr>
        <w:t xml:space="preserve"> </w:t>
      </w:r>
      <w:r w:rsidR="000827FB">
        <w:rPr>
          <w:rFonts w:cs="Arial"/>
          <w:sz w:val="24"/>
          <w:szCs w:val="24"/>
        </w:rPr>
        <w:t>–</w:t>
      </w:r>
      <w:r>
        <w:rPr>
          <w:rFonts w:cs="Arial"/>
          <w:sz w:val="24"/>
          <w:szCs w:val="24"/>
        </w:rPr>
        <w:t xml:space="preserve"> Valves for Waterworks Purposes</w:t>
      </w:r>
    </w:p>
    <w:p w14:paraId="0A03ACEE" w14:textId="21DAC2CB" w:rsidR="00224C51" w:rsidRPr="00EF198E" w:rsidRDefault="00224C51" w:rsidP="00224C51">
      <w:pPr>
        <w:pStyle w:val="ListParagraph"/>
        <w:numPr>
          <w:ilvl w:val="1"/>
          <w:numId w:val="8"/>
        </w:numPr>
        <w:spacing w:after="0"/>
        <w:rPr>
          <w:rFonts w:cs="Arial"/>
          <w:sz w:val="24"/>
          <w:szCs w:val="24"/>
        </w:rPr>
      </w:pPr>
      <w:r w:rsidRPr="00EF198E">
        <w:rPr>
          <w:rFonts w:cs="Arial"/>
          <w:sz w:val="24"/>
          <w:szCs w:val="24"/>
        </w:rPr>
        <w:t>WS-001</w:t>
      </w:r>
      <w:r>
        <w:rPr>
          <w:rFonts w:cs="Arial"/>
          <w:sz w:val="24"/>
          <w:szCs w:val="24"/>
        </w:rPr>
        <w:t xml:space="preserve"> </w:t>
      </w:r>
      <w:r w:rsidR="000827FB">
        <w:rPr>
          <w:rFonts w:cs="Arial"/>
          <w:sz w:val="24"/>
          <w:szCs w:val="24"/>
        </w:rPr>
        <w:t>–</w:t>
      </w:r>
      <w:r>
        <w:rPr>
          <w:rFonts w:cs="Arial"/>
          <w:sz w:val="24"/>
          <w:szCs w:val="24"/>
        </w:rPr>
        <w:t xml:space="preserve"> Water and Gas Fittings</w:t>
      </w:r>
    </w:p>
    <w:p w14:paraId="4A0DDAFC" w14:textId="606FB877" w:rsidR="00224C51" w:rsidRPr="00EF198E" w:rsidRDefault="00224C51" w:rsidP="00224C51">
      <w:pPr>
        <w:pStyle w:val="ListParagraph"/>
        <w:numPr>
          <w:ilvl w:val="1"/>
          <w:numId w:val="8"/>
        </w:numPr>
        <w:spacing w:after="0"/>
        <w:rPr>
          <w:rFonts w:cs="Arial"/>
          <w:sz w:val="24"/>
          <w:szCs w:val="24"/>
        </w:rPr>
      </w:pPr>
      <w:r w:rsidRPr="00EF198E">
        <w:rPr>
          <w:rFonts w:cs="Arial"/>
          <w:sz w:val="24"/>
          <w:szCs w:val="24"/>
        </w:rPr>
        <w:t>EL-020</w:t>
      </w:r>
      <w:r>
        <w:rPr>
          <w:rFonts w:cs="Arial"/>
          <w:sz w:val="24"/>
          <w:szCs w:val="24"/>
        </w:rPr>
        <w:t xml:space="preserve"> </w:t>
      </w:r>
      <w:r w:rsidR="000827FB">
        <w:rPr>
          <w:rFonts w:cs="Arial"/>
          <w:sz w:val="24"/>
          <w:szCs w:val="24"/>
        </w:rPr>
        <w:t>–</w:t>
      </w:r>
      <w:r>
        <w:rPr>
          <w:rFonts w:cs="Arial"/>
          <w:sz w:val="24"/>
          <w:szCs w:val="24"/>
        </w:rPr>
        <w:t xml:space="preserve"> </w:t>
      </w:r>
      <w:r w:rsidRPr="00224C51">
        <w:rPr>
          <w:rFonts w:cs="Arial"/>
          <w:sz w:val="24"/>
          <w:szCs w:val="24"/>
        </w:rPr>
        <w:t>Electric Water Heating Appliances</w:t>
      </w:r>
    </w:p>
    <w:p w14:paraId="1096DC0D" w14:textId="39049B73" w:rsidR="00224C51" w:rsidRPr="00EF198E" w:rsidRDefault="00224C51" w:rsidP="00224C51">
      <w:pPr>
        <w:pStyle w:val="ListParagraph"/>
        <w:numPr>
          <w:ilvl w:val="1"/>
          <w:numId w:val="8"/>
        </w:numPr>
        <w:spacing w:after="0"/>
        <w:rPr>
          <w:rFonts w:cs="Arial"/>
          <w:sz w:val="24"/>
          <w:szCs w:val="24"/>
        </w:rPr>
      </w:pPr>
      <w:r w:rsidRPr="00EF198E">
        <w:rPr>
          <w:rFonts w:cs="Arial"/>
          <w:sz w:val="24"/>
          <w:szCs w:val="24"/>
        </w:rPr>
        <w:t>WS-016</w:t>
      </w:r>
      <w:r>
        <w:rPr>
          <w:rFonts w:cs="Arial"/>
          <w:sz w:val="24"/>
          <w:szCs w:val="24"/>
        </w:rPr>
        <w:t xml:space="preserve"> </w:t>
      </w:r>
      <w:r w:rsidR="000827FB">
        <w:rPr>
          <w:rFonts w:cs="Arial"/>
          <w:sz w:val="24"/>
          <w:szCs w:val="24"/>
        </w:rPr>
        <w:t>–</w:t>
      </w:r>
      <w:r>
        <w:rPr>
          <w:rFonts w:cs="Arial"/>
          <w:sz w:val="24"/>
          <w:szCs w:val="24"/>
        </w:rPr>
        <w:t xml:space="preserve"> Cast </w:t>
      </w:r>
      <w:r w:rsidR="004C2B53">
        <w:rPr>
          <w:rFonts w:cs="Arial"/>
          <w:sz w:val="24"/>
          <w:szCs w:val="24"/>
        </w:rPr>
        <w:t>I</w:t>
      </w:r>
      <w:r>
        <w:rPr>
          <w:rFonts w:cs="Arial"/>
          <w:sz w:val="24"/>
          <w:szCs w:val="24"/>
        </w:rPr>
        <w:t>ron Pressure and Pipe Fittings</w:t>
      </w:r>
    </w:p>
    <w:p w14:paraId="0684A4C9" w14:textId="00CC6C0A" w:rsidR="00224C51" w:rsidRPr="00EF198E" w:rsidRDefault="00224C51" w:rsidP="00224C51">
      <w:pPr>
        <w:pStyle w:val="ListParagraph"/>
        <w:numPr>
          <w:ilvl w:val="1"/>
          <w:numId w:val="8"/>
        </w:numPr>
        <w:spacing w:after="0"/>
        <w:rPr>
          <w:rFonts w:cs="Arial"/>
          <w:sz w:val="24"/>
          <w:szCs w:val="24"/>
        </w:rPr>
      </w:pPr>
      <w:r w:rsidRPr="00EF198E">
        <w:rPr>
          <w:rFonts w:cs="Arial"/>
          <w:sz w:val="24"/>
          <w:szCs w:val="24"/>
        </w:rPr>
        <w:t>CH-034</w:t>
      </w:r>
      <w:r>
        <w:rPr>
          <w:rFonts w:cs="Arial"/>
          <w:sz w:val="24"/>
          <w:szCs w:val="24"/>
        </w:rPr>
        <w:t xml:space="preserve"> </w:t>
      </w:r>
      <w:r w:rsidR="000827FB">
        <w:rPr>
          <w:rFonts w:cs="Arial"/>
          <w:sz w:val="24"/>
          <w:szCs w:val="24"/>
        </w:rPr>
        <w:t>–</w:t>
      </w:r>
      <w:r>
        <w:rPr>
          <w:rFonts w:cs="Arial"/>
          <w:sz w:val="24"/>
          <w:szCs w:val="24"/>
        </w:rPr>
        <w:t xml:space="preserve"> Materials in Contact with Drinking Water</w:t>
      </w:r>
    </w:p>
    <w:p w14:paraId="29B26021" w14:textId="3D596644" w:rsidR="00224C51" w:rsidRPr="00224C51" w:rsidRDefault="00224C51" w:rsidP="00224C51">
      <w:pPr>
        <w:pStyle w:val="ListParagraph"/>
        <w:numPr>
          <w:ilvl w:val="1"/>
          <w:numId w:val="8"/>
        </w:numPr>
        <w:spacing w:after="0"/>
        <w:rPr>
          <w:rFonts w:cs="Arial"/>
          <w:sz w:val="24"/>
          <w:szCs w:val="24"/>
        </w:rPr>
      </w:pPr>
      <w:r w:rsidRPr="00EF198E">
        <w:rPr>
          <w:rFonts w:cs="Arial"/>
          <w:sz w:val="24"/>
          <w:szCs w:val="24"/>
        </w:rPr>
        <w:t>WS-0</w:t>
      </w:r>
      <w:r>
        <w:rPr>
          <w:rFonts w:cs="Arial"/>
          <w:sz w:val="24"/>
          <w:szCs w:val="24"/>
        </w:rPr>
        <w:t>0</w:t>
      </w:r>
      <w:r w:rsidRPr="00EF198E">
        <w:rPr>
          <w:rFonts w:cs="Arial"/>
          <w:sz w:val="24"/>
          <w:szCs w:val="24"/>
        </w:rPr>
        <w:t>3</w:t>
      </w:r>
      <w:r>
        <w:rPr>
          <w:rFonts w:cs="Arial"/>
          <w:sz w:val="24"/>
          <w:szCs w:val="24"/>
        </w:rPr>
        <w:t xml:space="preserve"> </w:t>
      </w:r>
      <w:r w:rsidR="000827FB">
        <w:rPr>
          <w:rFonts w:cs="Arial"/>
          <w:sz w:val="24"/>
          <w:szCs w:val="24"/>
        </w:rPr>
        <w:t>–</w:t>
      </w:r>
      <w:r>
        <w:rPr>
          <w:rFonts w:cs="Arial"/>
          <w:sz w:val="24"/>
          <w:szCs w:val="24"/>
        </w:rPr>
        <w:t xml:space="preserve"> Sanitary Plumbing Fixtures</w:t>
      </w:r>
    </w:p>
    <w:bookmarkEnd w:id="305"/>
    <w:p w14:paraId="3B1E92CD" w14:textId="77777777" w:rsidR="00742929" w:rsidRDefault="00742929" w:rsidP="00643E2F">
      <w:pPr>
        <w:pStyle w:val="ListBullet"/>
        <w:numPr>
          <w:ilvl w:val="0"/>
          <w:numId w:val="0"/>
        </w:numPr>
        <w:rPr>
          <w:rFonts w:eastAsiaTheme="majorEastAsia" w:cs="Arial"/>
          <w:bCs/>
          <w:color w:val="002060"/>
          <w:sz w:val="24"/>
          <w:szCs w:val="24"/>
        </w:rPr>
      </w:pPr>
    </w:p>
    <w:p w14:paraId="1EF2A0E2" w14:textId="77777777" w:rsidR="00224C51" w:rsidRPr="00EF198E" w:rsidRDefault="00224C51" w:rsidP="00643E2F">
      <w:pPr>
        <w:pStyle w:val="ListBullet"/>
        <w:numPr>
          <w:ilvl w:val="0"/>
          <w:numId w:val="0"/>
        </w:numPr>
        <w:rPr>
          <w:rFonts w:eastAsiaTheme="majorEastAsia" w:cs="Arial"/>
          <w:bCs/>
          <w:color w:val="002060"/>
          <w:sz w:val="24"/>
          <w:szCs w:val="24"/>
        </w:rPr>
        <w:sectPr w:rsidR="00224C51" w:rsidRPr="00EF198E" w:rsidSect="00EF198E">
          <w:type w:val="continuous"/>
          <w:pgSz w:w="11906" w:h="16838"/>
          <w:pgMar w:top="1440" w:right="1440" w:bottom="1440" w:left="1440" w:header="708" w:footer="708" w:gutter="0"/>
          <w:cols w:num="2" w:space="708"/>
          <w:docGrid w:linePitch="360"/>
        </w:sectPr>
      </w:pPr>
    </w:p>
    <w:p w14:paraId="5D12D2D8" w14:textId="77777777" w:rsidR="00D10CF8" w:rsidRDefault="00D10CF8">
      <w:pPr>
        <w:rPr>
          <w:rFonts w:cs="Arial"/>
          <w:sz w:val="24"/>
          <w:szCs w:val="24"/>
        </w:rPr>
      </w:pPr>
      <w:r>
        <w:rPr>
          <w:rFonts w:cs="Arial"/>
          <w:sz w:val="24"/>
          <w:szCs w:val="24"/>
        </w:rPr>
        <w:br w:type="page"/>
      </w:r>
    </w:p>
    <w:p w14:paraId="362F9305" w14:textId="7D2B27EB" w:rsidR="00742929" w:rsidRDefault="00EF6B3B" w:rsidP="00E462AD">
      <w:pPr>
        <w:spacing w:before="480" w:after="0" w:line="360" w:lineRule="auto"/>
        <w:jc w:val="both"/>
        <w:rPr>
          <w:rFonts w:cs="Arial"/>
          <w:sz w:val="24"/>
          <w:szCs w:val="24"/>
        </w:rPr>
      </w:pPr>
      <w:r w:rsidRPr="00EF198E">
        <w:rPr>
          <w:rFonts w:cs="Arial"/>
          <w:sz w:val="24"/>
          <w:szCs w:val="24"/>
        </w:rPr>
        <w:lastRenderedPageBreak/>
        <w:t xml:space="preserve">The </w:t>
      </w:r>
      <w:r w:rsidR="007E47D3" w:rsidRPr="00EF198E">
        <w:rPr>
          <w:rFonts w:cs="Arial"/>
          <w:sz w:val="24"/>
          <w:szCs w:val="24"/>
        </w:rPr>
        <w:t xml:space="preserve">forum </w:t>
      </w:r>
      <w:r w:rsidRPr="00EF198E">
        <w:rPr>
          <w:rFonts w:cs="Arial"/>
          <w:sz w:val="24"/>
          <w:szCs w:val="24"/>
        </w:rPr>
        <w:t xml:space="preserve">provided useful information on </w:t>
      </w:r>
      <w:r w:rsidR="007E47D3" w:rsidRPr="00EF198E">
        <w:rPr>
          <w:rFonts w:cs="Arial"/>
          <w:sz w:val="24"/>
          <w:szCs w:val="24"/>
        </w:rPr>
        <w:t xml:space="preserve">the current market, range of </w:t>
      </w:r>
      <w:r w:rsidRPr="00EF198E">
        <w:rPr>
          <w:rFonts w:cs="Arial"/>
          <w:sz w:val="24"/>
          <w:szCs w:val="24"/>
        </w:rPr>
        <w:t xml:space="preserve">products, impacts (costs) </w:t>
      </w:r>
      <w:r w:rsidR="007E47D3" w:rsidRPr="00EF198E">
        <w:rPr>
          <w:rFonts w:cs="Arial"/>
          <w:sz w:val="24"/>
          <w:szCs w:val="24"/>
        </w:rPr>
        <w:t xml:space="preserve">of reducing lead and </w:t>
      </w:r>
      <w:r w:rsidRPr="00EF198E">
        <w:rPr>
          <w:rFonts w:cs="Arial"/>
          <w:sz w:val="24"/>
          <w:szCs w:val="24"/>
        </w:rPr>
        <w:t xml:space="preserve">the </w:t>
      </w:r>
      <w:r w:rsidR="007E47D3" w:rsidRPr="00EF198E">
        <w:rPr>
          <w:rFonts w:cs="Arial"/>
          <w:sz w:val="24"/>
          <w:szCs w:val="24"/>
        </w:rPr>
        <w:t xml:space="preserve">feasibility of options. </w:t>
      </w:r>
      <w:r w:rsidRPr="00EF198E">
        <w:rPr>
          <w:rFonts w:cs="Arial"/>
          <w:sz w:val="24"/>
          <w:szCs w:val="24"/>
        </w:rPr>
        <w:t xml:space="preserve">The survey and discussion revealed </w:t>
      </w:r>
      <w:r w:rsidR="007E47D3" w:rsidRPr="00EF198E">
        <w:rPr>
          <w:rFonts w:cs="Arial"/>
          <w:sz w:val="24"/>
          <w:szCs w:val="24"/>
        </w:rPr>
        <w:t>a high level of support for reducing lead in plumbing products.</w:t>
      </w:r>
      <w:r w:rsidRPr="00EF198E">
        <w:rPr>
          <w:rFonts w:cs="Arial"/>
          <w:sz w:val="24"/>
          <w:szCs w:val="24"/>
        </w:rPr>
        <w:t xml:space="preserve"> </w:t>
      </w:r>
      <w:r w:rsidR="00B9118F" w:rsidRPr="00EF198E">
        <w:rPr>
          <w:rFonts w:cs="Arial"/>
          <w:sz w:val="24"/>
          <w:szCs w:val="24"/>
        </w:rPr>
        <w:t>The forum discussed products in general terms noting i</w:t>
      </w:r>
      <w:r w:rsidRPr="00EF198E">
        <w:rPr>
          <w:rFonts w:cs="Arial"/>
          <w:sz w:val="24"/>
          <w:szCs w:val="24"/>
        </w:rPr>
        <w:t xml:space="preserve">ndividual </w:t>
      </w:r>
      <w:r w:rsidR="00742929" w:rsidRPr="00EF198E">
        <w:rPr>
          <w:rFonts w:cs="Arial"/>
          <w:sz w:val="24"/>
          <w:szCs w:val="24"/>
        </w:rPr>
        <w:t xml:space="preserve">products more likely to be manufactured within Australia </w:t>
      </w:r>
      <w:r w:rsidRPr="00EF198E">
        <w:rPr>
          <w:rFonts w:cs="Arial"/>
          <w:sz w:val="24"/>
          <w:szCs w:val="24"/>
        </w:rPr>
        <w:t xml:space="preserve">include valve manufacturing and </w:t>
      </w:r>
      <w:r w:rsidR="00742929" w:rsidRPr="00EF198E">
        <w:rPr>
          <w:rFonts w:cs="Arial"/>
          <w:sz w:val="24"/>
          <w:szCs w:val="24"/>
        </w:rPr>
        <w:t>storage water heaters</w:t>
      </w:r>
      <w:r w:rsidR="000B5120">
        <w:rPr>
          <w:rFonts w:cs="Arial"/>
          <w:sz w:val="24"/>
          <w:szCs w:val="24"/>
        </w:rPr>
        <w:t>, where i</w:t>
      </w:r>
      <w:r w:rsidR="00742929" w:rsidRPr="00EF198E">
        <w:rPr>
          <w:rFonts w:cs="Arial"/>
          <w:sz w:val="24"/>
          <w:szCs w:val="24"/>
        </w:rPr>
        <w:t>nstantane</w:t>
      </w:r>
      <w:r w:rsidRPr="00EF198E">
        <w:rPr>
          <w:rFonts w:cs="Arial"/>
          <w:sz w:val="24"/>
          <w:szCs w:val="24"/>
        </w:rPr>
        <w:t>ous water heaters and flexible connectors are predominantly imported</w:t>
      </w:r>
      <w:r w:rsidR="00742929" w:rsidRPr="00EF198E">
        <w:rPr>
          <w:rFonts w:cs="Arial"/>
          <w:sz w:val="24"/>
          <w:szCs w:val="24"/>
        </w:rPr>
        <w:t>.</w:t>
      </w:r>
    </w:p>
    <w:p w14:paraId="5A27E588" w14:textId="77777777" w:rsidR="00AC2964" w:rsidRDefault="00EF6B3B" w:rsidP="00ED538C">
      <w:pPr>
        <w:spacing w:before="120" w:after="120" w:line="360" w:lineRule="auto"/>
        <w:jc w:val="both"/>
        <w:rPr>
          <w:rFonts w:cs="Arial"/>
          <w:sz w:val="24"/>
          <w:szCs w:val="24"/>
        </w:rPr>
      </w:pPr>
      <w:r w:rsidRPr="00EF198E">
        <w:rPr>
          <w:rFonts w:cs="Arial"/>
          <w:sz w:val="24"/>
          <w:szCs w:val="24"/>
        </w:rPr>
        <w:t xml:space="preserve">For affected products, </w:t>
      </w:r>
      <w:r w:rsidR="0048101F" w:rsidRPr="00EF198E">
        <w:rPr>
          <w:rFonts w:cs="Arial"/>
          <w:sz w:val="24"/>
          <w:szCs w:val="24"/>
        </w:rPr>
        <w:t xml:space="preserve">a reduction of lead in </w:t>
      </w:r>
      <w:r w:rsidR="00D25AF2" w:rsidRPr="00EF198E">
        <w:rPr>
          <w:rFonts w:cs="Arial"/>
          <w:sz w:val="24"/>
          <w:szCs w:val="24"/>
        </w:rPr>
        <w:t xml:space="preserve">brass </w:t>
      </w:r>
      <w:r w:rsidRPr="00EF198E">
        <w:rPr>
          <w:rFonts w:cs="Arial"/>
          <w:sz w:val="24"/>
          <w:szCs w:val="24"/>
        </w:rPr>
        <w:t xml:space="preserve">material inputs </w:t>
      </w:r>
      <w:r w:rsidR="0048101F" w:rsidRPr="00EF198E">
        <w:rPr>
          <w:rFonts w:cs="Arial"/>
          <w:sz w:val="24"/>
          <w:szCs w:val="24"/>
        </w:rPr>
        <w:t>increases machining time and wear</w:t>
      </w:r>
      <w:r w:rsidR="004C2B53">
        <w:rPr>
          <w:rFonts w:cs="Arial"/>
          <w:sz w:val="24"/>
          <w:szCs w:val="24"/>
        </w:rPr>
        <w:t>,</w:t>
      </w:r>
      <w:r w:rsidR="0048101F" w:rsidRPr="00EF198E">
        <w:rPr>
          <w:rFonts w:cs="Arial"/>
          <w:sz w:val="24"/>
          <w:szCs w:val="24"/>
        </w:rPr>
        <w:t xml:space="preserve"> </w:t>
      </w:r>
      <w:r w:rsidR="00D25AF2" w:rsidRPr="00EF198E">
        <w:rPr>
          <w:rFonts w:cs="Arial"/>
          <w:sz w:val="24"/>
          <w:szCs w:val="24"/>
        </w:rPr>
        <w:t xml:space="preserve">resulting in </w:t>
      </w:r>
      <w:r w:rsidR="0048101F" w:rsidRPr="00EF198E">
        <w:rPr>
          <w:rFonts w:cs="Arial"/>
          <w:sz w:val="24"/>
          <w:szCs w:val="24"/>
        </w:rPr>
        <w:t>higher material costs and lower batch sizes</w:t>
      </w:r>
      <w:r w:rsidRPr="00EF198E">
        <w:rPr>
          <w:rFonts w:cs="Arial"/>
          <w:sz w:val="24"/>
          <w:szCs w:val="24"/>
        </w:rPr>
        <w:t>.</w:t>
      </w:r>
      <w:r w:rsidR="0048101F" w:rsidRPr="00EF198E">
        <w:rPr>
          <w:rFonts w:cs="Arial"/>
          <w:sz w:val="24"/>
          <w:szCs w:val="24"/>
        </w:rPr>
        <w:t xml:space="preserve"> In general, prices would </w:t>
      </w:r>
      <w:r w:rsidR="00B9118F" w:rsidRPr="00EF198E">
        <w:rPr>
          <w:rFonts w:cs="Arial"/>
          <w:sz w:val="24"/>
          <w:szCs w:val="24"/>
        </w:rPr>
        <w:t xml:space="preserve">be expected to </w:t>
      </w:r>
      <w:r w:rsidR="0048101F" w:rsidRPr="00EF198E">
        <w:rPr>
          <w:rFonts w:cs="Arial"/>
          <w:sz w:val="24"/>
          <w:szCs w:val="24"/>
        </w:rPr>
        <w:t xml:space="preserve">increase as a result of compliance with lower lead </w:t>
      </w:r>
      <w:r w:rsidR="00B9118F" w:rsidRPr="00EF198E">
        <w:rPr>
          <w:rFonts w:cs="Arial"/>
          <w:sz w:val="24"/>
          <w:szCs w:val="24"/>
        </w:rPr>
        <w:t xml:space="preserve">levels. As </w:t>
      </w:r>
      <w:r w:rsidR="0048101F" w:rsidRPr="00EF198E">
        <w:rPr>
          <w:rFonts w:cs="Arial"/>
          <w:sz w:val="24"/>
          <w:szCs w:val="24"/>
        </w:rPr>
        <w:t>a highly competitive</w:t>
      </w:r>
      <w:r w:rsidR="00B9118F" w:rsidRPr="00EF198E">
        <w:rPr>
          <w:rFonts w:cs="Arial"/>
          <w:sz w:val="24"/>
          <w:szCs w:val="24"/>
        </w:rPr>
        <w:t xml:space="preserve"> plumbing </w:t>
      </w:r>
      <w:r w:rsidR="0048101F" w:rsidRPr="00EF198E">
        <w:rPr>
          <w:rFonts w:cs="Arial"/>
          <w:sz w:val="24"/>
          <w:szCs w:val="24"/>
        </w:rPr>
        <w:t xml:space="preserve">market </w:t>
      </w:r>
      <w:r w:rsidR="00B9118F" w:rsidRPr="00EF198E">
        <w:rPr>
          <w:rFonts w:cs="Arial"/>
          <w:sz w:val="24"/>
          <w:szCs w:val="24"/>
        </w:rPr>
        <w:t xml:space="preserve">these would be reflected in </w:t>
      </w:r>
      <w:r w:rsidR="00D25AF2" w:rsidRPr="00EF198E">
        <w:rPr>
          <w:rFonts w:cs="Arial"/>
          <w:sz w:val="24"/>
          <w:szCs w:val="24"/>
        </w:rPr>
        <w:t>retail costs</w:t>
      </w:r>
      <w:r w:rsidR="008C429E">
        <w:rPr>
          <w:rFonts w:cs="Arial"/>
          <w:sz w:val="24"/>
          <w:szCs w:val="24"/>
        </w:rPr>
        <w:t>.</w:t>
      </w:r>
    </w:p>
    <w:p w14:paraId="479D6D85" w14:textId="77777777" w:rsidR="00EF198E" w:rsidRDefault="00895876" w:rsidP="00545F8B">
      <w:pPr>
        <w:spacing w:after="120" w:line="360" w:lineRule="auto"/>
        <w:jc w:val="both"/>
        <w:rPr>
          <w:rFonts w:cs="Arial"/>
          <w:sz w:val="24"/>
          <w:szCs w:val="24"/>
        </w:rPr>
      </w:pPr>
      <w:r w:rsidRPr="00EF198E">
        <w:rPr>
          <w:rFonts w:cs="Arial"/>
          <w:sz w:val="24"/>
          <w:szCs w:val="24"/>
        </w:rPr>
        <w:t xml:space="preserve">For </w:t>
      </w:r>
      <w:r w:rsidR="0064346A">
        <w:rPr>
          <w:rFonts w:cs="Arial"/>
          <w:sz w:val="24"/>
          <w:szCs w:val="24"/>
        </w:rPr>
        <w:t>the regulatory option</w:t>
      </w:r>
      <w:r w:rsidR="001F50BD" w:rsidRPr="00EF198E">
        <w:rPr>
          <w:rFonts w:cs="Arial"/>
          <w:sz w:val="24"/>
          <w:szCs w:val="24"/>
        </w:rPr>
        <w:t xml:space="preserve">, </w:t>
      </w:r>
      <w:r w:rsidRPr="00EF198E">
        <w:rPr>
          <w:rFonts w:cs="Arial"/>
          <w:sz w:val="24"/>
          <w:szCs w:val="24"/>
        </w:rPr>
        <w:t>transition period</w:t>
      </w:r>
      <w:r w:rsidR="001F50BD" w:rsidRPr="00EF198E">
        <w:rPr>
          <w:rFonts w:cs="Arial"/>
          <w:sz w:val="24"/>
          <w:szCs w:val="24"/>
        </w:rPr>
        <w:t>s</w:t>
      </w:r>
      <w:r w:rsidRPr="00EF198E">
        <w:rPr>
          <w:rFonts w:cs="Arial"/>
          <w:sz w:val="24"/>
          <w:szCs w:val="24"/>
        </w:rPr>
        <w:t xml:space="preserve"> were acknowledged as an important factor in enabling</w:t>
      </w:r>
      <w:r w:rsidR="001F50BD" w:rsidRPr="00EF198E">
        <w:rPr>
          <w:rFonts w:cs="Arial"/>
          <w:sz w:val="24"/>
          <w:szCs w:val="24"/>
        </w:rPr>
        <w:t xml:space="preserve">: </w:t>
      </w:r>
    </w:p>
    <w:p w14:paraId="7D7F5C5B" w14:textId="77777777" w:rsidR="00895876" w:rsidRPr="00EF198E" w:rsidRDefault="00895876" w:rsidP="004E234A">
      <w:pPr>
        <w:spacing w:after="0" w:line="360" w:lineRule="auto"/>
        <w:rPr>
          <w:rFonts w:cs="Arial"/>
          <w:sz w:val="24"/>
          <w:szCs w:val="24"/>
        </w:rPr>
      </w:pPr>
      <w:r w:rsidRPr="00EF198E">
        <w:rPr>
          <w:rFonts w:cs="Arial"/>
          <w:sz w:val="24"/>
          <w:szCs w:val="24"/>
        </w:rPr>
        <w:t>Affected manufacturers to</w:t>
      </w:r>
      <w:r w:rsidR="00EF198E">
        <w:rPr>
          <w:rFonts w:cs="Arial"/>
          <w:sz w:val="24"/>
          <w:szCs w:val="24"/>
        </w:rPr>
        <w:t>:</w:t>
      </w:r>
    </w:p>
    <w:p w14:paraId="1A07157C" w14:textId="77777777" w:rsidR="00895876" w:rsidRPr="00EF198E" w:rsidRDefault="00895876" w:rsidP="00ED538C">
      <w:pPr>
        <w:tabs>
          <w:tab w:val="left" w:pos="284"/>
        </w:tabs>
        <w:spacing w:after="0" w:line="360" w:lineRule="auto"/>
        <w:rPr>
          <w:rFonts w:cs="Arial"/>
          <w:sz w:val="24"/>
          <w:szCs w:val="24"/>
        </w:rPr>
      </w:pPr>
      <w:r w:rsidRPr="00EF198E">
        <w:rPr>
          <w:rFonts w:cs="Arial"/>
          <w:sz w:val="24"/>
          <w:szCs w:val="24"/>
        </w:rPr>
        <w:t>•</w:t>
      </w:r>
      <w:r w:rsidRPr="00EF198E">
        <w:rPr>
          <w:rFonts w:cs="Arial"/>
          <w:sz w:val="24"/>
          <w:szCs w:val="24"/>
        </w:rPr>
        <w:tab/>
        <w:t xml:space="preserve">test </w:t>
      </w:r>
    </w:p>
    <w:p w14:paraId="1CCFE46E" w14:textId="77777777" w:rsidR="00895876" w:rsidRPr="00EF198E" w:rsidRDefault="00895876" w:rsidP="00ED538C">
      <w:pPr>
        <w:tabs>
          <w:tab w:val="left" w:pos="284"/>
        </w:tabs>
        <w:spacing w:after="0" w:line="360" w:lineRule="auto"/>
        <w:rPr>
          <w:rFonts w:cs="Arial"/>
          <w:sz w:val="24"/>
          <w:szCs w:val="24"/>
        </w:rPr>
      </w:pPr>
      <w:r w:rsidRPr="00EF198E">
        <w:rPr>
          <w:rFonts w:cs="Arial"/>
          <w:sz w:val="24"/>
          <w:szCs w:val="24"/>
        </w:rPr>
        <w:t>•</w:t>
      </w:r>
      <w:r w:rsidRPr="00EF198E">
        <w:rPr>
          <w:rFonts w:cs="Arial"/>
          <w:sz w:val="24"/>
          <w:szCs w:val="24"/>
        </w:rPr>
        <w:tab/>
        <w:t xml:space="preserve">purchase equipment </w:t>
      </w:r>
    </w:p>
    <w:p w14:paraId="6E7B1425" w14:textId="6D6FC7C7" w:rsidR="00BD2C03" w:rsidRDefault="00895876" w:rsidP="00ED538C">
      <w:pPr>
        <w:tabs>
          <w:tab w:val="left" w:pos="284"/>
        </w:tabs>
        <w:spacing w:after="0" w:line="360" w:lineRule="auto"/>
        <w:rPr>
          <w:rFonts w:cs="Arial"/>
          <w:sz w:val="24"/>
          <w:szCs w:val="24"/>
        </w:rPr>
      </w:pPr>
      <w:r w:rsidRPr="00EF198E">
        <w:rPr>
          <w:rFonts w:cs="Arial"/>
          <w:sz w:val="24"/>
          <w:szCs w:val="24"/>
        </w:rPr>
        <w:t>•</w:t>
      </w:r>
      <w:r w:rsidRPr="00EF198E">
        <w:rPr>
          <w:rFonts w:cs="Arial"/>
          <w:sz w:val="24"/>
          <w:szCs w:val="24"/>
        </w:rPr>
        <w:tab/>
        <w:t>source raw materials</w:t>
      </w:r>
      <w:r w:rsidR="00ED538C">
        <w:rPr>
          <w:rFonts w:cs="Arial"/>
          <w:sz w:val="24"/>
          <w:szCs w:val="24"/>
        </w:rPr>
        <w:t>.</w:t>
      </w:r>
      <w:r w:rsidRPr="00EF198E">
        <w:rPr>
          <w:rFonts w:cs="Arial"/>
          <w:sz w:val="24"/>
          <w:szCs w:val="24"/>
        </w:rPr>
        <w:t xml:space="preserve"> </w:t>
      </w:r>
    </w:p>
    <w:p w14:paraId="02C0B486" w14:textId="77777777" w:rsidR="00895876" w:rsidRPr="00EF198E" w:rsidRDefault="00895876" w:rsidP="00ED538C">
      <w:pPr>
        <w:tabs>
          <w:tab w:val="left" w:pos="284"/>
        </w:tabs>
        <w:spacing w:after="0" w:line="360" w:lineRule="auto"/>
        <w:rPr>
          <w:rFonts w:cs="Arial"/>
          <w:sz w:val="24"/>
          <w:szCs w:val="24"/>
        </w:rPr>
      </w:pPr>
      <w:r w:rsidRPr="00EF198E">
        <w:rPr>
          <w:rFonts w:cs="Arial"/>
          <w:sz w:val="24"/>
          <w:szCs w:val="24"/>
        </w:rPr>
        <w:t>Suppliers to</w:t>
      </w:r>
      <w:r w:rsidR="00EF198E">
        <w:rPr>
          <w:rFonts w:cs="Arial"/>
          <w:sz w:val="24"/>
          <w:szCs w:val="24"/>
        </w:rPr>
        <w:t xml:space="preserve">: </w:t>
      </w:r>
    </w:p>
    <w:p w14:paraId="35DA2D81" w14:textId="77777777" w:rsidR="00895876" w:rsidRPr="00EF198E" w:rsidRDefault="00895876" w:rsidP="00ED538C">
      <w:pPr>
        <w:tabs>
          <w:tab w:val="left" w:pos="284"/>
        </w:tabs>
        <w:spacing w:after="0" w:line="360" w:lineRule="auto"/>
        <w:rPr>
          <w:rFonts w:cs="Arial"/>
          <w:sz w:val="24"/>
          <w:szCs w:val="24"/>
        </w:rPr>
      </w:pPr>
      <w:r w:rsidRPr="00EF198E">
        <w:rPr>
          <w:rFonts w:cs="Arial"/>
          <w:sz w:val="24"/>
          <w:szCs w:val="24"/>
        </w:rPr>
        <w:t>•</w:t>
      </w:r>
      <w:r w:rsidRPr="00EF198E">
        <w:rPr>
          <w:rFonts w:cs="Arial"/>
          <w:sz w:val="24"/>
          <w:szCs w:val="24"/>
        </w:rPr>
        <w:tab/>
        <w:t xml:space="preserve">consider </w:t>
      </w:r>
      <w:r w:rsidR="00641D27">
        <w:rPr>
          <w:rFonts w:cs="Arial"/>
          <w:sz w:val="24"/>
          <w:szCs w:val="24"/>
        </w:rPr>
        <w:t xml:space="preserve">their </w:t>
      </w:r>
      <w:r w:rsidRPr="00EF198E">
        <w:rPr>
          <w:rFonts w:cs="Arial"/>
          <w:sz w:val="24"/>
          <w:szCs w:val="24"/>
        </w:rPr>
        <w:t xml:space="preserve">response to the range of products </w:t>
      </w:r>
    </w:p>
    <w:p w14:paraId="0E1089E2" w14:textId="77777777" w:rsidR="00895876" w:rsidRPr="00EF198E" w:rsidRDefault="00895876" w:rsidP="00ED538C">
      <w:pPr>
        <w:tabs>
          <w:tab w:val="left" w:pos="284"/>
        </w:tabs>
        <w:spacing w:after="0" w:line="360" w:lineRule="auto"/>
        <w:rPr>
          <w:rFonts w:cs="Arial"/>
          <w:sz w:val="24"/>
          <w:szCs w:val="24"/>
        </w:rPr>
      </w:pPr>
      <w:r w:rsidRPr="00EF198E">
        <w:rPr>
          <w:rFonts w:cs="Arial"/>
          <w:sz w:val="24"/>
          <w:szCs w:val="24"/>
        </w:rPr>
        <w:t>•</w:t>
      </w:r>
      <w:r w:rsidRPr="00EF198E">
        <w:rPr>
          <w:rFonts w:cs="Arial"/>
          <w:sz w:val="24"/>
          <w:szCs w:val="24"/>
        </w:rPr>
        <w:tab/>
        <w:t xml:space="preserve">undertake testing and certification  </w:t>
      </w:r>
    </w:p>
    <w:p w14:paraId="2B864951" w14:textId="29636DE1" w:rsidR="00895876" w:rsidRPr="00EF198E" w:rsidRDefault="00895876" w:rsidP="00ED538C">
      <w:pPr>
        <w:tabs>
          <w:tab w:val="left" w:pos="284"/>
        </w:tabs>
        <w:spacing w:after="0" w:line="360" w:lineRule="auto"/>
        <w:rPr>
          <w:rFonts w:cs="Arial"/>
          <w:sz w:val="24"/>
          <w:szCs w:val="24"/>
        </w:rPr>
      </w:pPr>
      <w:r w:rsidRPr="00EF198E">
        <w:rPr>
          <w:rFonts w:cs="Arial"/>
          <w:sz w:val="24"/>
          <w:szCs w:val="24"/>
        </w:rPr>
        <w:t>•</w:t>
      </w:r>
      <w:r w:rsidRPr="00EF198E">
        <w:rPr>
          <w:rFonts w:cs="Arial"/>
          <w:sz w:val="24"/>
          <w:szCs w:val="24"/>
        </w:rPr>
        <w:tab/>
      </w:r>
      <w:r w:rsidR="00ED538C">
        <w:rPr>
          <w:rFonts w:cs="Arial"/>
          <w:sz w:val="24"/>
          <w:szCs w:val="24"/>
        </w:rPr>
        <w:t>place forward orders</w:t>
      </w:r>
      <w:r w:rsidRPr="00EF198E">
        <w:rPr>
          <w:rFonts w:cs="Arial"/>
          <w:sz w:val="24"/>
          <w:szCs w:val="24"/>
        </w:rPr>
        <w:t xml:space="preserve"> (up to 6 months in advance)</w:t>
      </w:r>
    </w:p>
    <w:p w14:paraId="59B77454" w14:textId="77777777" w:rsidR="001F50BD" w:rsidRPr="00EF198E" w:rsidRDefault="00895876" w:rsidP="00ED538C">
      <w:pPr>
        <w:tabs>
          <w:tab w:val="left" w:pos="284"/>
        </w:tabs>
        <w:spacing w:after="0" w:line="360" w:lineRule="auto"/>
        <w:rPr>
          <w:rFonts w:cs="Arial"/>
          <w:sz w:val="24"/>
          <w:szCs w:val="24"/>
        </w:rPr>
      </w:pPr>
      <w:r w:rsidRPr="00EF198E">
        <w:rPr>
          <w:rFonts w:cs="Arial"/>
          <w:sz w:val="24"/>
          <w:szCs w:val="24"/>
        </w:rPr>
        <w:t>•</w:t>
      </w:r>
      <w:r w:rsidRPr="00EF198E">
        <w:rPr>
          <w:rFonts w:cs="Arial"/>
          <w:sz w:val="24"/>
          <w:szCs w:val="24"/>
        </w:rPr>
        <w:tab/>
      </w:r>
      <w:r w:rsidR="004C2B53">
        <w:rPr>
          <w:rFonts w:cs="Arial"/>
          <w:sz w:val="24"/>
          <w:szCs w:val="24"/>
        </w:rPr>
        <w:t>a</w:t>
      </w:r>
      <w:r w:rsidRPr="00EF198E">
        <w:rPr>
          <w:rFonts w:cs="Arial"/>
          <w:sz w:val="24"/>
          <w:szCs w:val="24"/>
        </w:rPr>
        <w:t xml:space="preserve">llow throughput of old stock </w:t>
      </w:r>
      <w:r w:rsidR="00AA612F">
        <w:rPr>
          <w:rFonts w:cs="Arial"/>
          <w:sz w:val="24"/>
          <w:szCs w:val="24"/>
        </w:rPr>
        <w:t>(</w:t>
      </w:r>
      <w:r w:rsidRPr="00EF198E">
        <w:rPr>
          <w:rFonts w:cs="Arial"/>
          <w:sz w:val="24"/>
          <w:szCs w:val="24"/>
        </w:rPr>
        <w:t>in warehousing, branches and customers</w:t>
      </w:r>
      <w:r w:rsidR="00AA612F">
        <w:rPr>
          <w:rFonts w:cs="Arial"/>
          <w:sz w:val="24"/>
          <w:szCs w:val="24"/>
        </w:rPr>
        <w:t>)</w:t>
      </w:r>
      <w:r w:rsidRPr="00EF198E">
        <w:rPr>
          <w:rFonts w:cs="Arial"/>
          <w:sz w:val="24"/>
          <w:szCs w:val="24"/>
        </w:rPr>
        <w:t>.</w:t>
      </w:r>
    </w:p>
    <w:p w14:paraId="6DF6946D" w14:textId="77777777" w:rsidR="000D06AB" w:rsidRDefault="001F50BD" w:rsidP="00017489">
      <w:pPr>
        <w:spacing w:after="120" w:line="360" w:lineRule="auto"/>
        <w:rPr>
          <w:rFonts w:cs="Arial"/>
          <w:sz w:val="24"/>
          <w:szCs w:val="24"/>
        </w:rPr>
      </w:pPr>
      <w:r w:rsidRPr="00EF198E">
        <w:rPr>
          <w:rFonts w:cs="Arial"/>
          <w:sz w:val="24"/>
          <w:szCs w:val="24"/>
        </w:rPr>
        <w:t>The consensus was a minimum of three years from enactment (to prepare and allow for throughput of r</w:t>
      </w:r>
      <w:r w:rsidR="00895876" w:rsidRPr="00EF198E">
        <w:rPr>
          <w:rFonts w:cs="Arial"/>
          <w:sz w:val="24"/>
          <w:szCs w:val="24"/>
        </w:rPr>
        <w:t>emaining stock</w:t>
      </w:r>
      <w:r w:rsidR="0064346A">
        <w:rPr>
          <w:rFonts w:cs="Arial"/>
          <w:sz w:val="24"/>
          <w:szCs w:val="24"/>
        </w:rPr>
        <w:t>)</w:t>
      </w:r>
      <w:r w:rsidR="007B109B">
        <w:rPr>
          <w:rFonts w:cs="Arial"/>
          <w:sz w:val="24"/>
          <w:szCs w:val="24"/>
        </w:rPr>
        <w:t>.</w:t>
      </w:r>
    </w:p>
    <w:p w14:paraId="27A9189A" w14:textId="77777777" w:rsidR="007F6ADE" w:rsidRPr="00086C30" w:rsidRDefault="007F6ADE" w:rsidP="007F6ADE">
      <w:pPr>
        <w:pStyle w:val="Heading2"/>
        <w:rPr>
          <w:rFonts w:ascii="Arial" w:hAnsi="Arial" w:cs="Arial"/>
          <w:b w:val="0"/>
        </w:rPr>
      </w:pPr>
      <w:bookmarkStart w:id="306" w:name="_Toc71789297"/>
      <w:r w:rsidRPr="00086C30">
        <w:rPr>
          <w:rFonts w:ascii="Arial" w:hAnsi="Arial" w:cs="Arial"/>
          <w:b w:val="0"/>
        </w:rPr>
        <w:t>Stakeholders preferred option</w:t>
      </w:r>
      <w:bookmarkEnd w:id="306"/>
    </w:p>
    <w:p w14:paraId="1D21A14B" w14:textId="77777777" w:rsidR="007F6ADE" w:rsidRDefault="007F6ADE" w:rsidP="007F6AD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30" w:after="130" w:line="360" w:lineRule="auto"/>
        <w:jc w:val="both"/>
        <w:rPr>
          <w:rFonts w:cs="Arial"/>
          <w:b/>
          <w:bCs/>
        </w:rPr>
      </w:pPr>
      <w:r w:rsidRPr="00663022">
        <w:rPr>
          <w:rFonts w:cs="Arial"/>
          <w:sz w:val="24"/>
          <w:szCs w:val="24"/>
        </w:rPr>
        <w:t xml:space="preserve">The Consultation RIS asked stakeholders which was </w:t>
      </w:r>
      <w:r w:rsidRPr="00D21673">
        <w:rPr>
          <w:rFonts w:cs="Arial"/>
          <w:sz w:val="24"/>
          <w:szCs w:val="24"/>
        </w:rPr>
        <w:t>their</w:t>
      </w:r>
      <w:r w:rsidRPr="00663022">
        <w:rPr>
          <w:rFonts w:cs="Arial"/>
          <w:sz w:val="24"/>
          <w:szCs w:val="24"/>
        </w:rPr>
        <w:t xml:space="preserve"> preferred option and why.</w:t>
      </w:r>
    </w:p>
    <w:p w14:paraId="2E356974" w14:textId="276E44B8" w:rsidR="00996FEB" w:rsidRPr="00086C30" w:rsidRDefault="007F6ADE" w:rsidP="00086C30">
      <w:pPr>
        <w:spacing w:before="240" w:line="360" w:lineRule="auto"/>
        <w:jc w:val="both"/>
        <w:rPr>
          <w:sz w:val="24"/>
          <w:szCs w:val="24"/>
        </w:rPr>
      </w:pPr>
      <w:r w:rsidRPr="00086C30">
        <w:rPr>
          <w:sz w:val="24"/>
          <w:szCs w:val="24"/>
        </w:rPr>
        <w:t xml:space="preserve">The majority of </w:t>
      </w:r>
      <w:r w:rsidR="00044537">
        <w:rPr>
          <w:sz w:val="24"/>
          <w:szCs w:val="24"/>
        </w:rPr>
        <w:t>respondents</w:t>
      </w:r>
      <w:r w:rsidR="00044537" w:rsidRPr="00086C30">
        <w:rPr>
          <w:sz w:val="24"/>
          <w:szCs w:val="24"/>
        </w:rPr>
        <w:t xml:space="preserve"> </w:t>
      </w:r>
      <w:r w:rsidRPr="00086C30">
        <w:rPr>
          <w:sz w:val="24"/>
          <w:szCs w:val="24"/>
        </w:rPr>
        <w:t xml:space="preserve">(70%) supported implementation of Option 2 with little support shown to retaining the status quo (5%) and Option 3 (2%). </w:t>
      </w:r>
      <w:r w:rsidR="00996FEB" w:rsidRPr="00086C30">
        <w:rPr>
          <w:sz w:val="24"/>
          <w:szCs w:val="24"/>
        </w:rPr>
        <w:t xml:space="preserve">At an industry level, implementation of Option 2 was also supported, as reflected by major industry groups </w:t>
      </w:r>
      <w:r w:rsidR="00044537">
        <w:rPr>
          <w:sz w:val="24"/>
          <w:szCs w:val="24"/>
        </w:rPr>
        <w:t xml:space="preserve">(PPI Group, Ai Group, </w:t>
      </w:r>
      <w:r w:rsidR="00362D62">
        <w:rPr>
          <w:sz w:val="24"/>
          <w:szCs w:val="24"/>
        </w:rPr>
        <w:t>a state industry association</w:t>
      </w:r>
      <w:r w:rsidR="00044537">
        <w:rPr>
          <w:sz w:val="24"/>
          <w:szCs w:val="24"/>
        </w:rPr>
        <w:t>)</w:t>
      </w:r>
      <w:r w:rsidR="00996FEB" w:rsidRPr="00086C30">
        <w:rPr>
          <w:sz w:val="24"/>
          <w:szCs w:val="24"/>
        </w:rPr>
        <w:t xml:space="preserve">, in recognition that the proposed </w:t>
      </w:r>
      <w:r w:rsidR="00996FEB" w:rsidRPr="00086C30">
        <w:rPr>
          <w:sz w:val="24"/>
          <w:szCs w:val="24"/>
        </w:rPr>
        <w:lastRenderedPageBreak/>
        <w:t xml:space="preserve">requirements were already adopted in the USA and Canada and low lead products were currently available on the Australian market. </w:t>
      </w:r>
    </w:p>
    <w:p w14:paraId="521B4B40" w14:textId="77777777" w:rsidR="007F6ADE" w:rsidRPr="00086C30" w:rsidRDefault="007F6ADE" w:rsidP="00996FEB">
      <w:pPr>
        <w:spacing w:before="240" w:line="360" w:lineRule="auto"/>
        <w:jc w:val="both"/>
        <w:rPr>
          <w:sz w:val="24"/>
          <w:szCs w:val="24"/>
        </w:rPr>
      </w:pPr>
      <w:r w:rsidRPr="00086C30">
        <w:rPr>
          <w:sz w:val="24"/>
          <w:szCs w:val="24"/>
        </w:rPr>
        <w:t>A further 23% supported an alternative option, which comprised of either:</w:t>
      </w:r>
    </w:p>
    <w:p w14:paraId="7C22B45B" w14:textId="77777777" w:rsidR="007F6ADE" w:rsidRDefault="007F6ADE" w:rsidP="008734AE">
      <w:pPr>
        <w:pStyle w:val="ListParagraph"/>
        <w:numPr>
          <w:ilvl w:val="0"/>
          <w:numId w:val="33"/>
        </w:numPr>
        <w:spacing w:line="360" w:lineRule="auto"/>
        <w:jc w:val="both"/>
        <w:rPr>
          <w:sz w:val="24"/>
          <w:szCs w:val="24"/>
        </w:rPr>
      </w:pPr>
      <w:r>
        <w:rPr>
          <w:sz w:val="24"/>
          <w:szCs w:val="24"/>
        </w:rPr>
        <w:t>A hybrid of the Option 2 and the alternative regulatory option.</w:t>
      </w:r>
    </w:p>
    <w:p w14:paraId="5A6E0CA8" w14:textId="4ED76565" w:rsidR="007F6ADE" w:rsidRDefault="007F6ADE" w:rsidP="008734AE">
      <w:pPr>
        <w:pStyle w:val="ListParagraph"/>
        <w:numPr>
          <w:ilvl w:val="0"/>
          <w:numId w:val="33"/>
        </w:numPr>
        <w:spacing w:line="360" w:lineRule="auto"/>
        <w:jc w:val="both"/>
        <w:rPr>
          <w:sz w:val="24"/>
          <w:szCs w:val="24"/>
        </w:rPr>
      </w:pPr>
      <w:r>
        <w:rPr>
          <w:sz w:val="24"/>
          <w:szCs w:val="24"/>
        </w:rPr>
        <w:t xml:space="preserve">Requiring all products in contact with drinking water contain 0.25% regardless of the weighted average of the wetted surface area. </w:t>
      </w:r>
    </w:p>
    <w:p w14:paraId="4AE85DC6" w14:textId="373177E2" w:rsidR="007F6ADE" w:rsidRDefault="007F6ADE" w:rsidP="008734AE">
      <w:pPr>
        <w:pStyle w:val="ListParagraph"/>
        <w:numPr>
          <w:ilvl w:val="0"/>
          <w:numId w:val="33"/>
        </w:numPr>
        <w:spacing w:line="360" w:lineRule="auto"/>
        <w:jc w:val="both"/>
        <w:rPr>
          <w:sz w:val="24"/>
          <w:szCs w:val="24"/>
        </w:rPr>
      </w:pPr>
      <w:r>
        <w:rPr>
          <w:sz w:val="24"/>
          <w:szCs w:val="24"/>
        </w:rPr>
        <w:t>Require testing to AS/NZS 4020 at the point of use and require labelling</w:t>
      </w:r>
      <w:r w:rsidR="00F80E8F">
        <w:rPr>
          <w:sz w:val="24"/>
          <w:szCs w:val="24"/>
        </w:rPr>
        <w:t>.</w:t>
      </w:r>
    </w:p>
    <w:p w14:paraId="4F625F7A" w14:textId="77777777" w:rsidR="007F6ADE" w:rsidRDefault="007F6ADE" w:rsidP="008734AE">
      <w:pPr>
        <w:pStyle w:val="ListParagraph"/>
        <w:numPr>
          <w:ilvl w:val="0"/>
          <w:numId w:val="33"/>
        </w:numPr>
        <w:spacing w:line="360" w:lineRule="auto"/>
        <w:jc w:val="both"/>
        <w:rPr>
          <w:sz w:val="24"/>
          <w:szCs w:val="24"/>
        </w:rPr>
      </w:pPr>
      <w:r>
        <w:rPr>
          <w:sz w:val="24"/>
          <w:szCs w:val="24"/>
        </w:rPr>
        <w:t xml:space="preserve">Further research being undertaken prior to a policy decision. </w:t>
      </w:r>
    </w:p>
    <w:p w14:paraId="0BF5B067" w14:textId="77777777" w:rsidR="00996FEB" w:rsidRPr="00A84912" w:rsidRDefault="00996FEB" w:rsidP="00086C30">
      <w:pPr>
        <w:pStyle w:val="Heading3"/>
        <w:spacing w:after="240"/>
        <w:rPr>
          <w:rFonts w:cs="Arial"/>
        </w:rPr>
      </w:pPr>
      <w:bookmarkStart w:id="307" w:name="_Toc71789298"/>
      <w:r w:rsidRPr="00086C30">
        <w:rPr>
          <w:rFonts w:ascii="Arial" w:hAnsi="Arial" w:cs="Arial"/>
          <w:b w:val="0"/>
        </w:rPr>
        <w:t>Conditional support</w:t>
      </w:r>
      <w:bookmarkEnd w:id="307"/>
    </w:p>
    <w:p w14:paraId="6B7D142A" w14:textId="79EEE053" w:rsidR="00996FEB" w:rsidRPr="00C90FC7" w:rsidRDefault="007F6ADE" w:rsidP="00996FEB">
      <w:pPr>
        <w:spacing w:line="360" w:lineRule="auto"/>
        <w:jc w:val="both"/>
        <w:rPr>
          <w:sz w:val="24"/>
          <w:szCs w:val="24"/>
        </w:rPr>
      </w:pPr>
      <w:r>
        <w:rPr>
          <w:sz w:val="24"/>
          <w:szCs w:val="24"/>
        </w:rPr>
        <w:t>Responses w</w:t>
      </w:r>
      <w:r w:rsidR="00996FEB">
        <w:rPr>
          <w:sz w:val="24"/>
          <w:szCs w:val="24"/>
        </w:rPr>
        <w:t>e</w:t>
      </w:r>
      <w:r>
        <w:rPr>
          <w:sz w:val="24"/>
          <w:szCs w:val="24"/>
        </w:rPr>
        <w:t xml:space="preserve">re </w:t>
      </w:r>
      <w:r w:rsidR="00044537">
        <w:rPr>
          <w:sz w:val="24"/>
          <w:szCs w:val="24"/>
        </w:rPr>
        <w:t xml:space="preserve">often </w:t>
      </w:r>
      <w:r>
        <w:rPr>
          <w:sz w:val="24"/>
          <w:szCs w:val="24"/>
        </w:rPr>
        <w:t xml:space="preserve">caveated. </w:t>
      </w:r>
      <w:r w:rsidR="00996FEB" w:rsidRPr="00C90FC7">
        <w:rPr>
          <w:sz w:val="24"/>
          <w:szCs w:val="24"/>
        </w:rPr>
        <w:t>Many within industry viewed Option</w:t>
      </w:r>
      <w:r w:rsidR="00ED538C">
        <w:rPr>
          <w:sz w:val="24"/>
          <w:szCs w:val="24"/>
        </w:rPr>
        <w:t xml:space="preserve"> </w:t>
      </w:r>
      <w:r w:rsidR="00996FEB" w:rsidRPr="00C90FC7">
        <w:rPr>
          <w:sz w:val="24"/>
          <w:szCs w:val="24"/>
        </w:rPr>
        <w:t>2 as a logical progression towards lower lead plumbing products having the benefit of being consistent with the much larger markets of the USA and Canada, removing any doubt regarding its implementation in practice. In doing so, industry groups and manufacturers wanted decision makers to acknowledge the significant impacts of Option 2 by way of implementing a suitable transition period, with most of the industry sector advocating for a 5-year transition period.</w:t>
      </w:r>
    </w:p>
    <w:p w14:paraId="387B8AAA" w14:textId="5C76A276" w:rsidR="007F6ADE" w:rsidRPr="0017590E" w:rsidRDefault="00086C30" w:rsidP="00086C30">
      <w:pPr>
        <w:spacing w:before="120" w:line="360" w:lineRule="auto"/>
        <w:jc w:val="both"/>
        <w:rPr>
          <w:sz w:val="24"/>
          <w:szCs w:val="24"/>
        </w:rPr>
      </w:pPr>
      <w:r>
        <w:rPr>
          <w:sz w:val="24"/>
          <w:szCs w:val="24"/>
        </w:rPr>
        <w:t>An industry group (Ai Group)</w:t>
      </w:r>
      <w:r w:rsidR="007F6ADE" w:rsidRPr="0017590E">
        <w:rPr>
          <w:sz w:val="24"/>
          <w:szCs w:val="24"/>
        </w:rPr>
        <w:t xml:space="preserve"> wanted decision makers to acknowledge the high aggregate costs in meeting the community expectation the problem </w:t>
      </w:r>
      <w:r w:rsidR="007F6ADE">
        <w:rPr>
          <w:sz w:val="24"/>
          <w:szCs w:val="24"/>
        </w:rPr>
        <w:t>was addressed by</w:t>
      </w:r>
      <w:r w:rsidR="007F6ADE" w:rsidRPr="0017590E">
        <w:rPr>
          <w:sz w:val="24"/>
          <w:szCs w:val="24"/>
        </w:rPr>
        <w:t xml:space="preserve"> lowering the permissible levels of lead in plumbing products in contact with drinking water. </w:t>
      </w:r>
    </w:p>
    <w:p w14:paraId="76837BE3" w14:textId="2309FD5C" w:rsidR="007F6ADE" w:rsidRDefault="007F6ADE" w:rsidP="007F6ADE">
      <w:pPr>
        <w:spacing w:line="360" w:lineRule="auto"/>
        <w:jc w:val="both"/>
        <w:rPr>
          <w:sz w:val="24"/>
          <w:szCs w:val="24"/>
        </w:rPr>
      </w:pPr>
      <w:r w:rsidRPr="0017590E">
        <w:rPr>
          <w:sz w:val="24"/>
          <w:szCs w:val="24"/>
        </w:rPr>
        <w:t xml:space="preserve">Both the aggregate cost and need for a suitable transition period is reflected in the </w:t>
      </w:r>
      <w:r w:rsidR="00044537">
        <w:rPr>
          <w:sz w:val="24"/>
          <w:szCs w:val="24"/>
        </w:rPr>
        <w:t>Decision</w:t>
      </w:r>
      <w:r w:rsidR="00044537" w:rsidRPr="0017590E">
        <w:rPr>
          <w:sz w:val="24"/>
          <w:szCs w:val="24"/>
        </w:rPr>
        <w:t xml:space="preserve"> </w:t>
      </w:r>
      <w:r w:rsidRPr="0017590E">
        <w:rPr>
          <w:sz w:val="24"/>
          <w:szCs w:val="24"/>
        </w:rPr>
        <w:t xml:space="preserve">RIS. </w:t>
      </w:r>
    </w:p>
    <w:p w14:paraId="2D34B564" w14:textId="3535E72E" w:rsidR="007F6ADE" w:rsidRDefault="007F6ADE" w:rsidP="007F6ADE">
      <w:pPr>
        <w:spacing w:line="360" w:lineRule="auto"/>
        <w:jc w:val="both"/>
        <w:rPr>
          <w:sz w:val="24"/>
          <w:szCs w:val="24"/>
        </w:rPr>
      </w:pPr>
      <w:r>
        <w:rPr>
          <w:sz w:val="24"/>
          <w:szCs w:val="24"/>
        </w:rPr>
        <w:t>NHMRC and enHealth</w:t>
      </w:r>
      <w:r w:rsidR="0042554F">
        <w:rPr>
          <w:sz w:val="24"/>
          <w:szCs w:val="24"/>
        </w:rPr>
        <w:t xml:space="preserve"> both noted the need for a review of AS/NZS 4020 to be more reflective of Australian conditions, the level of lead allowed under an AS/NZS 4020 test and any material included as a substitute for lead be established as safe and </w:t>
      </w:r>
      <w:r w:rsidR="00086C30">
        <w:rPr>
          <w:sz w:val="24"/>
          <w:szCs w:val="24"/>
        </w:rPr>
        <w:t>health-based</w:t>
      </w:r>
      <w:r w:rsidR="0042554F">
        <w:rPr>
          <w:sz w:val="24"/>
          <w:szCs w:val="24"/>
        </w:rPr>
        <w:t xml:space="preserve"> guidelines for bismuth and silicone be subject to more research.</w:t>
      </w:r>
    </w:p>
    <w:p w14:paraId="5A1F95F8" w14:textId="5B96FCF9" w:rsidR="001A0104" w:rsidRPr="005976A8" w:rsidRDefault="0032533C" w:rsidP="005976A8">
      <w:pPr>
        <w:spacing w:line="360" w:lineRule="auto"/>
        <w:rPr>
          <w:rFonts w:cs="Arial"/>
          <w:sz w:val="24"/>
          <w:szCs w:val="24"/>
        </w:rPr>
      </w:pPr>
      <w:r>
        <w:rPr>
          <w:rFonts w:cs="Arial"/>
          <w:sz w:val="24"/>
          <w:szCs w:val="24"/>
        </w:rPr>
        <w:t xml:space="preserve">A manufacturer who wanted to remain </w:t>
      </w:r>
      <w:r w:rsidR="00F80E8F">
        <w:rPr>
          <w:rFonts w:cs="Arial"/>
          <w:sz w:val="24"/>
          <w:szCs w:val="24"/>
        </w:rPr>
        <w:t>anonymous</w:t>
      </w:r>
      <w:r w:rsidR="00044537">
        <w:rPr>
          <w:rFonts w:cs="Arial"/>
          <w:sz w:val="24"/>
          <w:szCs w:val="24"/>
        </w:rPr>
        <w:t>,</w:t>
      </w:r>
      <w:r w:rsidR="001A0104" w:rsidRPr="005976A8">
        <w:rPr>
          <w:rFonts w:cs="Arial"/>
          <w:sz w:val="24"/>
          <w:szCs w:val="24"/>
        </w:rPr>
        <w:t xml:space="preserve"> </w:t>
      </w:r>
      <w:r w:rsidR="00044537">
        <w:rPr>
          <w:rFonts w:cs="Arial"/>
          <w:sz w:val="24"/>
          <w:szCs w:val="24"/>
        </w:rPr>
        <w:t>w</w:t>
      </w:r>
      <w:r w:rsidR="001A0104" w:rsidRPr="005976A8">
        <w:rPr>
          <w:rFonts w:cs="Arial"/>
          <w:sz w:val="24"/>
          <w:szCs w:val="24"/>
        </w:rPr>
        <w:t xml:space="preserve">hile supportive of Option 2 strongly encouraged the alternative option to be "Require all materials in contact with </w:t>
      </w:r>
      <w:r w:rsidR="001A0104" w:rsidRPr="005976A8">
        <w:rPr>
          <w:rFonts w:cs="Arial"/>
          <w:sz w:val="24"/>
          <w:szCs w:val="24"/>
        </w:rPr>
        <w:lastRenderedPageBreak/>
        <w:t>drinking water to contain 0.25%, or less, lead content therefore no longer requiring any complex calculations for evaluating the weighted surface area.</w:t>
      </w:r>
      <w:r w:rsidR="00731C2D">
        <w:rPr>
          <w:rFonts w:cs="Arial"/>
          <w:sz w:val="24"/>
          <w:szCs w:val="24"/>
        </w:rPr>
        <w:t>”</w:t>
      </w:r>
    </w:p>
    <w:p w14:paraId="08C9205E" w14:textId="71482F8E" w:rsidR="005976A8" w:rsidRPr="00AC2ACD" w:rsidRDefault="005976A8" w:rsidP="00044537">
      <w:pPr>
        <w:spacing w:line="360" w:lineRule="auto"/>
        <w:jc w:val="both"/>
        <w:rPr>
          <w:rFonts w:cs="Arial"/>
          <w:sz w:val="24"/>
          <w:szCs w:val="24"/>
        </w:rPr>
      </w:pPr>
      <w:r w:rsidRPr="00663022">
        <w:rPr>
          <w:rFonts w:cs="Arial"/>
          <w:sz w:val="24"/>
          <w:szCs w:val="24"/>
        </w:rPr>
        <w:t>The writing body responsible for the development of NSF/ANSI 372</w:t>
      </w:r>
      <w:r>
        <w:rPr>
          <w:rFonts w:cs="Arial"/>
          <w:sz w:val="24"/>
          <w:szCs w:val="24"/>
        </w:rPr>
        <w:t xml:space="preserve"> </w:t>
      </w:r>
      <w:r w:rsidRPr="00AC2ACD">
        <w:rPr>
          <w:rFonts w:cs="Arial"/>
          <w:sz w:val="24"/>
          <w:szCs w:val="24"/>
        </w:rPr>
        <w:t>provided some helpful explanation o</w:t>
      </w:r>
      <w:r>
        <w:rPr>
          <w:rFonts w:cs="Arial"/>
          <w:sz w:val="24"/>
          <w:szCs w:val="24"/>
        </w:rPr>
        <w:t xml:space="preserve">n </w:t>
      </w:r>
      <w:r w:rsidRPr="00AC2ACD">
        <w:rPr>
          <w:rFonts w:cs="Arial"/>
          <w:sz w:val="24"/>
          <w:szCs w:val="24"/>
        </w:rPr>
        <w:t xml:space="preserve">the origins of the standard and </w:t>
      </w:r>
      <w:r w:rsidR="00F80E8F">
        <w:rPr>
          <w:rFonts w:cs="Arial"/>
          <w:sz w:val="24"/>
          <w:szCs w:val="24"/>
        </w:rPr>
        <w:t>how</w:t>
      </w:r>
      <w:r w:rsidRPr="00AC2ACD">
        <w:rPr>
          <w:rFonts w:cs="Arial"/>
          <w:sz w:val="24"/>
          <w:szCs w:val="24"/>
        </w:rPr>
        <w:t xml:space="preserve"> compliance is achieved</w:t>
      </w:r>
      <w:r>
        <w:rPr>
          <w:rFonts w:cs="Arial"/>
          <w:sz w:val="24"/>
          <w:szCs w:val="24"/>
        </w:rPr>
        <w:t xml:space="preserve"> </w:t>
      </w:r>
      <w:r w:rsidR="00F80E8F">
        <w:rPr>
          <w:rFonts w:cs="Arial"/>
          <w:sz w:val="24"/>
          <w:szCs w:val="24"/>
        </w:rPr>
        <w:t xml:space="preserve">and </w:t>
      </w:r>
      <w:r w:rsidRPr="00AC2ACD">
        <w:rPr>
          <w:rFonts w:cs="Arial"/>
          <w:sz w:val="24"/>
          <w:szCs w:val="24"/>
        </w:rPr>
        <w:t>the impact it has had on the availability of compliant products:</w:t>
      </w:r>
    </w:p>
    <w:p w14:paraId="26EB5E63" w14:textId="77777777" w:rsidR="005976A8" w:rsidRDefault="005976A8" w:rsidP="002D1E18">
      <w:pPr>
        <w:pStyle w:val="Quote"/>
        <w:jc w:val="left"/>
      </w:pPr>
      <w:r w:rsidRPr="00663022">
        <w:t xml:space="preserve">“Over 1800 manufacturers now have products currently certified to the standard by seven ANSI accredited certification organizations in the USA and Canada. One benefit of adopting NSF 372 is that it is a low cost and </w:t>
      </w:r>
      <w:r>
        <w:t xml:space="preserve">a </w:t>
      </w:r>
      <w:r w:rsidRPr="00663022">
        <w:t>fast test to conduct, where the testing can be finished in a few hours. Adoption of NSF 372 has led to the development of a number of low lead brass alloys that are used in NSF 372 compliant products”.</w:t>
      </w:r>
    </w:p>
    <w:p w14:paraId="2E90C432" w14:textId="600C2F54" w:rsidR="005976A8" w:rsidRPr="00A5388F" w:rsidRDefault="005976A8" w:rsidP="005976A8">
      <w:pPr>
        <w:spacing w:line="360" w:lineRule="auto"/>
        <w:jc w:val="both"/>
        <w:rPr>
          <w:rFonts w:cs="Arial"/>
          <w:sz w:val="24"/>
          <w:szCs w:val="24"/>
        </w:rPr>
      </w:pPr>
      <w:r>
        <w:rPr>
          <w:rFonts w:cs="Arial"/>
          <w:sz w:val="24"/>
          <w:szCs w:val="24"/>
        </w:rPr>
        <w:t>The</w:t>
      </w:r>
      <w:r w:rsidRPr="001A0104">
        <w:rPr>
          <w:rFonts w:cs="Arial"/>
          <w:sz w:val="24"/>
          <w:szCs w:val="24"/>
        </w:rPr>
        <w:t xml:space="preserve"> </w:t>
      </w:r>
      <w:r>
        <w:rPr>
          <w:rFonts w:cs="Arial"/>
          <w:sz w:val="24"/>
          <w:szCs w:val="24"/>
        </w:rPr>
        <w:t>US experience was positive given a number of certified manufacturers and ease at which the testing can be undertaken</w:t>
      </w:r>
      <w:r w:rsidR="00086C30">
        <w:rPr>
          <w:rFonts w:cs="Arial"/>
          <w:sz w:val="24"/>
          <w:szCs w:val="24"/>
        </w:rPr>
        <w:t>.</w:t>
      </w:r>
      <w:r>
        <w:rPr>
          <w:rFonts w:cs="Arial"/>
          <w:sz w:val="24"/>
          <w:szCs w:val="24"/>
        </w:rPr>
        <w:t xml:space="preserve">  As the low lead copper alloy product market </w:t>
      </w:r>
      <w:r w:rsidR="00086C30">
        <w:rPr>
          <w:rFonts w:cs="Arial"/>
          <w:sz w:val="24"/>
          <w:szCs w:val="24"/>
        </w:rPr>
        <w:t>increases, this</w:t>
      </w:r>
      <w:r>
        <w:rPr>
          <w:rFonts w:cs="Arial"/>
          <w:sz w:val="24"/>
          <w:szCs w:val="24"/>
        </w:rPr>
        <w:t xml:space="preserve"> will have a positive impact on competition and pricing of these products.  </w:t>
      </w:r>
    </w:p>
    <w:p w14:paraId="23744D50" w14:textId="77777777" w:rsidR="001A0104" w:rsidRDefault="001A0104" w:rsidP="001A0104">
      <w:pPr>
        <w:spacing w:line="360" w:lineRule="auto"/>
        <w:jc w:val="both"/>
        <w:rPr>
          <w:rFonts w:cs="Arial"/>
          <w:sz w:val="24"/>
          <w:szCs w:val="24"/>
        </w:rPr>
      </w:pPr>
      <w:r>
        <w:rPr>
          <w:rFonts w:cs="Arial"/>
          <w:sz w:val="24"/>
          <w:szCs w:val="24"/>
        </w:rPr>
        <w:t xml:space="preserve">While not opposed to implementing Option 2, an industry association (HIA) suggested that a </w:t>
      </w:r>
      <w:r w:rsidRPr="00663022">
        <w:rPr>
          <w:rFonts w:cs="Arial"/>
          <w:sz w:val="24"/>
          <w:szCs w:val="24"/>
        </w:rPr>
        <w:t xml:space="preserve">potential unintended consequence </w:t>
      </w:r>
      <w:r>
        <w:rPr>
          <w:rFonts w:cs="Arial"/>
          <w:sz w:val="24"/>
          <w:szCs w:val="24"/>
        </w:rPr>
        <w:t>was to</w:t>
      </w:r>
      <w:r w:rsidRPr="00663022">
        <w:rPr>
          <w:rFonts w:cs="Arial"/>
          <w:sz w:val="24"/>
          <w:szCs w:val="24"/>
        </w:rPr>
        <w:t xml:space="preserve"> ensur</w:t>
      </w:r>
      <w:r>
        <w:rPr>
          <w:rFonts w:cs="Arial"/>
          <w:sz w:val="24"/>
          <w:szCs w:val="24"/>
        </w:rPr>
        <w:t>e</w:t>
      </w:r>
      <w:r w:rsidRPr="00663022">
        <w:rPr>
          <w:rFonts w:cs="Arial"/>
          <w:sz w:val="24"/>
          <w:szCs w:val="24"/>
        </w:rPr>
        <w:t xml:space="preserve"> compatibility with the requirements of other building standards</w:t>
      </w:r>
      <w:r>
        <w:rPr>
          <w:rFonts w:cs="Arial"/>
          <w:sz w:val="24"/>
          <w:szCs w:val="24"/>
        </w:rPr>
        <w:t xml:space="preserve"> that may be contradictory to the low lead requirements. </w:t>
      </w:r>
    </w:p>
    <w:p w14:paraId="3FC6B8FA" w14:textId="364617F1" w:rsidR="001A0104" w:rsidRDefault="001A0104" w:rsidP="001A0104">
      <w:pPr>
        <w:spacing w:line="360" w:lineRule="auto"/>
        <w:jc w:val="both"/>
        <w:rPr>
          <w:rFonts w:cs="Arial"/>
          <w:sz w:val="24"/>
          <w:szCs w:val="24"/>
        </w:rPr>
      </w:pPr>
      <w:r>
        <w:rPr>
          <w:rFonts w:cs="Arial"/>
          <w:sz w:val="24"/>
          <w:szCs w:val="24"/>
        </w:rPr>
        <w:t xml:space="preserve">The ABCB and Standards Australia have discussed the impacts proposed changes to the PCA would have on </w:t>
      </w:r>
      <w:r w:rsidR="000E5109">
        <w:rPr>
          <w:rFonts w:cs="Arial"/>
          <w:sz w:val="24"/>
          <w:szCs w:val="24"/>
        </w:rPr>
        <w:t>p</w:t>
      </w:r>
      <w:r>
        <w:rPr>
          <w:rFonts w:cs="Arial"/>
          <w:sz w:val="24"/>
          <w:szCs w:val="24"/>
        </w:rPr>
        <w:t xml:space="preserve">roduct </w:t>
      </w:r>
      <w:r w:rsidR="000E5109">
        <w:rPr>
          <w:rFonts w:cs="Arial"/>
          <w:sz w:val="24"/>
          <w:szCs w:val="24"/>
        </w:rPr>
        <w:t>s</w:t>
      </w:r>
      <w:r>
        <w:rPr>
          <w:rFonts w:cs="Arial"/>
          <w:sz w:val="24"/>
          <w:szCs w:val="24"/>
        </w:rPr>
        <w:t>tandards. This was also a topic at the 2019 industry forum, where Chairpersons</w:t>
      </w:r>
      <w:r w:rsidR="00F80E8F">
        <w:rPr>
          <w:rFonts w:cs="Arial"/>
          <w:sz w:val="24"/>
          <w:szCs w:val="24"/>
        </w:rPr>
        <w:t xml:space="preserve"> from each impacted Standard were</w:t>
      </w:r>
      <w:r>
        <w:rPr>
          <w:rFonts w:cs="Arial"/>
          <w:sz w:val="24"/>
          <w:szCs w:val="24"/>
        </w:rPr>
        <w:t xml:space="preserve"> represented.  Current discussions have revealed no incompatibility issues with Option 2, though it was acknowledged that each Standard would need to be updated to reflect any change to the PCA. Standards Australia have offered to coordinate this update with the assistance from the ABCB once agreed by decision makers. </w:t>
      </w:r>
    </w:p>
    <w:p w14:paraId="45B3212B" w14:textId="7F98140B" w:rsidR="00996FEB" w:rsidRDefault="00996FEB" w:rsidP="007F6ADE">
      <w:pPr>
        <w:spacing w:line="360" w:lineRule="auto"/>
        <w:jc w:val="both"/>
        <w:rPr>
          <w:sz w:val="24"/>
          <w:szCs w:val="24"/>
        </w:rPr>
      </w:pPr>
      <w:r>
        <w:rPr>
          <w:rFonts w:cs="Arial"/>
          <w:sz w:val="24"/>
          <w:szCs w:val="24"/>
        </w:rPr>
        <w:t xml:space="preserve">Importantly, of the Australian manufacturers who responded to the Consultation RIS, Enware were the only manufacturer who did not support implementation of Option 2.  Further, Enware’s proposed fourth option </w:t>
      </w:r>
      <w:r w:rsidR="00F80E8F">
        <w:rPr>
          <w:rFonts w:cs="Arial"/>
          <w:sz w:val="24"/>
          <w:szCs w:val="24"/>
        </w:rPr>
        <w:t xml:space="preserve">relies on data which could take several years to obtain </w:t>
      </w:r>
      <w:r>
        <w:rPr>
          <w:rFonts w:cs="Arial"/>
          <w:sz w:val="24"/>
          <w:szCs w:val="24"/>
        </w:rPr>
        <w:t xml:space="preserve">should be treated as </w:t>
      </w:r>
      <w:r w:rsidR="00F80E8F">
        <w:rPr>
          <w:rFonts w:cs="Arial"/>
          <w:sz w:val="24"/>
          <w:szCs w:val="24"/>
        </w:rPr>
        <w:t>an extension of the status quo</w:t>
      </w:r>
      <w:r>
        <w:rPr>
          <w:rFonts w:cs="Arial"/>
          <w:sz w:val="24"/>
          <w:szCs w:val="24"/>
        </w:rPr>
        <w:t>.</w:t>
      </w:r>
    </w:p>
    <w:p w14:paraId="040C3A01" w14:textId="0C3998BF" w:rsidR="005976A8" w:rsidRPr="00086C30" w:rsidRDefault="005976A8" w:rsidP="002D1E18">
      <w:pPr>
        <w:keepNext/>
        <w:spacing w:line="360" w:lineRule="auto"/>
        <w:jc w:val="both"/>
        <w:rPr>
          <w:rFonts w:eastAsiaTheme="majorEastAsia" w:cs="Arial"/>
          <w:bCs/>
          <w:color w:val="002060"/>
          <w:sz w:val="28"/>
        </w:rPr>
      </w:pPr>
      <w:r w:rsidRPr="00086C30">
        <w:rPr>
          <w:rFonts w:eastAsiaTheme="majorEastAsia" w:cs="Arial"/>
          <w:bCs/>
          <w:color w:val="002060"/>
          <w:sz w:val="28"/>
        </w:rPr>
        <w:lastRenderedPageBreak/>
        <w:t xml:space="preserve">Summary of opinions accompanying preferred </w:t>
      </w:r>
      <w:r w:rsidR="00086C30">
        <w:rPr>
          <w:rFonts w:eastAsiaTheme="majorEastAsia" w:cs="Arial"/>
          <w:bCs/>
          <w:color w:val="002060"/>
          <w:sz w:val="28"/>
        </w:rPr>
        <w:t>o</w:t>
      </w:r>
      <w:r w:rsidR="00086C30" w:rsidRPr="00086C30">
        <w:rPr>
          <w:rFonts w:eastAsiaTheme="majorEastAsia" w:cs="Arial"/>
          <w:bCs/>
          <w:color w:val="002060"/>
          <w:sz w:val="28"/>
        </w:rPr>
        <w:t>ptions</w:t>
      </w:r>
    </w:p>
    <w:p w14:paraId="6419E17F" w14:textId="77777777" w:rsidR="007F6ADE" w:rsidRPr="00663022" w:rsidRDefault="007F6ADE" w:rsidP="002D1E18">
      <w:pPr>
        <w:keepNext/>
        <w:spacing w:line="360" w:lineRule="auto"/>
        <w:jc w:val="both"/>
        <w:rPr>
          <w:sz w:val="24"/>
          <w:szCs w:val="24"/>
        </w:rPr>
      </w:pPr>
      <w:r>
        <w:rPr>
          <w:sz w:val="24"/>
          <w:szCs w:val="24"/>
        </w:rPr>
        <w:t xml:space="preserve">A summary of the responses received in support of stakeholder’s preferred option is provided below: </w:t>
      </w:r>
    </w:p>
    <w:p w14:paraId="4FECBAA0" w14:textId="07205C1A" w:rsidR="007F6ADE" w:rsidRPr="00663022" w:rsidRDefault="007F6ADE" w:rsidP="007F6ADE">
      <w:pPr>
        <w:spacing w:line="360" w:lineRule="auto"/>
        <w:jc w:val="both"/>
        <w:rPr>
          <w:color w:val="002060"/>
          <w:sz w:val="24"/>
          <w:szCs w:val="24"/>
        </w:rPr>
      </w:pPr>
      <w:r w:rsidRPr="00663022">
        <w:rPr>
          <w:color w:val="002060"/>
          <w:sz w:val="24"/>
          <w:szCs w:val="24"/>
        </w:rPr>
        <w:t>Option 1</w:t>
      </w:r>
    </w:p>
    <w:p w14:paraId="47C05EC5" w14:textId="77777777" w:rsidR="007F6ADE" w:rsidRPr="00663022" w:rsidRDefault="007F6ADE" w:rsidP="008734AE">
      <w:pPr>
        <w:pStyle w:val="ListParagraph"/>
        <w:numPr>
          <w:ilvl w:val="0"/>
          <w:numId w:val="34"/>
        </w:numPr>
        <w:spacing w:line="360" w:lineRule="auto"/>
        <w:jc w:val="both"/>
        <w:rPr>
          <w:sz w:val="24"/>
          <w:szCs w:val="24"/>
        </w:rPr>
      </w:pPr>
      <w:r w:rsidRPr="00663022">
        <w:rPr>
          <w:sz w:val="24"/>
          <w:szCs w:val="24"/>
        </w:rPr>
        <w:t xml:space="preserve">Products can already meet the requirements of AS/NZS 4020 with ease under the current maximum lead limits. </w:t>
      </w:r>
    </w:p>
    <w:p w14:paraId="3A0092D1" w14:textId="77777777" w:rsidR="007F6ADE" w:rsidRPr="00663022" w:rsidRDefault="007F6ADE" w:rsidP="008734AE">
      <w:pPr>
        <w:pStyle w:val="ListParagraph"/>
        <w:numPr>
          <w:ilvl w:val="0"/>
          <w:numId w:val="34"/>
        </w:numPr>
        <w:spacing w:line="360" w:lineRule="auto"/>
        <w:jc w:val="both"/>
        <w:rPr>
          <w:sz w:val="24"/>
          <w:szCs w:val="24"/>
        </w:rPr>
      </w:pPr>
      <w:r w:rsidRPr="00663022">
        <w:rPr>
          <w:sz w:val="24"/>
          <w:szCs w:val="24"/>
        </w:rPr>
        <w:t xml:space="preserve">The extra costs involved </w:t>
      </w:r>
      <w:r>
        <w:rPr>
          <w:sz w:val="24"/>
          <w:szCs w:val="24"/>
        </w:rPr>
        <w:t>do</w:t>
      </w:r>
      <w:r w:rsidRPr="00663022">
        <w:rPr>
          <w:sz w:val="24"/>
          <w:szCs w:val="24"/>
        </w:rPr>
        <w:t xml:space="preserve"> not justify the potential risk of lead poisoning over a lifetime from other sources. </w:t>
      </w:r>
      <w:r>
        <w:rPr>
          <w:sz w:val="24"/>
          <w:szCs w:val="24"/>
        </w:rPr>
        <w:t>M</w:t>
      </w:r>
      <w:r w:rsidRPr="00663022">
        <w:rPr>
          <w:sz w:val="24"/>
          <w:szCs w:val="24"/>
        </w:rPr>
        <w:t xml:space="preserve">any people </w:t>
      </w:r>
      <w:r>
        <w:rPr>
          <w:sz w:val="24"/>
          <w:szCs w:val="24"/>
        </w:rPr>
        <w:t>also</w:t>
      </w:r>
      <w:r w:rsidRPr="00663022">
        <w:rPr>
          <w:sz w:val="24"/>
          <w:szCs w:val="24"/>
        </w:rPr>
        <w:t xml:space="preserve"> drink bottled water.</w:t>
      </w:r>
    </w:p>
    <w:p w14:paraId="430D414E" w14:textId="35E8E22F" w:rsidR="007F6ADE" w:rsidRPr="00663022" w:rsidRDefault="007F6ADE" w:rsidP="007F6ADE">
      <w:pPr>
        <w:spacing w:line="360" w:lineRule="auto"/>
        <w:jc w:val="both"/>
        <w:rPr>
          <w:color w:val="002060"/>
          <w:sz w:val="24"/>
          <w:szCs w:val="24"/>
        </w:rPr>
      </w:pPr>
      <w:r w:rsidRPr="00663022">
        <w:rPr>
          <w:color w:val="002060"/>
          <w:sz w:val="24"/>
          <w:szCs w:val="24"/>
        </w:rPr>
        <w:t>Option 2</w:t>
      </w:r>
    </w:p>
    <w:p w14:paraId="6E8F1DF5" w14:textId="30E0C1BC" w:rsidR="007F6ADE" w:rsidRPr="00663022" w:rsidRDefault="007F6ADE" w:rsidP="008734AE">
      <w:pPr>
        <w:pStyle w:val="ListParagraph"/>
        <w:numPr>
          <w:ilvl w:val="0"/>
          <w:numId w:val="35"/>
        </w:numPr>
        <w:spacing w:line="360" w:lineRule="auto"/>
        <w:jc w:val="both"/>
        <w:rPr>
          <w:sz w:val="24"/>
          <w:szCs w:val="24"/>
          <w:shd w:val="clear" w:color="auto" w:fill="FFFFFF"/>
        </w:rPr>
      </w:pPr>
      <w:r>
        <w:rPr>
          <w:sz w:val="24"/>
          <w:szCs w:val="24"/>
          <w:shd w:val="clear" w:color="auto" w:fill="FFFFFF"/>
        </w:rPr>
        <w:t>E</w:t>
      </w:r>
      <w:r w:rsidR="00F9386E">
        <w:rPr>
          <w:sz w:val="24"/>
          <w:szCs w:val="24"/>
          <w:shd w:val="clear" w:color="auto" w:fill="FFFFFF"/>
        </w:rPr>
        <w:t>nsures the end-</w:t>
      </w:r>
      <w:r w:rsidRPr="00663022">
        <w:rPr>
          <w:sz w:val="24"/>
          <w:szCs w:val="24"/>
          <w:shd w:val="clear" w:color="auto" w:fill="FFFFFF"/>
        </w:rPr>
        <w:t xml:space="preserve">goal of protecting the general public is </w:t>
      </w:r>
      <w:r w:rsidRPr="00D21673">
        <w:rPr>
          <w:sz w:val="24"/>
          <w:szCs w:val="24"/>
          <w:shd w:val="clear" w:color="auto" w:fill="FFFFFF"/>
        </w:rPr>
        <w:t>achieved</w:t>
      </w:r>
      <w:r w:rsidRPr="00663022">
        <w:rPr>
          <w:sz w:val="24"/>
          <w:szCs w:val="24"/>
          <w:shd w:val="clear" w:color="auto" w:fill="FFFFFF"/>
        </w:rPr>
        <w:t xml:space="preserve">. </w:t>
      </w:r>
    </w:p>
    <w:p w14:paraId="037D2AEE" w14:textId="77777777" w:rsidR="007F6ADE" w:rsidRDefault="007F6ADE" w:rsidP="008734AE">
      <w:pPr>
        <w:pStyle w:val="ListParagraph"/>
        <w:numPr>
          <w:ilvl w:val="0"/>
          <w:numId w:val="35"/>
        </w:numPr>
        <w:spacing w:line="360" w:lineRule="auto"/>
        <w:jc w:val="both"/>
        <w:rPr>
          <w:sz w:val="24"/>
          <w:szCs w:val="24"/>
          <w:shd w:val="clear" w:color="auto" w:fill="FFFFFF"/>
        </w:rPr>
      </w:pPr>
      <w:r w:rsidRPr="00663022">
        <w:rPr>
          <w:sz w:val="24"/>
          <w:szCs w:val="24"/>
          <w:shd w:val="clear" w:color="auto" w:fill="FFFFFF"/>
        </w:rPr>
        <w:t>Every attempt should be made to remove lead as much as possible.</w:t>
      </w:r>
    </w:p>
    <w:p w14:paraId="73E4A7BA" w14:textId="77777777" w:rsidR="007F6ADE" w:rsidRPr="00663022" w:rsidRDefault="007F6ADE" w:rsidP="008734AE">
      <w:pPr>
        <w:pStyle w:val="ListParagraph"/>
        <w:numPr>
          <w:ilvl w:val="0"/>
          <w:numId w:val="35"/>
        </w:numPr>
        <w:spacing w:line="360" w:lineRule="auto"/>
        <w:jc w:val="both"/>
        <w:rPr>
          <w:sz w:val="24"/>
          <w:szCs w:val="24"/>
          <w:shd w:val="clear" w:color="auto" w:fill="FFFFFF"/>
        </w:rPr>
      </w:pPr>
      <w:r>
        <w:rPr>
          <w:rFonts w:eastAsia="Calibri" w:cs="Arial"/>
          <w:sz w:val="24"/>
          <w:szCs w:val="24"/>
          <w:shd w:val="clear" w:color="auto" w:fill="FFFFFF"/>
        </w:rPr>
        <w:t>L</w:t>
      </w:r>
      <w:r w:rsidRPr="008E4735">
        <w:rPr>
          <w:rFonts w:eastAsia="Calibri" w:cs="Arial"/>
          <w:sz w:val="24"/>
          <w:szCs w:val="24"/>
          <w:shd w:val="clear" w:color="auto" w:fill="FFFFFF"/>
        </w:rPr>
        <w:t>ikely the most acceptable option to the community.</w:t>
      </w:r>
    </w:p>
    <w:p w14:paraId="26037E69" w14:textId="77777777" w:rsidR="007F6ADE" w:rsidRDefault="007F6ADE" w:rsidP="008734AE">
      <w:pPr>
        <w:pStyle w:val="ListParagraph"/>
        <w:numPr>
          <w:ilvl w:val="0"/>
          <w:numId w:val="35"/>
        </w:numPr>
        <w:spacing w:line="360" w:lineRule="auto"/>
        <w:jc w:val="both"/>
        <w:rPr>
          <w:rFonts w:eastAsia="Calibri" w:cs="Arial"/>
          <w:sz w:val="24"/>
          <w:szCs w:val="24"/>
          <w:shd w:val="clear" w:color="auto" w:fill="FFFFFF"/>
        </w:rPr>
      </w:pPr>
      <w:r>
        <w:rPr>
          <w:rFonts w:eastAsia="Calibri" w:cs="Arial"/>
          <w:sz w:val="24"/>
          <w:szCs w:val="24"/>
          <w:shd w:val="clear" w:color="auto" w:fill="FFFFFF"/>
        </w:rPr>
        <w:t>C</w:t>
      </w:r>
      <w:r w:rsidRPr="00663022">
        <w:rPr>
          <w:rFonts w:eastAsia="Calibri" w:cs="Arial"/>
          <w:sz w:val="24"/>
          <w:szCs w:val="24"/>
          <w:shd w:val="clear" w:color="auto" w:fill="FFFFFF"/>
        </w:rPr>
        <w:t xml:space="preserve">urrent permitted </w:t>
      </w:r>
      <w:r>
        <w:rPr>
          <w:rFonts w:eastAsia="Calibri" w:cs="Arial"/>
          <w:sz w:val="24"/>
          <w:szCs w:val="24"/>
          <w:shd w:val="clear" w:color="auto" w:fill="FFFFFF"/>
        </w:rPr>
        <w:t xml:space="preserve">lead </w:t>
      </w:r>
      <w:r w:rsidRPr="00663022">
        <w:rPr>
          <w:rFonts w:eastAsia="Calibri" w:cs="Arial"/>
          <w:sz w:val="24"/>
          <w:szCs w:val="24"/>
          <w:shd w:val="clear" w:color="auto" w:fill="FFFFFF"/>
        </w:rPr>
        <w:t xml:space="preserve">levels are too high. </w:t>
      </w:r>
    </w:p>
    <w:p w14:paraId="6F155516" w14:textId="77777777" w:rsidR="007F6ADE" w:rsidRDefault="007F6ADE" w:rsidP="008734AE">
      <w:pPr>
        <w:pStyle w:val="ListParagraph"/>
        <w:numPr>
          <w:ilvl w:val="0"/>
          <w:numId w:val="35"/>
        </w:numPr>
        <w:spacing w:line="360" w:lineRule="auto"/>
        <w:jc w:val="both"/>
        <w:rPr>
          <w:rFonts w:eastAsia="Calibri" w:cs="Arial"/>
          <w:sz w:val="24"/>
          <w:szCs w:val="24"/>
          <w:shd w:val="clear" w:color="auto" w:fill="FFFFFF"/>
        </w:rPr>
      </w:pPr>
      <w:r>
        <w:rPr>
          <w:rFonts w:eastAsia="Calibri" w:cs="Arial"/>
          <w:sz w:val="24"/>
          <w:szCs w:val="24"/>
          <w:shd w:val="clear" w:color="auto" w:fill="FFFFFF"/>
        </w:rPr>
        <w:t>G</w:t>
      </w:r>
      <w:r w:rsidRPr="00663022">
        <w:rPr>
          <w:rFonts w:eastAsia="Calibri" w:cs="Arial"/>
          <w:sz w:val="24"/>
          <w:szCs w:val="24"/>
          <w:shd w:val="clear" w:color="auto" w:fill="FFFFFF"/>
        </w:rPr>
        <w:t xml:space="preserve">uaranteed way to ensure less lead is </w:t>
      </w:r>
      <w:r>
        <w:rPr>
          <w:rFonts w:eastAsia="Calibri" w:cs="Arial"/>
          <w:sz w:val="24"/>
          <w:szCs w:val="24"/>
          <w:shd w:val="clear" w:color="auto" w:fill="FFFFFF"/>
        </w:rPr>
        <w:t xml:space="preserve">used and effective in addressing the problem provided short term release of lead is also addressed. </w:t>
      </w:r>
    </w:p>
    <w:p w14:paraId="206E301E" w14:textId="77777777" w:rsidR="007F6ADE" w:rsidRDefault="007F6ADE" w:rsidP="008734AE">
      <w:pPr>
        <w:pStyle w:val="ListParagraph"/>
        <w:numPr>
          <w:ilvl w:val="0"/>
          <w:numId w:val="35"/>
        </w:numPr>
        <w:spacing w:line="360" w:lineRule="auto"/>
        <w:jc w:val="both"/>
        <w:rPr>
          <w:rFonts w:eastAsia="Calibri" w:cs="Arial"/>
          <w:sz w:val="24"/>
          <w:szCs w:val="24"/>
          <w:shd w:val="clear" w:color="auto" w:fill="FFFFFF"/>
        </w:rPr>
      </w:pPr>
      <w:r w:rsidRPr="00663022">
        <w:rPr>
          <w:rFonts w:eastAsia="Calibri" w:cs="Arial"/>
          <w:sz w:val="24"/>
          <w:szCs w:val="24"/>
          <w:shd w:val="clear" w:color="auto" w:fill="FFFFFF"/>
        </w:rPr>
        <w:t xml:space="preserve">Removes uncertainty and establishes </w:t>
      </w:r>
      <w:r>
        <w:rPr>
          <w:rFonts w:eastAsia="Calibri" w:cs="Arial"/>
          <w:sz w:val="24"/>
          <w:szCs w:val="24"/>
          <w:shd w:val="clear" w:color="auto" w:fill="FFFFFF"/>
        </w:rPr>
        <w:t xml:space="preserve">a </w:t>
      </w:r>
      <w:r w:rsidRPr="00663022">
        <w:rPr>
          <w:rFonts w:eastAsia="Calibri" w:cs="Arial"/>
          <w:sz w:val="24"/>
          <w:szCs w:val="24"/>
          <w:shd w:val="clear" w:color="auto" w:fill="FFFFFF"/>
        </w:rPr>
        <w:t>clear unambiguous benchmark</w:t>
      </w:r>
      <w:r>
        <w:rPr>
          <w:rFonts w:eastAsia="Calibri" w:cs="Arial"/>
          <w:sz w:val="24"/>
          <w:szCs w:val="24"/>
          <w:shd w:val="clear" w:color="auto" w:fill="FFFFFF"/>
        </w:rPr>
        <w:t>.</w:t>
      </w:r>
    </w:p>
    <w:p w14:paraId="3E38C3F1" w14:textId="77777777" w:rsidR="007F6ADE" w:rsidRDefault="007F6ADE" w:rsidP="008734AE">
      <w:pPr>
        <w:pStyle w:val="ListParagraph"/>
        <w:numPr>
          <w:ilvl w:val="0"/>
          <w:numId w:val="35"/>
        </w:numPr>
        <w:spacing w:line="360" w:lineRule="auto"/>
        <w:jc w:val="both"/>
        <w:rPr>
          <w:rFonts w:eastAsia="Calibri" w:cs="Arial"/>
          <w:sz w:val="24"/>
          <w:szCs w:val="24"/>
          <w:shd w:val="clear" w:color="auto" w:fill="FFFFFF"/>
        </w:rPr>
      </w:pPr>
      <w:r>
        <w:rPr>
          <w:rFonts w:eastAsia="Calibri" w:cs="Arial"/>
          <w:sz w:val="24"/>
          <w:szCs w:val="24"/>
          <w:shd w:val="clear" w:color="auto" w:fill="FFFFFF"/>
        </w:rPr>
        <w:t xml:space="preserve">Avoids reliance on water treatment and instead addresses the problem via a proven solution from the USA. </w:t>
      </w:r>
    </w:p>
    <w:p w14:paraId="22C1D49C" w14:textId="77777777" w:rsidR="007F6ADE" w:rsidRDefault="007F6ADE" w:rsidP="008734AE">
      <w:pPr>
        <w:pStyle w:val="ListParagraph"/>
        <w:numPr>
          <w:ilvl w:val="0"/>
          <w:numId w:val="35"/>
        </w:numPr>
        <w:spacing w:line="360" w:lineRule="auto"/>
        <w:jc w:val="both"/>
        <w:rPr>
          <w:rFonts w:eastAsia="Calibri" w:cs="Arial"/>
          <w:sz w:val="24"/>
          <w:szCs w:val="24"/>
          <w:shd w:val="clear" w:color="auto" w:fill="FFFFFF"/>
        </w:rPr>
      </w:pPr>
      <w:r w:rsidRPr="00663022">
        <w:rPr>
          <w:rFonts w:eastAsia="Calibri" w:cs="Arial"/>
          <w:sz w:val="24"/>
          <w:szCs w:val="24"/>
          <w:shd w:val="clear" w:color="auto" w:fill="FFFFFF"/>
        </w:rPr>
        <w:t xml:space="preserve">Thousands of products produced worldwide currently comply with </w:t>
      </w:r>
      <w:r>
        <w:rPr>
          <w:rFonts w:eastAsia="Calibri" w:cs="Arial"/>
          <w:sz w:val="24"/>
          <w:szCs w:val="24"/>
          <w:shd w:val="clear" w:color="auto" w:fill="FFFFFF"/>
        </w:rPr>
        <w:t>NSF/ANSI 372</w:t>
      </w:r>
      <w:r w:rsidRPr="00663022">
        <w:rPr>
          <w:rFonts w:eastAsia="Calibri" w:cs="Arial"/>
          <w:sz w:val="24"/>
          <w:szCs w:val="24"/>
          <w:shd w:val="clear" w:color="auto" w:fill="FFFFFF"/>
        </w:rPr>
        <w:t>.</w:t>
      </w:r>
    </w:p>
    <w:p w14:paraId="01063945" w14:textId="77777777" w:rsidR="007F6ADE" w:rsidRDefault="007F6ADE" w:rsidP="008734AE">
      <w:pPr>
        <w:pStyle w:val="ListParagraph"/>
        <w:numPr>
          <w:ilvl w:val="0"/>
          <w:numId w:val="35"/>
        </w:numPr>
        <w:spacing w:line="360" w:lineRule="auto"/>
        <w:jc w:val="both"/>
        <w:rPr>
          <w:rFonts w:eastAsia="Calibri" w:cs="Arial"/>
          <w:sz w:val="24"/>
          <w:szCs w:val="24"/>
          <w:shd w:val="clear" w:color="auto" w:fill="FFFFFF"/>
        </w:rPr>
      </w:pPr>
      <w:r>
        <w:rPr>
          <w:rFonts w:eastAsia="Calibri" w:cs="Arial"/>
          <w:sz w:val="24"/>
          <w:szCs w:val="24"/>
          <w:shd w:val="clear" w:color="auto" w:fill="FFFFFF"/>
        </w:rPr>
        <w:t>Preferred option relative to the other options considered.</w:t>
      </w:r>
    </w:p>
    <w:p w14:paraId="66CFC250" w14:textId="77777777" w:rsidR="007F6ADE" w:rsidRDefault="007F6ADE" w:rsidP="008734AE">
      <w:pPr>
        <w:pStyle w:val="ListParagraph"/>
        <w:numPr>
          <w:ilvl w:val="0"/>
          <w:numId w:val="35"/>
        </w:numPr>
        <w:spacing w:line="360" w:lineRule="auto"/>
        <w:jc w:val="both"/>
        <w:rPr>
          <w:rFonts w:eastAsia="Calibri" w:cs="Arial"/>
          <w:sz w:val="24"/>
          <w:szCs w:val="24"/>
          <w:shd w:val="clear" w:color="auto" w:fill="FFFFFF"/>
        </w:rPr>
      </w:pPr>
      <w:r>
        <w:rPr>
          <w:rFonts w:eastAsia="Calibri" w:cs="Arial"/>
          <w:sz w:val="24"/>
          <w:szCs w:val="24"/>
          <w:shd w:val="clear" w:color="auto" w:fill="FFFFFF"/>
        </w:rPr>
        <w:t xml:space="preserve">Prevents split incentives of the plumbing practitioners influencing product selection. </w:t>
      </w:r>
    </w:p>
    <w:p w14:paraId="4B5E6462" w14:textId="77777777" w:rsidR="007F6ADE" w:rsidRPr="00663022" w:rsidRDefault="007F6ADE" w:rsidP="008734AE">
      <w:pPr>
        <w:pStyle w:val="ListParagraph"/>
        <w:numPr>
          <w:ilvl w:val="0"/>
          <w:numId w:val="35"/>
        </w:numPr>
        <w:spacing w:line="360" w:lineRule="auto"/>
        <w:jc w:val="both"/>
        <w:rPr>
          <w:rFonts w:eastAsia="Calibri" w:cs="Arial"/>
          <w:sz w:val="24"/>
          <w:szCs w:val="24"/>
          <w:shd w:val="clear" w:color="auto" w:fill="FFFFFF"/>
        </w:rPr>
      </w:pPr>
      <w:r>
        <w:rPr>
          <w:rFonts w:eastAsia="Calibri" w:cs="Arial"/>
          <w:sz w:val="24"/>
          <w:szCs w:val="24"/>
          <w:shd w:val="clear" w:color="auto" w:fill="FFFFFF"/>
        </w:rPr>
        <w:t xml:space="preserve">A good starting point for future changes being possible (e.g. lowering the maximum threshold for lead in AS/NZS 4020 and making changes to water testing requirements). </w:t>
      </w:r>
    </w:p>
    <w:p w14:paraId="7F3DE96D" w14:textId="0ECDE177" w:rsidR="007F6ADE" w:rsidRPr="00663022" w:rsidRDefault="007F6ADE" w:rsidP="007F6ADE">
      <w:pPr>
        <w:spacing w:line="360" w:lineRule="auto"/>
        <w:jc w:val="both"/>
        <w:rPr>
          <w:color w:val="002060"/>
          <w:sz w:val="24"/>
          <w:szCs w:val="24"/>
        </w:rPr>
      </w:pPr>
      <w:r w:rsidRPr="00663022">
        <w:rPr>
          <w:color w:val="002060"/>
          <w:sz w:val="24"/>
          <w:szCs w:val="24"/>
        </w:rPr>
        <w:t>Option 3</w:t>
      </w:r>
    </w:p>
    <w:p w14:paraId="0530F509" w14:textId="77777777" w:rsidR="007F6ADE" w:rsidRPr="00663022" w:rsidRDefault="007F6ADE" w:rsidP="008734AE">
      <w:pPr>
        <w:pStyle w:val="ListParagraph"/>
        <w:numPr>
          <w:ilvl w:val="0"/>
          <w:numId w:val="36"/>
        </w:numPr>
        <w:spacing w:line="360" w:lineRule="auto"/>
        <w:jc w:val="both"/>
        <w:rPr>
          <w:b/>
          <w:bCs/>
          <w:sz w:val="24"/>
          <w:szCs w:val="24"/>
        </w:rPr>
      </w:pPr>
      <w:r w:rsidRPr="00663022">
        <w:rPr>
          <w:sz w:val="24"/>
          <w:szCs w:val="24"/>
        </w:rPr>
        <w:t xml:space="preserve">Prevents a knee-jerk reaction to </w:t>
      </w:r>
      <w:r>
        <w:rPr>
          <w:sz w:val="24"/>
          <w:szCs w:val="24"/>
        </w:rPr>
        <w:t>‘</w:t>
      </w:r>
      <w:r w:rsidRPr="00663022">
        <w:rPr>
          <w:sz w:val="24"/>
          <w:szCs w:val="24"/>
        </w:rPr>
        <w:t>elevated</w:t>
      </w:r>
      <w:r>
        <w:rPr>
          <w:sz w:val="24"/>
          <w:szCs w:val="24"/>
        </w:rPr>
        <w:t>’</w:t>
      </w:r>
      <w:r w:rsidRPr="00663022">
        <w:rPr>
          <w:sz w:val="24"/>
          <w:szCs w:val="24"/>
        </w:rPr>
        <w:t xml:space="preserve"> levels of lead in samples taken from new plumbing installations in a handful of high-profile projects where other </w:t>
      </w:r>
      <w:r w:rsidRPr="00663022">
        <w:rPr>
          <w:sz w:val="24"/>
          <w:szCs w:val="24"/>
        </w:rPr>
        <w:lastRenderedPageBreak/>
        <w:t>factors may have been at play in the desire to highlight the seriousness of the problem.</w:t>
      </w:r>
    </w:p>
    <w:p w14:paraId="42350641" w14:textId="4EC5099B" w:rsidR="007F6ADE" w:rsidRPr="00663022" w:rsidRDefault="005976A8" w:rsidP="007F6ADE">
      <w:pPr>
        <w:spacing w:line="360" w:lineRule="auto"/>
        <w:jc w:val="both"/>
        <w:rPr>
          <w:color w:val="002060"/>
          <w:sz w:val="24"/>
          <w:szCs w:val="24"/>
        </w:rPr>
      </w:pPr>
      <w:r>
        <w:rPr>
          <w:color w:val="002060"/>
          <w:sz w:val="24"/>
          <w:szCs w:val="24"/>
        </w:rPr>
        <w:t xml:space="preserve">Other </w:t>
      </w:r>
      <w:r w:rsidR="007F6ADE" w:rsidRPr="00663022">
        <w:rPr>
          <w:color w:val="002060"/>
          <w:sz w:val="24"/>
          <w:szCs w:val="24"/>
        </w:rPr>
        <w:t>option</w:t>
      </w:r>
      <w:r>
        <w:rPr>
          <w:color w:val="002060"/>
          <w:sz w:val="24"/>
          <w:szCs w:val="24"/>
        </w:rPr>
        <w:t>s</w:t>
      </w:r>
    </w:p>
    <w:p w14:paraId="073DB6FF" w14:textId="77777777" w:rsidR="007F6ADE" w:rsidRPr="00663022" w:rsidRDefault="007F6ADE" w:rsidP="008734AE">
      <w:pPr>
        <w:pStyle w:val="ListParagraph"/>
        <w:numPr>
          <w:ilvl w:val="0"/>
          <w:numId w:val="36"/>
        </w:numPr>
        <w:spacing w:line="360" w:lineRule="auto"/>
        <w:jc w:val="both"/>
        <w:rPr>
          <w:b/>
          <w:bCs/>
          <w:sz w:val="24"/>
          <w:szCs w:val="24"/>
        </w:rPr>
      </w:pPr>
      <w:r w:rsidRPr="008C29AF">
        <w:rPr>
          <w:rFonts w:eastAsia="Calibri" w:cs="Arial"/>
          <w:sz w:val="24"/>
          <w:szCs w:val="24"/>
        </w:rPr>
        <w:t xml:space="preserve">(Require all materials to contain less than 0.25% lead) </w:t>
      </w:r>
      <w:r>
        <w:rPr>
          <w:rFonts w:eastAsia="Calibri" w:cs="Arial"/>
          <w:sz w:val="24"/>
          <w:szCs w:val="24"/>
        </w:rPr>
        <w:t>–</w:t>
      </w:r>
      <w:r w:rsidRPr="008C29AF">
        <w:rPr>
          <w:rFonts w:eastAsia="Calibri" w:cs="Arial"/>
          <w:sz w:val="24"/>
          <w:szCs w:val="24"/>
        </w:rPr>
        <w:t xml:space="preserve"> Option 2, as it is proposed, will continue to allow higher lead content alloy to remain in the market by those manufacturers who are willing (and technically allowed to) work the system. </w:t>
      </w:r>
    </w:p>
    <w:p w14:paraId="72883302" w14:textId="77777777" w:rsidR="00ED538C" w:rsidRPr="00ED538C" w:rsidRDefault="007F6ADE" w:rsidP="00ED538C">
      <w:pPr>
        <w:pStyle w:val="ListParagraph"/>
        <w:numPr>
          <w:ilvl w:val="0"/>
          <w:numId w:val="36"/>
        </w:numPr>
        <w:spacing w:line="360" w:lineRule="auto"/>
        <w:jc w:val="both"/>
        <w:rPr>
          <w:b/>
          <w:bCs/>
          <w:sz w:val="24"/>
          <w:szCs w:val="24"/>
        </w:rPr>
      </w:pPr>
      <w:r w:rsidRPr="00663022">
        <w:rPr>
          <w:sz w:val="24"/>
          <w:szCs w:val="24"/>
        </w:rPr>
        <w:t xml:space="preserve">(Undertake further research) </w:t>
      </w:r>
      <w:r>
        <w:rPr>
          <w:sz w:val="24"/>
          <w:szCs w:val="24"/>
        </w:rPr>
        <w:t>– T</w:t>
      </w:r>
      <w:r w:rsidRPr="00663022">
        <w:rPr>
          <w:sz w:val="24"/>
          <w:szCs w:val="24"/>
        </w:rPr>
        <w:t xml:space="preserve">he information presented in the CRIS </w:t>
      </w:r>
      <w:r>
        <w:rPr>
          <w:sz w:val="24"/>
          <w:szCs w:val="24"/>
        </w:rPr>
        <w:t>wa</w:t>
      </w:r>
      <w:r w:rsidRPr="00663022">
        <w:rPr>
          <w:sz w:val="24"/>
          <w:szCs w:val="24"/>
        </w:rPr>
        <w:t xml:space="preserve">s completely deficient and the evidence presented did not provide sufficient cause to support any of the proposed options. </w:t>
      </w:r>
    </w:p>
    <w:p w14:paraId="17BD8DC9" w14:textId="6E19CC49" w:rsidR="00086C30" w:rsidRPr="00ED538C" w:rsidRDefault="007F6ADE" w:rsidP="00ED538C">
      <w:pPr>
        <w:pStyle w:val="ListParagraph"/>
        <w:numPr>
          <w:ilvl w:val="0"/>
          <w:numId w:val="36"/>
        </w:numPr>
        <w:spacing w:line="360" w:lineRule="auto"/>
        <w:jc w:val="both"/>
        <w:rPr>
          <w:b/>
          <w:bCs/>
          <w:sz w:val="24"/>
          <w:szCs w:val="24"/>
        </w:rPr>
      </w:pPr>
      <w:r w:rsidRPr="00ED538C">
        <w:rPr>
          <w:sz w:val="24"/>
          <w:szCs w:val="24"/>
        </w:rPr>
        <w:t xml:space="preserve">(Require testing to AS/NZS 4020 at the point of use and require labelling) – There is a view that Watermarked products will assure compliance to the appropriate guideline (ADWG); this is not the case, when new (or replaced) plumbing fixtures are used and heavy metal leaching can be prevalent, particularly in corrosive potable water. </w:t>
      </w:r>
    </w:p>
    <w:p w14:paraId="2D71D030" w14:textId="77777777" w:rsidR="007F6ADE" w:rsidRDefault="007F6ADE" w:rsidP="007F6AD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30" w:after="130" w:line="360" w:lineRule="auto"/>
        <w:jc w:val="both"/>
        <w:rPr>
          <w:rFonts w:cs="Arial"/>
          <w:b/>
          <w:bCs/>
        </w:rPr>
      </w:pPr>
      <w:r w:rsidRPr="00155419">
        <w:rPr>
          <w:rFonts w:cs="Arial"/>
          <w:sz w:val="24"/>
          <w:szCs w:val="24"/>
        </w:rPr>
        <w:t xml:space="preserve">The Consultation RIS asked stakeholders </w:t>
      </w:r>
      <w:r>
        <w:rPr>
          <w:rFonts w:cs="Arial"/>
          <w:sz w:val="24"/>
          <w:szCs w:val="24"/>
        </w:rPr>
        <w:t xml:space="preserve">whether there were any other comments they would to provide. </w:t>
      </w:r>
    </w:p>
    <w:p w14:paraId="024C809B" w14:textId="0471B6FC" w:rsidR="007F6ADE" w:rsidRPr="00AC2ACD" w:rsidRDefault="00F9386E" w:rsidP="007F6ADE">
      <w:pPr>
        <w:pStyle w:val="NoSpacing"/>
        <w:spacing w:before="240" w:after="240" w:line="360" w:lineRule="auto"/>
        <w:jc w:val="both"/>
        <w:rPr>
          <w:sz w:val="24"/>
          <w:szCs w:val="24"/>
        </w:rPr>
      </w:pPr>
      <w:r>
        <w:rPr>
          <w:sz w:val="24"/>
          <w:szCs w:val="24"/>
        </w:rPr>
        <w:t>O</w:t>
      </w:r>
      <w:r w:rsidR="007F6ADE" w:rsidRPr="00AC2ACD">
        <w:rPr>
          <w:sz w:val="24"/>
          <w:szCs w:val="24"/>
        </w:rPr>
        <w:t xml:space="preserve">ther comments received centred around stakeholders’ position on </w:t>
      </w:r>
      <w:r w:rsidR="007F6ADE">
        <w:rPr>
          <w:sz w:val="24"/>
          <w:szCs w:val="24"/>
        </w:rPr>
        <w:t xml:space="preserve">the need for a </w:t>
      </w:r>
      <w:r w:rsidR="007F6ADE" w:rsidRPr="00AC2ACD">
        <w:rPr>
          <w:sz w:val="24"/>
          <w:szCs w:val="24"/>
        </w:rPr>
        <w:t>transition</w:t>
      </w:r>
      <w:r w:rsidR="007F6ADE">
        <w:rPr>
          <w:sz w:val="24"/>
          <w:szCs w:val="24"/>
        </w:rPr>
        <w:t xml:space="preserve"> period</w:t>
      </w:r>
      <w:r w:rsidR="007F6ADE" w:rsidRPr="00AC2ACD">
        <w:rPr>
          <w:sz w:val="24"/>
          <w:szCs w:val="24"/>
        </w:rPr>
        <w:t xml:space="preserve">. </w:t>
      </w:r>
      <w:r w:rsidR="007F6ADE">
        <w:rPr>
          <w:rFonts w:cs="Arial"/>
          <w:sz w:val="24"/>
          <w:szCs w:val="24"/>
        </w:rPr>
        <w:t xml:space="preserve">See the section titled Implementation and Review for further information. </w:t>
      </w:r>
    </w:p>
    <w:p w14:paraId="4BEE7281" w14:textId="77777777" w:rsidR="007F6ADE" w:rsidRPr="00AC2ACD" w:rsidRDefault="007F6ADE" w:rsidP="007F6ADE">
      <w:pPr>
        <w:pStyle w:val="NoSpacing"/>
        <w:spacing w:line="360" w:lineRule="auto"/>
        <w:jc w:val="both"/>
        <w:rPr>
          <w:sz w:val="24"/>
          <w:szCs w:val="24"/>
        </w:rPr>
      </w:pPr>
      <w:r w:rsidRPr="00AC2ACD">
        <w:rPr>
          <w:sz w:val="24"/>
          <w:szCs w:val="24"/>
        </w:rPr>
        <w:t>An individual from an engineering firm (Galvin Engineering) raised three other considerations relating to:</w:t>
      </w:r>
    </w:p>
    <w:p w14:paraId="15ABA18D" w14:textId="77777777" w:rsidR="007F6ADE" w:rsidRPr="00AC2ACD" w:rsidRDefault="007F6ADE" w:rsidP="007F6ADE">
      <w:pPr>
        <w:pStyle w:val="NoSpacing"/>
        <w:rPr>
          <w:sz w:val="24"/>
          <w:szCs w:val="24"/>
        </w:rPr>
      </w:pPr>
    </w:p>
    <w:p w14:paraId="74614ACD" w14:textId="77777777" w:rsidR="007F6ADE" w:rsidRPr="00663022" w:rsidRDefault="007F6ADE" w:rsidP="00DF50F2">
      <w:pPr>
        <w:pStyle w:val="ListParagraph"/>
        <w:numPr>
          <w:ilvl w:val="0"/>
          <w:numId w:val="39"/>
        </w:numPr>
        <w:spacing w:after="160" w:line="360" w:lineRule="auto"/>
        <w:jc w:val="both"/>
        <w:rPr>
          <w:sz w:val="24"/>
          <w:szCs w:val="24"/>
        </w:rPr>
      </w:pPr>
      <w:r w:rsidRPr="00663022">
        <w:rPr>
          <w:sz w:val="24"/>
          <w:szCs w:val="24"/>
        </w:rPr>
        <w:t xml:space="preserve">The need for </w:t>
      </w:r>
      <w:r w:rsidRPr="00AC2ACD">
        <w:rPr>
          <w:sz w:val="24"/>
          <w:szCs w:val="24"/>
        </w:rPr>
        <w:t>compliant product identification through markings and labelling</w:t>
      </w:r>
      <w:r w:rsidRPr="00663022">
        <w:rPr>
          <w:sz w:val="24"/>
          <w:szCs w:val="24"/>
        </w:rPr>
        <w:t xml:space="preserve">. </w:t>
      </w:r>
    </w:p>
    <w:p w14:paraId="537F9D99" w14:textId="77777777" w:rsidR="007F6ADE" w:rsidRPr="00AC2ACD" w:rsidRDefault="007F6ADE" w:rsidP="00DF50F2">
      <w:pPr>
        <w:pStyle w:val="NoSpacing"/>
        <w:numPr>
          <w:ilvl w:val="0"/>
          <w:numId w:val="39"/>
        </w:numPr>
        <w:spacing w:after="120" w:line="360" w:lineRule="auto"/>
        <w:rPr>
          <w:sz w:val="24"/>
          <w:szCs w:val="24"/>
        </w:rPr>
      </w:pPr>
      <w:r w:rsidRPr="00AC2ACD">
        <w:rPr>
          <w:sz w:val="24"/>
          <w:szCs w:val="24"/>
        </w:rPr>
        <w:t xml:space="preserve">Whether spare parts associated with products would be captured by the requirements. </w:t>
      </w:r>
    </w:p>
    <w:p w14:paraId="61CDCBA0" w14:textId="15669A16" w:rsidR="00044537" w:rsidRDefault="007F6ADE" w:rsidP="00DF50F2">
      <w:pPr>
        <w:pStyle w:val="NoSpacing"/>
        <w:numPr>
          <w:ilvl w:val="0"/>
          <w:numId w:val="39"/>
        </w:numPr>
        <w:spacing w:line="360" w:lineRule="auto"/>
        <w:rPr>
          <w:sz w:val="24"/>
          <w:szCs w:val="24"/>
        </w:rPr>
      </w:pPr>
      <w:r w:rsidRPr="00AC2ACD">
        <w:rPr>
          <w:sz w:val="24"/>
          <w:szCs w:val="24"/>
        </w:rPr>
        <w:t xml:space="preserve">The impacts </w:t>
      </w:r>
      <w:r>
        <w:rPr>
          <w:sz w:val="24"/>
          <w:szCs w:val="24"/>
        </w:rPr>
        <w:t xml:space="preserve">of </w:t>
      </w:r>
      <w:r w:rsidRPr="00AC2ACD">
        <w:rPr>
          <w:sz w:val="24"/>
          <w:szCs w:val="24"/>
        </w:rPr>
        <w:t>the proposed changes on existing building and plumbing approvals.</w:t>
      </w:r>
    </w:p>
    <w:p w14:paraId="1C31F9A3" w14:textId="77777777" w:rsidR="00044537" w:rsidRDefault="00044537">
      <w:pPr>
        <w:rPr>
          <w:sz w:val="24"/>
          <w:szCs w:val="24"/>
        </w:rPr>
      </w:pPr>
      <w:r>
        <w:rPr>
          <w:sz w:val="24"/>
          <w:szCs w:val="24"/>
        </w:rPr>
        <w:br w:type="page"/>
      </w:r>
    </w:p>
    <w:p w14:paraId="1E4674AC" w14:textId="77777777" w:rsidR="007F6ADE" w:rsidRPr="00663022" w:rsidRDefault="007F6ADE" w:rsidP="007F6ADE">
      <w:pPr>
        <w:rPr>
          <w:sz w:val="24"/>
          <w:szCs w:val="24"/>
        </w:rPr>
      </w:pPr>
      <w:r w:rsidRPr="00663022">
        <w:rPr>
          <w:sz w:val="24"/>
          <w:szCs w:val="24"/>
        </w:rPr>
        <w:lastRenderedPageBreak/>
        <w:t>The following points are made in relation to each point:</w:t>
      </w:r>
    </w:p>
    <w:p w14:paraId="0FF6A0BC" w14:textId="6DA37D6F" w:rsidR="007F6ADE" w:rsidRPr="00663022" w:rsidRDefault="007F6ADE" w:rsidP="00DF50F2">
      <w:pPr>
        <w:pStyle w:val="ListParagraph"/>
        <w:numPr>
          <w:ilvl w:val="0"/>
          <w:numId w:val="40"/>
        </w:numPr>
        <w:spacing w:line="360" w:lineRule="auto"/>
        <w:jc w:val="both"/>
        <w:rPr>
          <w:sz w:val="24"/>
          <w:szCs w:val="24"/>
        </w:rPr>
      </w:pPr>
      <w:r w:rsidRPr="00663022">
        <w:rPr>
          <w:sz w:val="24"/>
          <w:szCs w:val="24"/>
        </w:rPr>
        <w:t xml:space="preserve">In the short-run, labelling is identified as an important feature that will enable practitioners to readily identify compliant products. </w:t>
      </w:r>
      <w:r>
        <w:rPr>
          <w:sz w:val="24"/>
          <w:szCs w:val="24"/>
        </w:rPr>
        <w:t>The importance of this</w:t>
      </w:r>
      <w:r w:rsidR="002B68DE">
        <w:rPr>
          <w:sz w:val="24"/>
          <w:szCs w:val="24"/>
        </w:rPr>
        <w:t xml:space="preserve"> will increase if the timeframes for enforcement occur at a point prior to </w:t>
      </w:r>
      <w:r w:rsidRPr="00663022">
        <w:rPr>
          <w:sz w:val="24"/>
          <w:szCs w:val="24"/>
        </w:rPr>
        <w:t>all products hav</w:t>
      </w:r>
      <w:r w:rsidR="002B68DE">
        <w:rPr>
          <w:sz w:val="24"/>
          <w:szCs w:val="24"/>
        </w:rPr>
        <w:t>ing</w:t>
      </w:r>
      <w:r w:rsidRPr="00663022">
        <w:rPr>
          <w:sz w:val="24"/>
          <w:szCs w:val="24"/>
        </w:rPr>
        <w:t xml:space="preserve"> </w:t>
      </w:r>
      <w:r w:rsidR="002B68DE">
        <w:rPr>
          <w:sz w:val="24"/>
          <w:szCs w:val="24"/>
        </w:rPr>
        <w:t>been certified</w:t>
      </w:r>
      <w:r w:rsidR="002B68DE" w:rsidRPr="00663022">
        <w:rPr>
          <w:sz w:val="24"/>
          <w:szCs w:val="24"/>
        </w:rPr>
        <w:t xml:space="preserve"> </w:t>
      </w:r>
      <w:r w:rsidRPr="00663022">
        <w:rPr>
          <w:sz w:val="24"/>
          <w:szCs w:val="24"/>
        </w:rPr>
        <w:t xml:space="preserve">to the new requirements and labelled in accordance with the </w:t>
      </w:r>
      <w:r w:rsidR="000867DF">
        <w:rPr>
          <w:sz w:val="24"/>
          <w:szCs w:val="24"/>
        </w:rPr>
        <w:t>WMCS</w:t>
      </w:r>
      <w:r w:rsidRPr="00663022">
        <w:rPr>
          <w:sz w:val="24"/>
          <w:szCs w:val="24"/>
        </w:rPr>
        <w:t>. Given th</w:t>
      </w:r>
      <w:r>
        <w:rPr>
          <w:sz w:val="24"/>
          <w:szCs w:val="24"/>
        </w:rPr>
        <w:t>e</w:t>
      </w:r>
      <w:r w:rsidRPr="00663022">
        <w:rPr>
          <w:sz w:val="24"/>
          <w:szCs w:val="24"/>
        </w:rPr>
        <w:t xml:space="preserve"> existing labelling requirement</w:t>
      </w:r>
      <w:r>
        <w:rPr>
          <w:sz w:val="24"/>
          <w:szCs w:val="24"/>
        </w:rPr>
        <w:t xml:space="preserve"> in the US</w:t>
      </w:r>
      <w:r w:rsidRPr="00663022">
        <w:rPr>
          <w:sz w:val="24"/>
          <w:szCs w:val="24"/>
        </w:rPr>
        <w:t xml:space="preserve">, it is recommended that the ABCB </w:t>
      </w:r>
      <w:r>
        <w:rPr>
          <w:sz w:val="24"/>
          <w:szCs w:val="24"/>
        </w:rPr>
        <w:t>mutually recognise</w:t>
      </w:r>
      <w:r w:rsidR="002B68DE">
        <w:rPr>
          <w:sz w:val="24"/>
          <w:szCs w:val="24"/>
        </w:rPr>
        <w:t xml:space="preserve"> existing</w:t>
      </w:r>
      <w:r>
        <w:rPr>
          <w:sz w:val="24"/>
          <w:szCs w:val="24"/>
        </w:rPr>
        <w:t xml:space="preserve"> labelling requirement</w:t>
      </w:r>
      <w:r w:rsidR="002B68DE">
        <w:rPr>
          <w:sz w:val="24"/>
          <w:szCs w:val="24"/>
        </w:rPr>
        <w:t xml:space="preserve">s in the </w:t>
      </w:r>
      <w:r w:rsidR="00DF50F2">
        <w:rPr>
          <w:sz w:val="24"/>
          <w:szCs w:val="24"/>
        </w:rPr>
        <w:t>interim</w:t>
      </w:r>
      <w:r w:rsidR="000867DF">
        <w:rPr>
          <w:sz w:val="24"/>
          <w:szCs w:val="24"/>
        </w:rPr>
        <w:t xml:space="preserve"> until such time all products are certified under the WMCS</w:t>
      </w:r>
      <w:r w:rsidRPr="00663022">
        <w:rPr>
          <w:sz w:val="24"/>
          <w:szCs w:val="24"/>
        </w:rPr>
        <w:t xml:space="preserve">. </w:t>
      </w:r>
      <w:r w:rsidRPr="00AC2ACD">
        <w:rPr>
          <w:rFonts w:eastAsia="Calibri" w:cs="Arial"/>
          <w:sz w:val="24"/>
          <w:szCs w:val="24"/>
        </w:rPr>
        <w:t xml:space="preserve"> </w:t>
      </w:r>
    </w:p>
    <w:p w14:paraId="03811342" w14:textId="77777777" w:rsidR="007F6ADE" w:rsidRPr="00663022" w:rsidRDefault="007F6ADE" w:rsidP="00DF50F2">
      <w:pPr>
        <w:pStyle w:val="ListParagraph"/>
        <w:numPr>
          <w:ilvl w:val="0"/>
          <w:numId w:val="40"/>
        </w:numPr>
        <w:spacing w:line="360" w:lineRule="auto"/>
        <w:jc w:val="both"/>
        <w:rPr>
          <w:sz w:val="24"/>
          <w:szCs w:val="24"/>
        </w:rPr>
      </w:pPr>
      <w:r w:rsidRPr="00AC2ACD">
        <w:rPr>
          <w:rFonts w:eastAsia="Calibri" w:cs="Arial"/>
          <w:sz w:val="24"/>
          <w:szCs w:val="24"/>
        </w:rPr>
        <w:t xml:space="preserve">All components of copper alloy plumbing products in contact with drinking water will be required to comply with NSF/ANSI 372 under Option 2. </w:t>
      </w:r>
      <w:r>
        <w:rPr>
          <w:rFonts w:eastAsia="Calibri" w:cs="Arial"/>
          <w:sz w:val="24"/>
          <w:szCs w:val="24"/>
        </w:rPr>
        <w:t xml:space="preserve">This includes spare parts for products. </w:t>
      </w:r>
    </w:p>
    <w:p w14:paraId="09CC7EFB" w14:textId="05D1DDD5" w:rsidR="007F6ADE" w:rsidRPr="00663022" w:rsidRDefault="007F6ADE" w:rsidP="00DF50F2">
      <w:pPr>
        <w:pStyle w:val="ListParagraph"/>
        <w:numPr>
          <w:ilvl w:val="0"/>
          <w:numId w:val="40"/>
        </w:numPr>
        <w:spacing w:line="360" w:lineRule="auto"/>
        <w:jc w:val="both"/>
        <w:rPr>
          <w:sz w:val="24"/>
          <w:szCs w:val="24"/>
        </w:rPr>
      </w:pPr>
      <w:r w:rsidRPr="00AC2ACD">
        <w:rPr>
          <w:rFonts w:eastAsia="Calibri" w:cs="Arial"/>
          <w:sz w:val="24"/>
          <w:szCs w:val="24"/>
        </w:rPr>
        <w:t xml:space="preserve">The impacts of the proposed changes will be softened by a suitable transition period. </w:t>
      </w:r>
      <w:r w:rsidR="00F9386E">
        <w:rPr>
          <w:rFonts w:eastAsia="Calibri" w:cs="Arial"/>
          <w:sz w:val="24"/>
          <w:szCs w:val="24"/>
        </w:rPr>
        <w:t>P</w:t>
      </w:r>
      <w:r w:rsidRPr="00AC2ACD">
        <w:rPr>
          <w:rFonts w:eastAsia="Calibri" w:cs="Arial"/>
          <w:sz w:val="24"/>
          <w:szCs w:val="24"/>
        </w:rPr>
        <w:t xml:space="preserve">rofessionals should have regard for the requirements when making recommendations regarding product selection. However, the installation of low lead products will not become mandatory until the transition period has ended. </w:t>
      </w:r>
    </w:p>
    <w:p w14:paraId="0AA8854A" w14:textId="77777777" w:rsidR="009C3E42" w:rsidRDefault="009C3E42">
      <w:pPr>
        <w:rPr>
          <w:rFonts w:cs="Arial"/>
          <w:color w:val="002060"/>
          <w:sz w:val="24"/>
          <w:szCs w:val="24"/>
        </w:rPr>
      </w:pPr>
      <w:r>
        <w:rPr>
          <w:rFonts w:cs="Arial"/>
          <w:color w:val="002060"/>
          <w:sz w:val="24"/>
          <w:szCs w:val="24"/>
        </w:rPr>
        <w:br w:type="page"/>
      </w:r>
    </w:p>
    <w:p w14:paraId="7E2E0ABD" w14:textId="77777777" w:rsidR="00856CBA" w:rsidRPr="000B675B" w:rsidRDefault="00856CBA" w:rsidP="003E0606">
      <w:pPr>
        <w:pStyle w:val="Heading1"/>
        <w:rPr>
          <w:rFonts w:ascii="Arial" w:hAnsi="Arial" w:cs="Arial"/>
          <w:b w:val="0"/>
          <w:bCs w:val="0"/>
        </w:rPr>
      </w:pPr>
      <w:bookmarkStart w:id="308" w:name="_Toc71195756"/>
      <w:bookmarkStart w:id="309" w:name="_Toc71789299"/>
      <w:r w:rsidRPr="000B675B">
        <w:rPr>
          <w:rFonts w:ascii="Arial" w:hAnsi="Arial" w:cs="Arial"/>
          <w:b w:val="0"/>
          <w:bCs w:val="0"/>
        </w:rPr>
        <w:lastRenderedPageBreak/>
        <w:t>Conclusion</w:t>
      </w:r>
      <w:bookmarkEnd w:id="308"/>
      <w:bookmarkEnd w:id="309"/>
      <w:r w:rsidRPr="000B675B">
        <w:rPr>
          <w:rFonts w:ascii="Arial" w:hAnsi="Arial" w:cs="Arial"/>
          <w:b w:val="0"/>
          <w:bCs w:val="0"/>
        </w:rPr>
        <w:t xml:space="preserve"> </w:t>
      </w:r>
    </w:p>
    <w:p w14:paraId="475EE2BB" w14:textId="77777777" w:rsidR="000D06AB" w:rsidRDefault="000D06AB" w:rsidP="003E0606">
      <w:pPr>
        <w:spacing w:before="120" w:after="0" w:line="360" w:lineRule="auto"/>
        <w:jc w:val="both"/>
        <w:rPr>
          <w:rFonts w:cs="Arial"/>
          <w:sz w:val="24"/>
          <w:szCs w:val="24"/>
        </w:rPr>
      </w:pPr>
      <w:r>
        <w:rPr>
          <w:rFonts w:cs="Arial"/>
          <w:sz w:val="24"/>
          <w:szCs w:val="24"/>
        </w:rPr>
        <w:t xml:space="preserve">Following a number of highly publicised incidences of lead </w:t>
      </w:r>
      <w:r w:rsidR="00E70EEC">
        <w:rPr>
          <w:rFonts w:cs="Arial"/>
          <w:sz w:val="24"/>
          <w:szCs w:val="24"/>
        </w:rPr>
        <w:t>being found</w:t>
      </w:r>
      <w:r>
        <w:rPr>
          <w:rFonts w:cs="Arial"/>
          <w:sz w:val="24"/>
          <w:szCs w:val="24"/>
        </w:rPr>
        <w:t xml:space="preserve"> in drinking water exceeding </w:t>
      </w:r>
      <w:r w:rsidR="00F67DF0">
        <w:rPr>
          <w:rFonts w:cs="Arial"/>
          <w:sz w:val="24"/>
          <w:szCs w:val="24"/>
        </w:rPr>
        <w:t xml:space="preserve">10 </w:t>
      </w:r>
      <w:bookmarkStart w:id="310" w:name="_Hlk70165258"/>
      <w:r w:rsidR="0023019F" w:rsidRPr="00267B1B">
        <w:rPr>
          <w:rFonts w:cs="Arial"/>
          <w:bCs/>
          <w:sz w:val="24"/>
          <w:szCs w:val="24"/>
        </w:rPr>
        <w:t>µg</w:t>
      </w:r>
      <w:bookmarkEnd w:id="310"/>
      <w:r w:rsidR="0023019F" w:rsidRPr="00267B1B">
        <w:rPr>
          <w:rFonts w:cs="Arial"/>
          <w:bCs/>
          <w:sz w:val="24"/>
          <w:szCs w:val="24"/>
        </w:rPr>
        <w:t>/L</w:t>
      </w:r>
      <w:r>
        <w:rPr>
          <w:rFonts w:cs="Arial"/>
          <w:sz w:val="24"/>
          <w:szCs w:val="24"/>
        </w:rPr>
        <w:t xml:space="preserve">, the ABCB </w:t>
      </w:r>
      <w:r w:rsidR="00E70EEC">
        <w:rPr>
          <w:rFonts w:cs="Arial"/>
          <w:sz w:val="24"/>
          <w:szCs w:val="24"/>
        </w:rPr>
        <w:t>ha</w:t>
      </w:r>
      <w:r w:rsidR="00641D27">
        <w:rPr>
          <w:rFonts w:cs="Arial"/>
          <w:sz w:val="24"/>
          <w:szCs w:val="24"/>
        </w:rPr>
        <w:t>s</w:t>
      </w:r>
      <w:r w:rsidR="00E70EEC">
        <w:rPr>
          <w:rFonts w:cs="Arial"/>
          <w:sz w:val="24"/>
          <w:szCs w:val="24"/>
        </w:rPr>
        <w:t xml:space="preserve"> been</w:t>
      </w:r>
      <w:r>
        <w:rPr>
          <w:rFonts w:cs="Arial"/>
          <w:sz w:val="24"/>
          <w:szCs w:val="24"/>
        </w:rPr>
        <w:t xml:space="preserve"> tasked with investigating the use of lead in the manufacture of plumbing products in contact with drinking water. </w:t>
      </w:r>
    </w:p>
    <w:p w14:paraId="1E2CF355" w14:textId="77777777" w:rsidR="000D06AB" w:rsidRDefault="00930819" w:rsidP="001D7AEE">
      <w:pPr>
        <w:spacing w:before="120" w:after="0" w:line="360" w:lineRule="auto"/>
        <w:jc w:val="both"/>
        <w:rPr>
          <w:rFonts w:cs="Arial"/>
          <w:sz w:val="24"/>
          <w:szCs w:val="24"/>
        </w:rPr>
      </w:pPr>
      <w:r>
        <w:rPr>
          <w:rFonts w:cs="Arial"/>
          <w:sz w:val="24"/>
          <w:szCs w:val="24"/>
        </w:rPr>
        <w:t>The use of lead is</w:t>
      </w:r>
      <w:r w:rsidR="00E009C5" w:rsidRPr="00E009C5">
        <w:rPr>
          <w:rFonts w:cs="Arial"/>
          <w:sz w:val="24"/>
          <w:szCs w:val="24"/>
        </w:rPr>
        <w:t xml:space="preserve"> currently permitted in the manufacture of</w:t>
      </w:r>
      <w:r w:rsidR="00E009C5">
        <w:rPr>
          <w:rFonts w:cs="Arial"/>
          <w:sz w:val="24"/>
          <w:szCs w:val="24"/>
        </w:rPr>
        <w:t xml:space="preserve"> </w:t>
      </w:r>
      <w:r w:rsidR="00E009C5" w:rsidRPr="00E009C5">
        <w:rPr>
          <w:rFonts w:cs="Arial"/>
          <w:sz w:val="24"/>
          <w:szCs w:val="24"/>
        </w:rPr>
        <w:t>plumbing products in contact with drinking water.</w:t>
      </w:r>
      <w:r w:rsidR="00E70EEC">
        <w:rPr>
          <w:rFonts w:cs="Arial"/>
          <w:sz w:val="24"/>
          <w:szCs w:val="24"/>
        </w:rPr>
        <w:t xml:space="preserve"> </w:t>
      </w:r>
      <w:r w:rsidR="00E70EEC" w:rsidRPr="00E70EEC">
        <w:rPr>
          <w:rFonts w:cs="Arial"/>
          <w:sz w:val="24"/>
          <w:szCs w:val="24"/>
        </w:rPr>
        <w:t>It</w:t>
      </w:r>
      <w:r w:rsidR="00641D27">
        <w:rPr>
          <w:rFonts w:cs="Arial"/>
          <w:sz w:val="24"/>
          <w:szCs w:val="24"/>
        </w:rPr>
        <w:t xml:space="preserve"> i</w:t>
      </w:r>
      <w:r w:rsidR="00E70EEC" w:rsidRPr="00E70EEC">
        <w:rPr>
          <w:rFonts w:cs="Arial"/>
          <w:sz w:val="24"/>
          <w:szCs w:val="24"/>
        </w:rPr>
        <w:t xml:space="preserve">s most commonly found in small amounts when mixed with other metals to create copper alloys such as brass and bronze. </w:t>
      </w:r>
      <w:r>
        <w:rPr>
          <w:rFonts w:cs="Arial"/>
          <w:sz w:val="24"/>
          <w:szCs w:val="24"/>
        </w:rPr>
        <w:t xml:space="preserve">Current product and material standards allow up to </w:t>
      </w:r>
      <w:r w:rsidR="00F7766B">
        <w:rPr>
          <w:rFonts w:cs="Arial"/>
          <w:sz w:val="24"/>
          <w:szCs w:val="24"/>
        </w:rPr>
        <w:t>6</w:t>
      </w:r>
      <w:r>
        <w:rPr>
          <w:rFonts w:cs="Arial"/>
          <w:sz w:val="24"/>
          <w:szCs w:val="24"/>
        </w:rPr>
        <w:t>% le</w:t>
      </w:r>
      <w:r w:rsidR="0023019F">
        <w:rPr>
          <w:rFonts w:cs="Arial"/>
          <w:sz w:val="24"/>
          <w:szCs w:val="24"/>
        </w:rPr>
        <w:t>a</w:t>
      </w:r>
      <w:r>
        <w:rPr>
          <w:rFonts w:cs="Arial"/>
          <w:sz w:val="24"/>
          <w:szCs w:val="24"/>
        </w:rPr>
        <w:t>d content</w:t>
      </w:r>
      <w:r w:rsidR="00641D27">
        <w:rPr>
          <w:rFonts w:cs="Arial"/>
          <w:sz w:val="24"/>
          <w:szCs w:val="24"/>
        </w:rPr>
        <w:t>,</w:t>
      </w:r>
      <w:r w:rsidR="0023019F">
        <w:rPr>
          <w:rFonts w:cs="Arial"/>
          <w:sz w:val="24"/>
          <w:szCs w:val="24"/>
        </w:rPr>
        <w:t xml:space="preserve"> and l</w:t>
      </w:r>
      <w:r w:rsidR="00E009C5">
        <w:rPr>
          <w:rFonts w:cs="Arial"/>
          <w:sz w:val="24"/>
          <w:szCs w:val="24"/>
        </w:rPr>
        <w:t xml:space="preserve">aboratory testing of plumbing products in contact with drinking water has shown that lead leaches from these products. </w:t>
      </w:r>
    </w:p>
    <w:p w14:paraId="3D7FBDB9" w14:textId="23447637" w:rsidR="0023019F" w:rsidRDefault="00930819" w:rsidP="001D7AEE">
      <w:pPr>
        <w:spacing w:before="120" w:after="0" w:line="360" w:lineRule="auto"/>
        <w:jc w:val="both"/>
        <w:rPr>
          <w:rFonts w:cs="Arial"/>
          <w:sz w:val="24"/>
          <w:szCs w:val="24"/>
        </w:rPr>
      </w:pPr>
      <w:r>
        <w:rPr>
          <w:rFonts w:cs="Arial"/>
          <w:sz w:val="24"/>
          <w:szCs w:val="24"/>
        </w:rPr>
        <w:t>Current regulatory intervention aimed at reducing lead</w:t>
      </w:r>
      <w:r w:rsidR="00FC790C">
        <w:rPr>
          <w:rFonts w:cs="Arial"/>
          <w:sz w:val="24"/>
          <w:szCs w:val="24"/>
        </w:rPr>
        <w:t xml:space="preserve"> exposure</w:t>
      </w:r>
      <w:r>
        <w:rPr>
          <w:rFonts w:cs="Arial"/>
          <w:sz w:val="24"/>
          <w:szCs w:val="24"/>
        </w:rPr>
        <w:t xml:space="preserve"> has been effective in Australia with a </w:t>
      </w:r>
      <w:r w:rsidR="001C5FF8">
        <w:rPr>
          <w:rFonts w:cs="Arial"/>
          <w:sz w:val="24"/>
          <w:szCs w:val="24"/>
        </w:rPr>
        <w:t>5</w:t>
      </w:r>
      <w:r w:rsidR="000D72A2">
        <w:rPr>
          <w:rFonts w:cs="Arial"/>
          <w:sz w:val="24"/>
          <w:szCs w:val="24"/>
        </w:rPr>
        <w:t>0</w:t>
      </w:r>
      <w:r w:rsidR="00224C51">
        <w:rPr>
          <w:rFonts w:cs="Arial"/>
          <w:sz w:val="24"/>
          <w:szCs w:val="24"/>
        </w:rPr>
        <w:t xml:space="preserve">% </w:t>
      </w:r>
      <w:r>
        <w:rPr>
          <w:rFonts w:cs="Arial"/>
          <w:sz w:val="24"/>
          <w:szCs w:val="24"/>
        </w:rPr>
        <w:t xml:space="preserve">reduction in health consequences since 1990. </w:t>
      </w:r>
      <w:r w:rsidRPr="00930819">
        <w:rPr>
          <w:rFonts w:cs="Arial"/>
          <w:sz w:val="24"/>
          <w:szCs w:val="24"/>
        </w:rPr>
        <w:t>This is largely due to interventions aimed at reducing the use of lead in commonly used products and consumables</w:t>
      </w:r>
      <w:r>
        <w:rPr>
          <w:rFonts w:cs="Arial"/>
          <w:sz w:val="24"/>
          <w:szCs w:val="24"/>
        </w:rPr>
        <w:t xml:space="preserve"> such as </w:t>
      </w:r>
      <w:r w:rsidR="0023019F">
        <w:rPr>
          <w:rFonts w:cs="Arial"/>
          <w:sz w:val="24"/>
          <w:szCs w:val="24"/>
        </w:rPr>
        <w:t>paint, fuel</w:t>
      </w:r>
      <w:r w:rsidR="00B87C37">
        <w:rPr>
          <w:rFonts w:cs="Arial"/>
          <w:sz w:val="24"/>
          <w:szCs w:val="24"/>
        </w:rPr>
        <w:t>, drinking water</w:t>
      </w:r>
      <w:r w:rsidR="0023019F">
        <w:rPr>
          <w:rFonts w:cs="Arial"/>
          <w:sz w:val="24"/>
          <w:szCs w:val="24"/>
        </w:rPr>
        <w:t xml:space="preserve"> and toys. Despite these improvements, </w:t>
      </w:r>
      <w:r w:rsidR="00B87C37">
        <w:rPr>
          <w:rFonts w:cs="Arial"/>
          <w:sz w:val="24"/>
          <w:szCs w:val="24"/>
        </w:rPr>
        <w:t xml:space="preserve">health authorities, including the WHO and the </w:t>
      </w:r>
      <w:r w:rsidR="00B87C37" w:rsidRPr="001D7AEE">
        <w:rPr>
          <w:rFonts w:cs="Arial"/>
          <w:sz w:val="24"/>
          <w:szCs w:val="24"/>
        </w:rPr>
        <w:t xml:space="preserve">NHMRC </w:t>
      </w:r>
      <w:r w:rsidR="00F67DF0" w:rsidRPr="001D7AEE">
        <w:rPr>
          <w:rFonts w:cs="Arial"/>
          <w:sz w:val="24"/>
          <w:szCs w:val="24"/>
        </w:rPr>
        <w:t xml:space="preserve">continue to </w:t>
      </w:r>
      <w:r w:rsidR="00B87C37" w:rsidRPr="001D7AEE">
        <w:rPr>
          <w:rFonts w:cs="Arial"/>
          <w:sz w:val="24"/>
          <w:szCs w:val="24"/>
        </w:rPr>
        <w:t>encourag</w:t>
      </w:r>
      <w:r w:rsidR="00F67DF0" w:rsidRPr="001D7AEE">
        <w:rPr>
          <w:rFonts w:cs="Arial"/>
          <w:sz w:val="24"/>
          <w:szCs w:val="24"/>
        </w:rPr>
        <w:t>e</w:t>
      </w:r>
      <w:r w:rsidR="00B87C37" w:rsidRPr="001D7AEE">
        <w:rPr>
          <w:rFonts w:cs="Arial"/>
          <w:sz w:val="24"/>
          <w:szCs w:val="24"/>
        </w:rPr>
        <w:t xml:space="preserve"> governments</w:t>
      </w:r>
      <w:r w:rsidR="0054153E">
        <w:rPr>
          <w:rFonts w:cs="Arial"/>
          <w:sz w:val="24"/>
          <w:szCs w:val="24"/>
        </w:rPr>
        <w:t xml:space="preserve"> to</w:t>
      </w:r>
      <w:r w:rsidR="00B87C37" w:rsidRPr="001D7AEE">
        <w:rPr>
          <w:rFonts w:cs="Arial"/>
          <w:sz w:val="24"/>
          <w:szCs w:val="24"/>
        </w:rPr>
        <w:t xml:space="preserve"> eliminate </w:t>
      </w:r>
      <w:r w:rsidR="008444C2" w:rsidRPr="001D7AEE">
        <w:rPr>
          <w:rFonts w:cs="Arial"/>
          <w:sz w:val="24"/>
          <w:szCs w:val="24"/>
        </w:rPr>
        <w:t xml:space="preserve">all </w:t>
      </w:r>
      <w:r w:rsidR="00B87C37" w:rsidRPr="001D7AEE">
        <w:rPr>
          <w:rFonts w:cs="Arial"/>
          <w:sz w:val="24"/>
          <w:szCs w:val="24"/>
        </w:rPr>
        <w:t>non-essential uses of lead.</w:t>
      </w:r>
    </w:p>
    <w:p w14:paraId="689E44BC" w14:textId="3482730C" w:rsidR="00E009C5" w:rsidRPr="001D7AEE" w:rsidRDefault="00E009C5" w:rsidP="001D7AEE">
      <w:pPr>
        <w:spacing w:before="120" w:after="0" w:line="360" w:lineRule="auto"/>
        <w:jc w:val="both"/>
        <w:rPr>
          <w:rFonts w:cs="Arial"/>
          <w:sz w:val="24"/>
          <w:szCs w:val="24"/>
        </w:rPr>
      </w:pPr>
      <w:r w:rsidRPr="001D7AEE">
        <w:rPr>
          <w:rFonts w:cs="Arial"/>
          <w:sz w:val="24"/>
          <w:szCs w:val="24"/>
        </w:rPr>
        <w:t xml:space="preserve">There is limited available data on the </w:t>
      </w:r>
      <w:r w:rsidR="00F67DF0" w:rsidRPr="001D7AEE">
        <w:rPr>
          <w:rFonts w:cs="Arial"/>
          <w:sz w:val="24"/>
          <w:szCs w:val="24"/>
        </w:rPr>
        <w:t xml:space="preserve">impacts </w:t>
      </w:r>
      <w:r w:rsidR="00E70EEC" w:rsidRPr="001D7AEE">
        <w:rPr>
          <w:rFonts w:cs="Arial"/>
          <w:sz w:val="24"/>
          <w:szCs w:val="24"/>
        </w:rPr>
        <w:t>of reducing low lead exposure</w:t>
      </w:r>
      <w:r w:rsidR="008F472B" w:rsidRPr="001D7AEE">
        <w:rPr>
          <w:rFonts w:cs="Arial"/>
          <w:sz w:val="24"/>
          <w:szCs w:val="24"/>
        </w:rPr>
        <w:t xml:space="preserve"> in Australia</w:t>
      </w:r>
      <w:r w:rsidR="00641D27">
        <w:rPr>
          <w:rFonts w:cs="Arial"/>
          <w:sz w:val="24"/>
          <w:szCs w:val="24"/>
        </w:rPr>
        <w:t>.</w:t>
      </w:r>
      <w:r w:rsidR="008444C2" w:rsidRPr="001D7AEE">
        <w:rPr>
          <w:rFonts w:cs="Arial"/>
          <w:sz w:val="24"/>
          <w:szCs w:val="24"/>
        </w:rPr>
        <w:t xml:space="preserve"> </w:t>
      </w:r>
      <w:r w:rsidR="00641D27">
        <w:rPr>
          <w:rFonts w:cs="Arial"/>
          <w:sz w:val="24"/>
          <w:szCs w:val="24"/>
        </w:rPr>
        <w:t>P</w:t>
      </w:r>
      <w:r w:rsidR="00224C51">
        <w:rPr>
          <w:rFonts w:cs="Arial"/>
          <w:sz w:val="24"/>
          <w:szCs w:val="24"/>
        </w:rPr>
        <w:t xml:space="preserve">olicy setting and </w:t>
      </w:r>
      <w:r w:rsidR="002E4BE2" w:rsidRPr="001D7AEE">
        <w:rPr>
          <w:rFonts w:cs="Arial"/>
          <w:sz w:val="24"/>
          <w:szCs w:val="24"/>
        </w:rPr>
        <w:t xml:space="preserve">standards </w:t>
      </w:r>
      <w:r w:rsidR="00224C51">
        <w:rPr>
          <w:rFonts w:cs="Arial"/>
          <w:sz w:val="24"/>
          <w:szCs w:val="24"/>
        </w:rPr>
        <w:t>writing</w:t>
      </w:r>
      <w:r w:rsidR="002E4BE2" w:rsidRPr="001D7AEE">
        <w:rPr>
          <w:rFonts w:cs="Arial"/>
          <w:sz w:val="24"/>
          <w:szCs w:val="24"/>
        </w:rPr>
        <w:t xml:space="preserve"> bodies</w:t>
      </w:r>
      <w:r w:rsidR="00641D27">
        <w:rPr>
          <w:rFonts w:cs="Arial"/>
          <w:sz w:val="24"/>
          <w:szCs w:val="24"/>
        </w:rPr>
        <w:t>,</w:t>
      </w:r>
      <w:r w:rsidR="00F67DF0" w:rsidRPr="001D7AEE">
        <w:rPr>
          <w:rFonts w:cs="Arial"/>
          <w:sz w:val="24"/>
          <w:szCs w:val="24"/>
        </w:rPr>
        <w:t xml:space="preserve"> such as the ABCB</w:t>
      </w:r>
      <w:r w:rsidR="00641D27">
        <w:rPr>
          <w:rFonts w:cs="Arial"/>
          <w:sz w:val="24"/>
          <w:szCs w:val="24"/>
        </w:rPr>
        <w:t>,</w:t>
      </w:r>
      <w:r w:rsidR="00F67DF0" w:rsidRPr="001D7AEE">
        <w:rPr>
          <w:rFonts w:cs="Arial"/>
          <w:sz w:val="24"/>
          <w:szCs w:val="24"/>
        </w:rPr>
        <w:t xml:space="preserve"> would benefit from </w:t>
      </w:r>
      <w:r w:rsidR="008F472B" w:rsidRPr="001D7AEE">
        <w:rPr>
          <w:rFonts w:cs="Arial"/>
          <w:sz w:val="24"/>
          <w:szCs w:val="24"/>
        </w:rPr>
        <w:t>health authorities examining the</w:t>
      </w:r>
      <w:r w:rsidR="00200450">
        <w:rPr>
          <w:rFonts w:cs="Arial"/>
          <w:sz w:val="24"/>
          <w:szCs w:val="24"/>
        </w:rPr>
        <w:t xml:space="preserve"> water lead levels from within premises or propert</w:t>
      </w:r>
      <w:r w:rsidR="00641D27">
        <w:rPr>
          <w:rFonts w:cs="Arial"/>
          <w:sz w:val="24"/>
          <w:szCs w:val="24"/>
        </w:rPr>
        <w:t>ies</w:t>
      </w:r>
      <w:r w:rsidR="00200450">
        <w:rPr>
          <w:rFonts w:cs="Arial"/>
          <w:sz w:val="24"/>
          <w:szCs w:val="24"/>
        </w:rPr>
        <w:t xml:space="preserve"> in Australia and the</w:t>
      </w:r>
      <w:r w:rsidR="008F472B" w:rsidRPr="001D7AEE">
        <w:rPr>
          <w:rFonts w:cs="Arial"/>
          <w:sz w:val="24"/>
          <w:szCs w:val="24"/>
        </w:rPr>
        <w:t xml:space="preserve"> blood lead levels within the general population. </w:t>
      </w:r>
      <w:r w:rsidR="008444C2" w:rsidRPr="001D7AEE">
        <w:rPr>
          <w:rFonts w:cs="Arial"/>
          <w:sz w:val="24"/>
          <w:szCs w:val="24"/>
        </w:rPr>
        <w:t>Available studies indicate that the</w:t>
      </w:r>
      <w:r w:rsidR="00840D58">
        <w:rPr>
          <w:rFonts w:cs="Arial"/>
          <w:sz w:val="24"/>
          <w:szCs w:val="24"/>
        </w:rPr>
        <w:t xml:space="preserve"> </w:t>
      </w:r>
      <w:r w:rsidR="008444C2" w:rsidRPr="001D7AEE">
        <w:rPr>
          <w:rFonts w:cs="Arial"/>
          <w:sz w:val="24"/>
          <w:szCs w:val="24"/>
        </w:rPr>
        <w:t xml:space="preserve">problem of lead </w:t>
      </w:r>
      <w:r w:rsidR="00840D58" w:rsidRPr="008D498E">
        <w:rPr>
          <w:rFonts w:cs="Arial"/>
          <w:bCs/>
          <w:sz w:val="24"/>
          <w:szCs w:val="24"/>
        </w:rPr>
        <w:t>exceed</w:t>
      </w:r>
      <w:r w:rsidR="00840D58">
        <w:rPr>
          <w:rFonts w:cs="Arial"/>
          <w:bCs/>
          <w:sz w:val="24"/>
          <w:szCs w:val="24"/>
        </w:rPr>
        <w:t>ing</w:t>
      </w:r>
      <w:r w:rsidR="00840D58" w:rsidRPr="008D498E">
        <w:rPr>
          <w:rFonts w:cs="Arial"/>
          <w:bCs/>
          <w:sz w:val="24"/>
          <w:szCs w:val="24"/>
        </w:rPr>
        <w:t xml:space="preserve"> the 10 µg/L</w:t>
      </w:r>
      <w:r w:rsidR="00840D58">
        <w:rPr>
          <w:rFonts w:cs="Arial"/>
          <w:bCs/>
          <w:sz w:val="24"/>
          <w:szCs w:val="24"/>
        </w:rPr>
        <w:t xml:space="preserve"> </w:t>
      </w:r>
      <w:r w:rsidR="008444C2" w:rsidRPr="001D7AEE">
        <w:rPr>
          <w:rFonts w:cs="Arial"/>
          <w:sz w:val="24"/>
          <w:szCs w:val="24"/>
        </w:rPr>
        <w:t>in drinking water</w:t>
      </w:r>
      <w:r w:rsidR="008F416D">
        <w:rPr>
          <w:rFonts w:cs="Arial"/>
          <w:sz w:val="24"/>
          <w:szCs w:val="24"/>
        </w:rPr>
        <w:t xml:space="preserve"> </w:t>
      </w:r>
      <w:r w:rsidR="008444C2" w:rsidRPr="001D7AEE">
        <w:rPr>
          <w:rFonts w:cs="Arial"/>
          <w:sz w:val="24"/>
          <w:szCs w:val="24"/>
        </w:rPr>
        <w:t xml:space="preserve">could </w:t>
      </w:r>
      <w:r w:rsidR="00840D58">
        <w:rPr>
          <w:rFonts w:cs="Arial"/>
          <w:sz w:val="24"/>
          <w:szCs w:val="24"/>
        </w:rPr>
        <w:t xml:space="preserve">effect a proportion </w:t>
      </w:r>
      <w:r w:rsidR="008444C2" w:rsidRPr="001D7AEE">
        <w:rPr>
          <w:rFonts w:cs="Arial"/>
          <w:sz w:val="24"/>
          <w:szCs w:val="24"/>
        </w:rPr>
        <w:t>equal to or greater than 8</w:t>
      </w:r>
      <w:r w:rsidR="00224C51">
        <w:rPr>
          <w:rFonts w:cs="Arial"/>
          <w:sz w:val="24"/>
          <w:szCs w:val="24"/>
        </w:rPr>
        <w:t>%</w:t>
      </w:r>
      <w:r w:rsidR="008F416D" w:rsidRPr="008F416D">
        <w:rPr>
          <w:rFonts w:cs="Arial"/>
          <w:sz w:val="24"/>
          <w:szCs w:val="24"/>
        </w:rPr>
        <w:t xml:space="preserve"> </w:t>
      </w:r>
      <w:r w:rsidR="008F416D">
        <w:rPr>
          <w:rFonts w:cs="Arial"/>
          <w:sz w:val="24"/>
          <w:szCs w:val="24"/>
        </w:rPr>
        <w:t xml:space="preserve">of </w:t>
      </w:r>
      <w:r w:rsidR="008F416D" w:rsidRPr="001D7AEE">
        <w:rPr>
          <w:rFonts w:cs="Arial"/>
          <w:sz w:val="24"/>
          <w:szCs w:val="24"/>
        </w:rPr>
        <w:t>propert</w:t>
      </w:r>
      <w:r w:rsidR="008F416D">
        <w:rPr>
          <w:rFonts w:cs="Arial"/>
          <w:sz w:val="24"/>
          <w:szCs w:val="24"/>
        </w:rPr>
        <w:t>ies</w:t>
      </w:r>
      <w:r w:rsidR="008444C2" w:rsidRPr="001D7AEE">
        <w:rPr>
          <w:rFonts w:cs="Arial"/>
          <w:sz w:val="24"/>
          <w:szCs w:val="24"/>
        </w:rPr>
        <w:t xml:space="preserve">. </w:t>
      </w:r>
      <w:r w:rsidR="00BB24A4">
        <w:rPr>
          <w:rFonts w:cs="Arial"/>
          <w:sz w:val="24"/>
          <w:szCs w:val="24"/>
        </w:rPr>
        <w:t>However, these studies are small in sample size</w:t>
      </w:r>
      <w:r w:rsidR="00A348E2">
        <w:rPr>
          <w:rStyle w:val="FootnoteReference"/>
          <w:rFonts w:cs="Arial"/>
          <w:sz w:val="24"/>
          <w:szCs w:val="24"/>
        </w:rPr>
        <w:footnoteReference w:id="118"/>
      </w:r>
      <w:r w:rsidR="00BB24A4">
        <w:rPr>
          <w:rFonts w:cs="Arial"/>
          <w:sz w:val="24"/>
          <w:szCs w:val="24"/>
        </w:rPr>
        <w:t xml:space="preserve">. </w:t>
      </w:r>
    </w:p>
    <w:p w14:paraId="1ABFDB08" w14:textId="7121DD6C" w:rsidR="00817D3C" w:rsidRDefault="008F472B" w:rsidP="001D7AEE">
      <w:pPr>
        <w:spacing w:before="120" w:after="0" w:line="360" w:lineRule="auto"/>
        <w:jc w:val="both"/>
        <w:rPr>
          <w:rFonts w:cs="Arial"/>
          <w:bCs/>
          <w:iCs/>
          <w:sz w:val="24"/>
          <w:szCs w:val="24"/>
        </w:rPr>
      </w:pPr>
      <w:r w:rsidRPr="00532855">
        <w:rPr>
          <w:rFonts w:cs="Arial"/>
          <w:sz w:val="24"/>
          <w:szCs w:val="24"/>
        </w:rPr>
        <w:t>In the absence of national data</w:t>
      </w:r>
      <w:r w:rsidR="008444C2" w:rsidRPr="00532855">
        <w:rPr>
          <w:rFonts w:cs="Arial"/>
          <w:sz w:val="24"/>
          <w:szCs w:val="24"/>
        </w:rPr>
        <w:t xml:space="preserve"> on the</w:t>
      </w:r>
      <w:r w:rsidR="008444C2" w:rsidRPr="00532855">
        <w:rPr>
          <w:rFonts w:cs="Arial"/>
          <w:bCs/>
          <w:iCs/>
          <w:sz w:val="24"/>
          <w:szCs w:val="24"/>
        </w:rPr>
        <w:t xml:space="preserve"> health consequences of lead in drinking water</w:t>
      </w:r>
      <w:r w:rsidRPr="00532855">
        <w:rPr>
          <w:rFonts w:cs="Arial"/>
          <w:bCs/>
          <w:iCs/>
          <w:sz w:val="24"/>
          <w:szCs w:val="24"/>
        </w:rPr>
        <w:t>,</w:t>
      </w:r>
      <w:r w:rsidR="008444C2" w:rsidRPr="00532855">
        <w:rPr>
          <w:rFonts w:cs="Arial"/>
          <w:bCs/>
          <w:iCs/>
          <w:sz w:val="24"/>
          <w:szCs w:val="24"/>
        </w:rPr>
        <w:t xml:space="preserve"> the </w:t>
      </w:r>
      <w:r w:rsidR="00F6703E">
        <w:rPr>
          <w:rFonts w:cs="Arial"/>
          <w:bCs/>
          <w:iCs/>
          <w:sz w:val="24"/>
          <w:szCs w:val="24"/>
        </w:rPr>
        <w:t>GBD</w:t>
      </w:r>
      <w:r w:rsidR="008444C2" w:rsidRPr="00532855">
        <w:rPr>
          <w:rFonts w:cs="Arial"/>
          <w:bCs/>
          <w:iCs/>
          <w:sz w:val="24"/>
          <w:szCs w:val="24"/>
        </w:rPr>
        <w:t xml:space="preserve"> </w:t>
      </w:r>
      <w:r w:rsidR="001C6CDF" w:rsidRPr="00532855">
        <w:rPr>
          <w:rFonts w:cs="Arial"/>
          <w:bCs/>
          <w:iCs/>
          <w:sz w:val="24"/>
          <w:szCs w:val="24"/>
        </w:rPr>
        <w:t>database shows</w:t>
      </w:r>
      <w:r w:rsidR="008444C2" w:rsidRPr="00532855">
        <w:rPr>
          <w:rFonts w:cs="Arial"/>
          <w:bCs/>
          <w:iCs/>
          <w:sz w:val="24"/>
          <w:szCs w:val="24"/>
        </w:rPr>
        <w:t xml:space="preserve"> that lead</w:t>
      </w:r>
      <w:r w:rsidR="00351842" w:rsidRPr="00532855">
        <w:rPr>
          <w:rFonts w:cs="Arial"/>
          <w:bCs/>
          <w:iCs/>
          <w:sz w:val="24"/>
          <w:szCs w:val="24"/>
        </w:rPr>
        <w:t xml:space="preserve"> exposure</w:t>
      </w:r>
      <w:r w:rsidR="008444C2" w:rsidRPr="00532855">
        <w:rPr>
          <w:rFonts w:cs="Arial"/>
          <w:bCs/>
          <w:iCs/>
          <w:sz w:val="24"/>
          <w:szCs w:val="24"/>
        </w:rPr>
        <w:t xml:space="preserve"> continues to be a problem in Australia</w:t>
      </w:r>
      <w:r w:rsidR="00F165B3">
        <w:rPr>
          <w:rFonts w:cs="Arial"/>
          <w:bCs/>
          <w:iCs/>
          <w:sz w:val="24"/>
          <w:szCs w:val="24"/>
        </w:rPr>
        <w:t>.</w:t>
      </w:r>
      <w:r w:rsidR="00C15F31" w:rsidRPr="00532855">
        <w:rPr>
          <w:rFonts w:cs="Arial"/>
          <w:bCs/>
          <w:iCs/>
          <w:sz w:val="24"/>
          <w:szCs w:val="24"/>
        </w:rPr>
        <w:t xml:space="preserve"> </w:t>
      </w:r>
      <w:r w:rsidR="00F165B3">
        <w:rPr>
          <w:rFonts w:cs="Arial"/>
          <w:bCs/>
          <w:iCs/>
          <w:sz w:val="24"/>
          <w:szCs w:val="24"/>
        </w:rPr>
        <w:t>It</w:t>
      </w:r>
      <w:r w:rsidR="00C15F31" w:rsidRPr="00532855">
        <w:rPr>
          <w:rFonts w:cs="Arial"/>
          <w:bCs/>
          <w:iCs/>
          <w:sz w:val="24"/>
          <w:szCs w:val="24"/>
        </w:rPr>
        <w:t xml:space="preserve"> attributes</w:t>
      </w:r>
      <w:r w:rsidR="003431D6" w:rsidRPr="00532855">
        <w:rPr>
          <w:rFonts w:cs="Arial"/>
          <w:bCs/>
          <w:iCs/>
          <w:sz w:val="24"/>
          <w:szCs w:val="24"/>
        </w:rPr>
        <w:t xml:space="preserve"> the health burden of lead exposure to be</w:t>
      </w:r>
      <w:r w:rsidR="00C15F31" w:rsidRPr="00532855">
        <w:rPr>
          <w:rFonts w:cs="Arial"/>
          <w:bCs/>
          <w:iCs/>
          <w:sz w:val="24"/>
          <w:szCs w:val="24"/>
        </w:rPr>
        <w:t xml:space="preserve"> between </w:t>
      </w:r>
      <w:r w:rsidR="00044537">
        <w:rPr>
          <w:rFonts w:cs="Arial"/>
          <w:bCs/>
          <w:iCs/>
          <w:sz w:val="24"/>
          <w:szCs w:val="24"/>
        </w:rPr>
        <w:t>11,979</w:t>
      </w:r>
      <w:r w:rsidR="00885B9E" w:rsidRPr="00532855">
        <w:rPr>
          <w:rFonts w:cs="Arial"/>
          <w:bCs/>
          <w:iCs/>
          <w:sz w:val="24"/>
          <w:szCs w:val="24"/>
        </w:rPr>
        <w:t xml:space="preserve"> and </w:t>
      </w:r>
      <w:r w:rsidR="00044537">
        <w:rPr>
          <w:rFonts w:cs="Arial"/>
          <w:bCs/>
          <w:iCs/>
          <w:sz w:val="24"/>
          <w:szCs w:val="24"/>
        </w:rPr>
        <w:t>39,723</w:t>
      </w:r>
      <w:r w:rsidR="00885B9E" w:rsidRPr="00532855">
        <w:rPr>
          <w:rFonts w:cs="Arial"/>
          <w:bCs/>
          <w:iCs/>
          <w:sz w:val="24"/>
          <w:szCs w:val="24"/>
        </w:rPr>
        <w:t xml:space="preserve"> DALYs in </w:t>
      </w:r>
      <w:r w:rsidR="00044537" w:rsidRPr="00532855">
        <w:rPr>
          <w:rFonts w:cs="Arial"/>
          <w:bCs/>
          <w:iCs/>
          <w:sz w:val="24"/>
          <w:szCs w:val="24"/>
        </w:rPr>
        <w:t>201</w:t>
      </w:r>
      <w:r w:rsidR="00044537">
        <w:rPr>
          <w:rFonts w:cs="Arial"/>
          <w:bCs/>
          <w:iCs/>
          <w:sz w:val="24"/>
          <w:szCs w:val="24"/>
        </w:rPr>
        <w:t>9</w:t>
      </w:r>
      <w:r w:rsidR="007E2C53" w:rsidRPr="00532855">
        <w:rPr>
          <w:rFonts w:cs="Arial"/>
          <w:bCs/>
          <w:iCs/>
          <w:sz w:val="24"/>
          <w:szCs w:val="24"/>
        </w:rPr>
        <w:t>,</w:t>
      </w:r>
      <w:r w:rsidR="00885B9E" w:rsidRPr="00532855">
        <w:rPr>
          <w:rFonts w:cs="Arial"/>
          <w:bCs/>
          <w:iCs/>
          <w:sz w:val="24"/>
          <w:szCs w:val="24"/>
        </w:rPr>
        <w:t xml:space="preserve"> with a central estimate of </w:t>
      </w:r>
      <w:bookmarkStart w:id="311" w:name="_Hlk72066392"/>
      <w:r w:rsidR="00044537">
        <w:rPr>
          <w:rFonts w:cs="Arial"/>
          <w:sz w:val="24"/>
          <w:szCs w:val="24"/>
        </w:rPr>
        <w:t>25,017</w:t>
      </w:r>
      <w:r w:rsidR="007E2C53" w:rsidRPr="00532855">
        <w:rPr>
          <w:rFonts w:cs="Arial"/>
          <w:sz w:val="24"/>
          <w:szCs w:val="24"/>
        </w:rPr>
        <w:t xml:space="preserve"> DALYs</w:t>
      </w:r>
      <w:bookmarkEnd w:id="311"/>
      <w:r w:rsidR="008444C2" w:rsidRPr="00532855">
        <w:rPr>
          <w:rFonts w:cs="Arial"/>
          <w:bCs/>
          <w:iCs/>
          <w:sz w:val="24"/>
          <w:szCs w:val="24"/>
        </w:rPr>
        <w:t>.</w:t>
      </w:r>
      <w:r w:rsidR="00885B9E" w:rsidRPr="00532855">
        <w:rPr>
          <w:rFonts w:cs="Arial"/>
          <w:bCs/>
          <w:iCs/>
          <w:sz w:val="24"/>
          <w:szCs w:val="24"/>
        </w:rPr>
        <w:t xml:space="preserve"> Th</w:t>
      </w:r>
      <w:r w:rsidR="00F165B3">
        <w:rPr>
          <w:rFonts w:cs="Arial"/>
          <w:bCs/>
          <w:iCs/>
          <w:sz w:val="24"/>
          <w:szCs w:val="24"/>
        </w:rPr>
        <w:t>is</w:t>
      </w:r>
      <w:r w:rsidR="00885B9E" w:rsidRPr="00532855">
        <w:rPr>
          <w:rFonts w:cs="Arial"/>
          <w:bCs/>
          <w:iCs/>
          <w:sz w:val="24"/>
          <w:szCs w:val="24"/>
        </w:rPr>
        <w:t xml:space="preserve"> large </w:t>
      </w:r>
      <w:r w:rsidR="003431D6" w:rsidRPr="00532855">
        <w:rPr>
          <w:rFonts w:cs="Arial"/>
          <w:bCs/>
          <w:iCs/>
          <w:sz w:val="24"/>
          <w:szCs w:val="24"/>
        </w:rPr>
        <w:t>range</w:t>
      </w:r>
      <w:r w:rsidR="00F165B3">
        <w:rPr>
          <w:rFonts w:cs="Arial"/>
          <w:bCs/>
          <w:iCs/>
          <w:sz w:val="24"/>
          <w:szCs w:val="24"/>
        </w:rPr>
        <w:t>,</w:t>
      </w:r>
      <w:r w:rsidR="00532855">
        <w:rPr>
          <w:rFonts w:cs="Arial"/>
          <w:bCs/>
          <w:iCs/>
          <w:sz w:val="24"/>
          <w:szCs w:val="24"/>
        </w:rPr>
        <w:t xml:space="preserve"> </w:t>
      </w:r>
      <w:r w:rsidR="002050B4" w:rsidRPr="00532855">
        <w:rPr>
          <w:rFonts w:cs="Arial"/>
          <w:bCs/>
          <w:iCs/>
          <w:sz w:val="24"/>
          <w:szCs w:val="24"/>
        </w:rPr>
        <w:t>coupled with the uncertainty of drinking water’s contribution</w:t>
      </w:r>
      <w:r w:rsidR="00F165B3">
        <w:rPr>
          <w:rFonts w:cs="Arial"/>
          <w:bCs/>
          <w:iCs/>
          <w:sz w:val="24"/>
          <w:szCs w:val="24"/>
        </w:rPr>
        <w:t>,</w:t>
      </w:r>
      <w:r w:rsidR="00532855">
        <w:rPr>
          <w:rFonts w:cs="Arial"/>
          <w:bCs/>
          <w:iCs/>
          <w:sz w:val="24"/>
          <w:szCs w:val="24"/>
        </w:rPr>
        <w:t xml:space="preserve"> </w:t>
      </w:r>
      <w:r w:rsidR="00885B9E" w:rsidRPr="00532855">
        <w:rPr>
          <w:rFonts w:cs="Arial"/>
          <w:bCs/>
          <w:iCs/>
          <w:sz w:val="24"/>
          <w:szCs w:val="24"/>
        </w:rPr>
        <w:t xml:space="preserve">reflects the limitations of the GBD </w:t>
      </w:r>
      <w:r w:rsidR="00817D3C" w:rsidRPr="00532855">
        <w:rPr>
          <w:rFonts w:cs="Arial"/>
          <w:bCs/>
          <w:iCs/>
          <w:sz w:val="24"/>
          <w:szCs w:val="24"/>
        </w:rPr>
        <w:t xml:space="preserve">as an </w:t>
      </w:r>
      <w:r w:rsidR="00885B9E" w:rsidRPr="00532855">
        <w:rPr>
          <w:rFonts w:cs="Arial"/>
          <w:bCs/>
          <w:iCs/>
          <w:sz w:val="24"/>
          <w:szCs w:val="24"/>
        </w:rPr>
        <w:t>indicator</w:t>
      </w:r>
      <w:r w:rsidR="00F9386E">
        <w:rPr>
          <w:rFonts w:cs="Arial"/>
          <w:bCs/>
          <w:iCs/>
          <w:sz w:val="24"/>
          <w:szCs w:val="24"/>
        </w:rPr>
        <w:t>. T</w:t>
      </w:r>
      <w:r w:rsidR="007E2C53" w:rsidRPr="00532855">
        <w:rPr>
          <w:rFonts w:cs="Arial"/>
          <w:bCs/>
          <w:iCs/>
          <w:sz w:val="24"/>
          <w:szCs w:val="24"/>
        </w:rPr>
        <w:t xml:space="preserve">his analysis acknowledges that </w:t>
      </w:r>
      <w:r w:rsidR="003431D6" w:rsidRPr="00532855">
        <w:rPr>
          <w:rFonts w:cs="Arial"/>
          <w:bCs/>
          <w:iCs/>
          <w:sz w:val="24"/>
          <w:szCs w:val="24"/>
        </w:rPr>
        <w:t>specific studies</w:t>
      </w:r>
      <w:r w:rsidR="001743BE">
        <w:rPr>
          <w:rFonts w:cs="Arial"/>
          <w:bCs/>
          <w:iCs/>
          <w:sz w:val="24"/>
          <w:szCs w:val="24"/>
        </w:rPr>
        <w:t>,</w:t>
      </w:r>
      <w:r w:rsidR="003431D6" w:rsidRPr="00532855">
        <w:rPr>
          <w:rFonts w:cs="Arial"/>
          <w:bCs/>
          <w:iCs/>
          <w:sz w:val="24"/>
          <w:szCs w:val="24"/>
        </w:rPr>
        <w:t xml:space="preserve"> which examine</w:t>
      </w:r>
      <w:r w:rsidR="00817D3C" w:rsidRPr="00532855">
        <w:rPr>
          <w:rFonts w:cs="Arial"/>
          <w:bCs/>
          <w:iCs/>
          <w:sz w:val="24"/>
          <w:szCs w:val="24"/>
        </w:rPr>
        <w:t xml:space="preserve"> the </w:t>
      </w:r>
      <w:r w:rsidR="00817D3C" w:rsidRPr="00532855">
        <w:rPr>
          <w:rFonts w:cs="Arial"/>
          <w:bCs/>
          <w:iCs/>
          <w:sz w:val="24"/>
          <w:szCs w:val="24"/>
        </w:rPr>
        <w:lastRenderedPageBreak/>
        <w:t xml:space="preserve">health consequences of lead in </w:t>
      </w:r>
      <w:r w:rsidR="007E2C53" w:rsidRPr="00532855">
        <w:rPr>
          <w:rFonts w:cs="Arial"/>
          <w:bCs/>
          <w:iCs/>
          <w:sz w:val="24"/>
          <w:szCs w:val="24"/>
        </w:rPr>
        <w:t xml:space="preserve">Australian </w:t>
      </w:r>
      <w:r w:rsidR="00817D3C" w:rsidRPr="00532855">
        <w:rPr>
          <w:rFonts w:cs="Arial"/>
          <w:bCs/>
          <w:iCs/>
          <w:sz w:val="24"/>
          <w:szCs w:val="24"/>
        </w:rPr>
        <w:t>drinking water</w:t>
      </w:r>
      <w:r w:rsidR="001743BE">
        <w:rPr>
          <w:rFonts w:cs="Arial"/>
          <w:bCs/>
          <w:iCs/>
          <w:sz w:val="24"/>
          <w:szCs w:val="24"/>
        </w:rPr>
        <w:t>,</w:t>
      </w:r>
      <w:r w:rsidR="00817D3C" w:rsidRPr="00532855">
        <w:rPr>
          <w:rFonts w:cs="Arial"/>
          <w:bCs/>
          <w:iCs/>
          <w:sz w:val="24"/>
          <w:szCs w:val="24"/>
        </w:rPr>
        <w:t xml:space="preserve"> may derive narrower quantitative conclusions.</w:t>
      </w:r>
      <w:r w:rsidR="00565C44">
        <w:rPr>
          <w:rFonts w:cs="Arial"/>
          <w:bCs/>
          <w:iCs/>
          <w:sz w:val="24"/>
          <w:szCs w:val="24"/>
        </w:rPr>
        <w:t xml:space="preserve"> </w:t>
      </w:r>
    </w:p>
    <w:p w14:paraId="4D42899D" w14:textId="47F22E3F" w:rsidR="008444C2" w:rsidRDefault="00B44B86" w:rsidP="00545F8B">
      <w:pPr>
        <w:spacing w:before="120" w:after="0" w:line="360" w:lineRule="auto"/>
        <w:jc w:val="both"/>
        <w:rPr>
          <w:rFonts w:cs="Arial"/>
          <w:bCs/>
          <w:iCs/>
          <w:sz w:val="24"/>
          <w:szCs w:val="24"/>
        </w:rPr>
      </w:pPr>
      <w:bookmarkStart w:id="312" w:name="_Hlk72061022"/>
      <w:r>
        <w:rPr>
          <w:rFonts w:cs="Arial"/>
          <w:bCs/>
          <w:iCs/>
          <w:sz w:val="24"/>
          <w:szCs w:val="24"/>
        </w:rPr>
        <w:t xml:space="preserve">Three options are presented for </w:t>
      </w:r>
      <w:r w:rsidR="00544629">
        <w:rPr>
          <w:rFonts w:cs="Arial"/>
          <w:bCs/>
          <w:iCs/>
          <w:sz w:val="24"/>
          <w:szCs w:val="24"/>
        </w:rPr>
        <w:t>decision</w:t>
      </w:r>
      <w:r w:rsidR="008444C2">
        <w:rPr>
          <w:rFonts w:cs="Arial"/>
          <w:bCs/>
          <w:iCs/>
          <w:sz w:val="24"/>
          <w:szCs w:val="24"/>
        </w:rPr>
        <w:t>:</w:t>
      </w:r>
    </w:p>
    <w:p w14:paraId="0CA61F5C" w14:textId="77777777" w:rsidR="00202B70" w:rsidRDefault="00B44B86" w:rsidP="008734AE">
      <w:pPr>
        <w:pStyle w:val="ListParagraph"/>
        <w:numPr>
          <w:ilvl w:val="0"/>
          <w:numId w:val="24"/>
        </w:numPr>
        <w:spacing w:before="120" w:after="120" w:line="360" w:lineRule="auto"/>
        <w:jc w:val="both"/>
        <w:rPr>
          <w:rFonts w:cs="Arial"/>
          <w:bCs/>
          <w:iCs/>
          <w:sz w:val="24"/>
          <w:szCs w:val="24"/>
        </w:rPr>
      </w:pPr>
      <w:bookmarkStart w:id="313" w:name="_Hlk53320051"/>
      <w:r w:rsidRPr="00202B70">
        <w:rPr>
          <w:rFonts w:cs="Arial"/>
          <w:bCs/>
          <w:iCs/>
          <w:sz w:val="24"/>
          <w:szCs w:val="24"/>
        </w:rPr>
        <w:t xml:space="preserve">Option 1: Retain the status quo. This option is regarded as the bassline. </w:t>
      </w:r>
    </w:p>
    <w:p w14:paraId="5C0DBF4C" w14:textId="77777777" w:rsidR="00202B70" w:rsidRDefault="008444C2" w:rsidP="008734AE">
      <w:pPr>
        <w:pStyle w:val="ListParagraph"/>
        <w:numPr>
          <w:ilvl w:val="0"/>
          <w:numId w:val="24"/>
        </w:numPr>
        <w:spacing w:before="240" w:after="120" w:line="360" w:lineRule="auto"/>
        <w:ind w:left="714" w:hanging="357"/>
        <w:jc w:val="both"/>
        <w:rPr>
          <w:rFonts w:cs="Arial"/>
          <w:bCs/>
          <w:iCs/>
          <w:sz w:val="24"/>
          <w:szCs w:val="24"/>
        </w:rPr>
      </w:pPr>
      <w:r w:rsidRPr="00202B70">
        <w:rPr>
          <w:rFonts w:cs="Arial"/>
          <w:bCs/>
          <w:iCs/>
          <w:sz w:val="24"/>
          <w:szCs w:val="24"/>
        </w:rPr>
        <w:t>Option</w:t>
      </w:r>
      <w:r w:rsidR="00274253">
        <w:rPr>
          <w:rFonts w:cs="Arial"/>
          <w:bCs/>
          <w:iCs/>
          <w:sz w:val="24"/>
          <w:szCs w:val="24"/>
        </w:rPr>
        <w:t xml:space="preserve"> </w:t>
      </w:r>
      <w:r w:rsidR="0072244C" w:rsidRPr="00202B70">
        <w:rPr>
          <w:rFonts w:cs="Arial"/>
          <w:bCs/>
          <w:iCs/>
          <w:sz w:val="24"/>
          <w:szCs w:val="24"/>
        </w:rPr>
        <w:t>2:</w:t>
      </w:r>
      <w:r w:rsidR="0072244C" w:rsidRPr="0072244C">
        <w:t xml:space="preserve"> </w:t>
      </w:r>
      <w:bookmarkStart w:id="314" w:name="_Hlk70680106"/>
      <w:r w:rsidR="0072244C" w:rsidRPr="00202B70">
        <w:rPr>
          <w:rFonts w:cs="Arial"/>
          <w:bCs/>
          <w:iCs/>
          <w:sz w:val="24"/>
          <w:szCs w:val="24"/>
        </w:rPr>
        <w:t>Require all products in contact with drinking water to contain a maximum lead content of 0.25%.</w:t>
      </w:r>
      <w:bookmarkEnd w:id="314"/>
    </w:p>
    <w:p w14:paraId="1670AD44" w14:textId="47126677" w:rsidR="0072244C" w:rsidRPr="00202B70" w:rsidRDefault="0072244C" w:rsidP="008734AE">
      <w:pPr>
        <w:pStyle w:val="ListParagraph"/>
        <w:numPr>
          <w:ilvl w:val="0"/>
          <w:numId w:val="24"/>
        </w:numPr>
        <w:spacing w:before="240" w:after="0" w:line="360" w:lineRule="auto"/>
        <w:jc w:val="both"/>
        <w:rPr>
          <w:rFonts w:cs="Arial"/>
          <w:bCs/>
          <w:iCs/>
          <w:sz w:val="24"/>
          <w:szCs w:val="24"/>
        </w:rPr>
      </w:pPr>
      <w:r w:rsidRPr="00202B70">
        <w:rPr>
          <w:rFonts w:cs="Arial"/>
          <w:bCs/>
          <w:iCs/>
          <w:sz w:val="24"/>
          <w:szCs w:val="24"/>
        </w:rPr>
        <w:t xml:space="preserve">Option 3: </w:t>
      </w:r>
      <w:r w:rsidR="00544629">
        <w:rPr>
          <w:rFonts w:cs="Arial"/>
          <w:bCs/>
          <w:iCs/>
          <w:sz w:val="24"/>
          <w:szCs w:val="24"/>
        </w:rPr>
        <w:t xml:space="preserve">Amended since consultation, </w:t>
      </w:r>
      <w:r w:rsidR="001557BD">
        <w:rPr>
          <w:rFonts w:cs="Arial"/>
          <w:bCs/>
          <w:iCs/>
          <w:sz w:val="24"/>
          <w:szCs w:val="24"/>
        </w:rPr>
        <w:t xml:space="preserve">this option </w:t>
      </w:r>
      <w:r w:rsidR="00544629">
        <w:rPr>
          <w:rFonts w:cs="Arial"/>
          <w:bCs/>
          <w:iCs/>
          <w:sz w:val="24"/>
          <w:szCs w:val="24"/>
        </w:rPr>
        <w:t>r</w:t>
      </w:r>
      <w:r w:rsidR="00014E4F">
        <w:rPr>
          <w:rFonts w:cs="Arial"/>
          <w:bCs/>
          <w:iCs/>
          <w:sz w:val="24"/>
          <w:szCs w:val="24"/>
        </w:rPr>
        <w:t>ecommend</w:t>
      </w:r>
      <w:r w:rsidR="001557BD">
        <w:rPr>
          <w:rFonts w:cs="Arial"/>
          <w:bCs/>
          <w:iCs/>
          <w:sz w:val="24"/>
          <w:szCs w:val="24"/>
        </w:rPr>
        <w:t>s</w:t>
      </w:r>
      <w:r w:rsidRPr="00202B70">
        <w:rPr>
          <w:rFonts w:cs="Arial"/>
          <w:bCs/>
          <w:iCs/>
          <w:sz w:val="24"/>
          <w:szCs w:val="24"/>
        </w:rPr>
        <w:t xml:space="preserve"> changes to government procurement standards</w:t>
      </w:r>
      <w:r w:rsidR="003A49AD">
        <w:rPr>
          <w:rFonts w:cs="Arial"/>
          <w:bCs/>
          <w:iCs/>
          <w:sz w:val="24"/>
          <w:szCs w:val="24"/>
        </w:rPr>
        <w:t xml:space="preserve"> to require compliance with NSF/ANSI 372</w:t>
      </w:r>
      <w:r w:rsidRPr="00202B70">
        <w:rPr>
          <w:rFonts w:cs="Arial"/>
          <w:bCs/>
          <w:iCs/>
          <w:sz w:val="24"/>
          <w:szCs w:val="24"/>
        </w:rPr>
        <w:t>.</w:t>
      </w:r>
    </w:p>
    <w:bookmarkEnd w:id="312"/>
    <w:bookmarkEnd w:id="313"/>
    <w:p w14:paraId="7BB3B755" w14:textId="77777777" w:rsidR="0072244C" w:rsidRDefault="0072244C" w:rsidP="003E0606">
      <w:pPr>
        <w:spacing w:before="120" w:after="0" w:line="360" w:lineRule="auto"/>
        <w:jc w:val="both"/>
        <w:rPr>
          <w:rFonts w:cs="Arial"/>
          <w:bCs/>
          <w:iCs/>
          <w:sz w:val="24"/>
          <w:szCs w:val="24"/>
        </w:rPr>
      </w:pPr>
      <w:r w:rsidRPr="0072244C">
        <w:rPr>
          <w:rFonts w:cs="Arial"/>
          <w:bCs/>
          <w:iCs/>
          <w:sz w:val="24"/>
          <w:szCs w:val="24"/>
        </w:rPr>
        <w:t>The impacts of Option 2 are very large</w:t>
      </w:r>
      <w:r w:rsidR="000A6F46">
        <w:rPr>
          <w:rFonts w:cs="Arial"/>
          <w:bCs/>
          <w:iCs/>
          <w:sz w:val="24"/>
          <w:szCs w:val="24"/>
        </w:rPr>
        <w:t>,</w:t>
      </w:r>
      <w:r w:rsidR="003C7902">
        <w:rPr>
          <w:rFonts w:cs="Arial"/>
          <w:bCs/>
          <w:iCs/>
          <w:sz w:val="24"/>
          <w:szCs w:val="24"/>
        </w:rPr>
        <w:t xml:space="preserve"> both in costs and benefits</w:t>
      </w:r>
      <w:r>
        <w:rPr>
          <w:rFonts w:cs="Arial"/>
          <w:bCs/>
          <w:iCs/>
          <w:sz w:val="24"/>
          <w:szCs w:val="24"/>
        </w:rPr>
        <w:t>. This reflects the number of products impacted by the proposed changes and the price difference between leaded copper alloy products and low lead copper alloy products</w:t>
      </w:r>
      <w:r w:rsidR="00351842">
        <w:rPr>
          <w:rFonts w:cs="Arial"/>
          <w:bCs/>
          <w:iCs/>
          <w:sz w:val="24"/>
          <w:szCs w:val="24"/>
        </w:rPr>
        <w:t xml:space="preserve"> (which result from higher production costs)</w:t>
      </w:r>
      <w:r>
        <w:rPr>
          <w:rFonts w:cs="Arial"/>
          <w:bCs/>
          <w:iCs/>
          <w:sz w:val="24"/>
          <w:szCs w:val="24"/>
        </w:rPr>
        <w:t xml:space="preserve">. The cost of this option is estimated to be </w:t>
      </w:r>
      <w:r w:rsidRPr="009670A3">
        <w:rPr>
          <w:rFonts w:cs="Arial"/>
          <w:bCs/>
          <w:iCs/>
          <w:sz w:val="24"/>
          <w:szCs w:val="24"/>
        </w:rPr>
        <w:t>$2.</w:t>
      </w:r>
      <w:r w:rsidR="00614966" w:rsidRPr="009670A3">
        <w:rPr>
          <w:rFonts w:cs="Arial"/>
          <w:bCs/>
          <w:iCs/>
          <w:sz w:val="24"/>
          <w:szCs w:val="24"/>
        </w:rPr>
        <w:t xml:space="preserve">3 </w:t>
      </w:r>
      <w:r w:rsidRPr="009670A3">
        <w:rPr>
          <w:rFonts w:cs="Arial"/>
          <w:bCs/>
          <w:iCs/>
          <w:sz w:val="24"/>
          <w:szCs w:val="24"/>
        </w:rPr>
        <w:t>billion</w:t>
      </w:r>
      <w:r>
        <w:rPr>
          <w:rFonts w:cs="Arial"/>
          <w:bCs/>
          <w:iCs/>
          <w:sz w:val="24"/>
          <w:szCs w:val="24"/>
        </w:rPr>
        <w:t xml:space="preserve"> in Present Value terms.</w:t>
      </w:r>
    </w:p>
    <w:p w14:paraId="388D2979" w14:textId="77777777" w:rsidR="00C2744D" w:rsidRPr="0072244C" w:rsidRDefault="00C2744D" w:rsidP="003E0606">
      <w:pPr>
        <w:spacing w:before="120" w:after="120" w:line="360" w:lineRule="auto"/>
        <w:jc w:val="both"/>
        <w:rPr>
          <w:rFonts w:cs="Arial"/>
          <w:bCs/>
          <w:iCs/>
          <w:sz w:val="24"/>
          <w:szCs w:val="24"/>
        </w:rPr>
      </w:pPr>
      <w:r w:rsidRPr="00817D3C">
        <w:rPr>
          <w:rFonts w:cs="Arial"/>
          <w:bCs/>
          <w:iCs/>
          <w:sz w:val="24"/>
          <w:szCs w:val="24"/>
        </w:rPr>
        <w:t>Further regulatory intervention aimed at reducing lead exposure from drinking water will not be immediate</w:t>
      </w:r>
      <w:r w:rsidR="000A6F46">
        <w:rPr>
          <w:rFonts w:cs="Arial"/>
          <w:bCs/>
          <w:iCs/>
          <w:sz w:val="24"/>
          <w:szCs w:val="24"/>
        </w:rPr>
        <w:t xml:space="preserve"> and exposure from drinking water </w:t>
      </w:r>
      <w:r w:rsidRPr="00817D3C">
        <w:rPr>
          <w:rFonts w:cs="Arial"/>
          <w:bCs/>
          <w:iCs/>
          <w:sz w:val="24"/>
          <w:szCs w:val="24"/>
        </w:rPr>
        <w:t>is expected to gradually fall</w:t>
      </w:r>
      <w:r w:rsidR="000A6F46">
        <w:rPr>
          <w:rFonts w:cs="Arial"/>
          <w:bCs/>
          <w:iCs/>
          <w:sz w:val="24"/>
          <w:szCs w:val="24"/>
        </w:rPr>
        <w:t>,</w:t>
      </w:r>
      <w:r w:rsidRPr="00817D3C">
        <w:rPr>
          <w:rFonts w:cs="Arial"/>
          <w:bCs/>
          <w:iCs/>
          <w:sz w:val="24"/>
          <w:szCs w:val="24"/>
        </w:rPr>
        <w:t xml:space="preserve"> as existing plumbing products in contact with drinking water are replaced by new products over time.</w:t>
      </w:r>
    </w:p>
    <w:p w14:paraId="1A7CC886" w14:textId="69762CA9" w:rsidR="00ED3DF5" w:rsidRDefault="002050B4" w:rsidP="001D7AEE">
      <w:pPr>
        <w:spacing w:after="120" w:line="360" w:lineRule="auto"/>
        <w:jc w:val="both"/>
        <w:rPr>
          <w:rFonts w:cs="Arial"/>
          <w:bCs/>
          <w:iCs/>
          <w:sz w:val="24"/>
          <w:szCs w:val="24"/>
        </w:rPr>
      </w:pPr>
      <w:r w:rsidRPr="002050B4">
        <w:rPr>
          <w:rFonts w:cs="Arial"/>
          <w:bCs/>
          <w:iCs/>
          <w:sz w:val="24"/>
          <w:szCs w:val="24"/>
        </w:rPr>
        <w:t>Having regard for the replacement rate</w:t>
      </w:r>
      <w:r w:rsidR="000A6F46">
        <w:rPr>
          <w:rFonts w:cs="Arial"/>
          <w:bCs/>
          <w:iCs/>
          <w:sz w:val="24"/>
          <w:szCs w:val="24"/>
        </w:rPr>
        <w:t>,</w:t>
      </w:r>
      <w:r w:rsidRPr="002050B4">
        <w:rPr>
          <w:rFonts w:cs="Arial"/>
          <w:bCs/>
          <w:iCs/>
          <w:sz w:val="24"/>
          <w:szCs w:val="24"/>
        </w:rPr>
        <w:t xml:space="preserve"> and using the </w:t>
      </w:r>
      <w:r w:rsidR="00C229E3">
        <w:rPr>
          <w:rFonts w:cs="Arial"/>
          <w:bCs/>
          <w:iCs/>
          <w:sz w:val="24"/>
          <w:szCs w:val="24"/>
        </w:rPr>
        <w:t xml:space="preserve">corrected </w:t>
      </w:r>
      <w:r w:rsidRPr="002050B4">
        <w:rPr>
          <w:rFonts w:cs="Arial"/>
          <w:bCs/>
          <w:iCs/>
          <w:sz w:val="24"/>
          <w:szCs w:val="24"/>
        </w:rPr>
        <w:t xml:space="preserve">central estimates of </w:t>
      </w:r>
      <w:r w:rsidR="005D0EC4">
        <w:rPr>
          <w:rFonts w:cs="Arial"/>
          <w:bCs/>
          <w:iCs/>
          <w:sz w:val="24"/>
          <w:szCs w:val="24"/>
        </w:rPr>
        <w:t xml:space="preserve">the </w:t>
      </w:r>
      <w:r w:rsidRPr="002050B4">
        <w:rPr>
          <w:rFonts w:cs="Arial"/>
          <w:bCs/>
          <w:iCs/>
          <w:sz w:val="24"/>
          <w:szCs w:val="24"/>
        </w:rPr>
        <w:t>GBD database, the benefits of Option 2 are estimated to be</w:t>
      </w:r>
      <w:r w:rsidR="00604394">
        <w:rPr>
          <w:rFonts w:cs="Arial"/>
          <w:bCs/>
          <w:iCs/>
          <w:sz w:val="24"/>
          <w:szCs w:val="24"/>
        </w:rPr>
        <w:t xml:space="preserve"> in</w:t>
      </w:r>
      <w:r w:rsidRPr="002050B4">
        <w:rPr>
          <w:rFonts w:cs="Arial"/>
          <w:bCs/>
          <w:iCs/>
          <w:sz w:val="24"/>
          <w:szCs w:val="24"/>
        </w:rPr>
        <w:t xml:space="preserve"> the range of $2</w:t>
      </w:r>
      <w:r w:rsidR="00B935EC">
        <w:rPr>
          <w:rFonts w:cs="Arial"/>
          <w:bCs/>
          <w:iCs/>
          <w:sz w:val="24"/>
          <w:szCs w:val="24"/>
        </w:rPr>
        <w:t> </w:t>
      </w:r>
      <w:r w:rsidRPr="002050B4">
        <w:rPr>
          <w:rFonts w:cs="Arial"/>
          <w:bCs/>
          <w:iCs/>
          <w:sz w:val="24"/>
          <w:szCs w:val="24"/>
        </w:rPr>
        <w:t>billion and $</w:t>
      </w:r>
      <w:r w:rsidR="009670A3">
        <w:rPr>
          <w:rFonts w:cs="Arial"/>
          <w:bCs/>
          <w:iCs/>
          <w:sz w:val="24"/>
          <w:szCs w:val="24"/>
        </w:rPr>
        <w:t>6.7</w:t>
      </w:r>
      <w:r w:rsidRPr="002050B4">
        <w:rPr>
          <w:rFonts w:cs="Arial"/>
          <w:bCs/>
          <w:iCs/>
          <w:sz w:val="24"/>
          <w:szCs w:val="24"/>
        </w:rPr>
        <w:t xml:space="preserve"> billion</w:t>
      </w:r>
      <w:r w:rsidR="00604394">
        <w:rPr>
          <w:rFonts w:cs="Arial"/>
          <w:bCs/>
          <w:iCs/>
          <w:sz w:val="24"/>
          <w:szCs w:val="24"/>
        </w:rPr>
        <w:t>,</w:t>
      </w:r>
      <w:r w:rsidRPr="002050B4">
        <w:rPr>
          <w:rFonts w:cs="Arial"/>
          <w:bCs/>
          <w:iCs/>
          <w:sz w:val="24"/>
          <w:szCs w:val="24"/>
        </w:rPr>
        <w:t xml:space="preserve"> with a central estimate of </w:t>
      </w:r>
      <w:r w:rsidRPr="009670A3">
        <w:rPr>
          <w:rFonts w:cs="Arial"/>
          <w:bCs/>
          <w:iCs/>
          <w:sz w:val="24"/>
          <w:szCs w:val="24"/>
        </w:rPr>
        <w:t>$</w:t>
      </w:r>
      <w:r w:rsidR="009670A3" w:rsidRPr="009670A3">
        <w:rPr>
          <w:rFonts w:cs="Arial"/>
          <w:bCs/>
          <w:iCs/>
          <w:sz w:val="24"/>
          <w:szCs w:val="24"/>
        </w:rPr>
        <w:t>4</w:t>
      </w:r>
      <w:r w:rsidRPr="009670A3">
        <w:rPr>
          <w:rFonts w:cs="Arial"/>
          <w:bCs/>
          <w:iCs/>
          <w:sz w:val="24"/>
          <w:szCs w:val="24"/>
        </w:rPr>
        <w:t>.2 billion in</w:t>
      </w:r>
      <w:r w:rsidRPr="002050B4">
        <w:rPr>
          <w:rFonts w:cs="Arial"/>
          <w:bCs/>
          <w:iCs/>
          <w:sz w:val="24"/>
          <w:szCs w:val="24"/>
        </w:rPr>
        <w:t xml:space="preserve"> Present Value terms. Option 2 demonstrates an overall net benefit </w:t>
      </w:r>
      <w:r w:rsidRPr="009670A3">
        <w:rPr>
          <w:rFonts w:cs="Arial"/>
          <w:bCs/>
          <w:iCs/>
          <w:sz w:val="24"/>
          <w:szCs w:val="24"/>
        </w:rPr>
        <w:t>of $</w:t>
      </w:r>
      <w:r w:rsidR="009670A3" w:rsidRPr="009670A3">
        <w:rPr>
          <w:rFonts w:cs="Arial"/>
          <w:bCs/>
          <w:iCs/>
          <w:sz w:val="24"/>
          <w:szCs w:val="24"/>
        </w:rPr>
        <w:t>1</w:t>
      </w:r>
      <w:r w:rsidR="00614966" w:rsidRPr="009670A3">
        <w:rPr>
          <w:rFonts w:cs="Arial"/>
          <w:bCs/>
          <w:iCs/>
          <w:sz w:val="24"/>
          <w:szCs w:val="24"/>
        </w:rPr>
        <w:t>.9</w:t>
      </w:r>
      <w:r w:rsidRPr="009670A3">
        <w:rPr>
          <w:rFonts w:cs="Arial"/>
          <w:bCs/>
          <w:iCs/>
          <w:sz w:val="24"/>
          <w:szCs w:val="24"/>
        </w:rPr>
        <w:t xml:space="preserve"> billion in Net</w:t>
      </w:r>
      <w:r w:rsidRPr="002050B4">
        <w:rPr>
          <w:rFonts w:cs="Arial"/>
          <w:bCs/>
          <w:iCs/>
          <w:sz w:val="24"/>
          <w:szCs w:val="24"/>
        </w:rPr>
        <w:t xml:space="preserve"> Present Value terms under the central assumptions and is robust when sensitivity analysis of key parameters is undertaken</w:t>
      </w:r>
      <w:r>
        <w:rPr>
          <w:rFonts w:cs="Arial"/>
          <w:bCs/>
          <w:iCs/>
          <w:sz w:val="24"/>
          <w:szCs w:val="24"/>
        </w:rPr>
        <w:t>,</w:t>
      </w:r>
      <w:r w:rsidRPr="002050B4">
        <w:rPr>
          <w:rFonts w:cs="Arial"/>
          <w:bCs/>
          <w:iCs/>
          <w:sz w:val="24"/>
          <w:szCs w:val="24"/>
        </w:rPr>
        <w:t xml:space="preserve"> with strong net benefits in all but one scenario.</w:t>
      </w:r>
    </w:p>
    <w:p w14:paraId="40256DAF" w14:textId="1D2D00A1" w:rsidR="000F743C" w:rsidRDefault="000F743C" w:rsidP="001D7AEE">
      <w:pPr>
        <w:spacing w:after="120" w:line="360" w:lineRule="auto"/>
        <w:jc w:val="both"/>
        <w:rPr>
          <w:rFonts w:cs="Arial"/>
          <w:bCs/>
          <w:iCs/>
          <w:sz w:val="24"/>
          <w:szCs w:val="24"/>
        </w:rPr>
      </w:pPr>
      <w:r>
        <w:rPr>
          <w:rFonts w:cs="Arial"/>
          <w:bCs/>
          <w:iCs/>
          <w:sz w:val="24"/>
          <w:szCs w:val="24"/>
        </w:rPr>
        <w:t xml:space="preserve">In the absence of certainty regarding the </w:t>
      </w:r>
      <w:r w:rsidR="000827FB">
        <w:rPr>
          <w:rFonts w:cs="Arial"/>
          <w:bCs/>
          <w:iCs/>
          <w:sz w:val="24"/>
          <w:szCs w:val="24"/>
        </w:rPr>
        <w:t>total</w:t>
      </w:r>
      <w:r>
        <w:rPr>
          <w:rFonts w:cs="Arial"/>
          <w:bCs/>
          <w:iCs/>
          <w:sz w:val="24"/>
          <w:szCs w:val="24"/>
        </w:rPr>
        <w:t xml:space="preserve"> benefits derived from Option 2, a break-even analysis has </w:t>
      </w:r>
      <w:r w:rsidR="00BB24A4">
        <w:rPr>
          <w:rFonts w:cs="Arial"/>
          <w:bCs/>
          <w:iCs/>
          <w:sz w:val="24"/>
          <w:szCs w:val="24"/>
        </w:rPr>
        <w:t xml:space="preserve">also </w:t>
      </w:r>
      <w:r>
        <w:rPr>
          <w:rFonts w:cs="Arial"/>
          <w:bCs/>
          <w:iCs/>
          <w:sz w:val="24"/>
          <w:szCs w:val="24"/>
        </w:rPr>
        <w:t xml:space="preserve">been included in the </w:t>
      </w:r>
      <w:r w:rsidR="00C229E3">
        <w:rPr>
          <w:rFonts w:cs="Arial"/>
          <w:bCs/>
          <w:iCs/>
          <w:sz w:val="24"/>
          <w:szCs w:val="24"/>
        </w:rPr>
        <w:t>Decision</w:t>
      </w:r>
      <w:r>
        <w:rPr>
          <w:rFonts w:cs="Arial"/>
          <w:bCs/>
          <w:iCs/>
          <w:sz w:val="24"/>
          <w:szCs w:val="24"/>
        </w:rPr>
        <w:t xml:space="preserve"> RIS. </w:t>
      </w:r>
      <w:r w:rsidR="000827FB">
        <w:rPr>
          <w:sz w:val="24"/>
          <w:szCs w:val="24"/>
        </w:rPr>
        <w:t xml:space="preserve">The contribution </w:t>
      </w:r>
      <w:r w:rsidR="00B935EC">
        <w:rPr>
          <w:sz w:val="24"/>
          <w:szCs w:val="24"/>
        </w:rPr>
        <w:t xml:space="preserve">that </w:t>
      </w:r>
      <w:r w:rsidR="000827FB">
        <w:rPr>
          <w:sz w:val="24"/>
          <w:szCs w:val="24"/>
        </w:rPr>
        <w:t>lead in plumbing products in contact with drinking water needs to make to the total health burden of lead exposure is</w:t>
      </w:r>
      <w:r w:rsidR="009B446C">
        <w:rPr>
          <w:sz w:val="24"/>
          <w:szCs w:val="24"/>
        </w:rPr>
        <w:t xml:space="preserve"> approximately</w:t>
      </w:r>
      <w:r w:rsidR="000827FB">
        <w:rPr>
          <w:sz w:val="24"/>
          <w:szCs w:val="24"/>
        </w:rPr>
        <w:t xml:space="preserve"> </w:t>
      </w:r>
      <w:r w:rsidR="003B58FB" w:rsidRPr="009670A3">
        <w:rPr>
          <w:sz w:val="24"/>
          <w:szCs w:val="24"/>
        </w:rPr>
        <w:t>11</w:t>
      </w:r>
      <w:r w:rsidR="000827FB" w:rsidRPr="009670A3">
        <w:rPr>
          <w:sz w:val="24"/>
          <w:szCs w:val="24"/>
        </w:rPr>
        <w:t>%</w:t>
      </w:r>
      <w:r w:rsidR="000827FB">
        <w:rPr>
          <w:sz w:val="24"/>
          <w:szCs w:val="24"/>
        </w:rPr>
        <w:t xml:space="preserve"> in order for the benefits to break-even with the cost. </w:t>
      </w:r>
      <w:bookmarkStart w:id="315" w:name="_Hlk70886247"/>
      <w:r w:rsidR="000827FB">
        <w:rPr>
          <w:sz w:val="24"/>
          <w:szCs w:val="24"/>
        </w:rPr>
        <w:t xml:space="preserve">This rate is small and plausible </w:t>
      </w:r>
      <w:r w:rsidR="002B68DE">
        <w:rPr>
          <w:sz w:val="24"/>
          <w:szCs w:val="24"/>
        </w:rPr>
        <w:t>even when considering</w:t>
      </w:r>
      <w:r w:rsidR="000827FB">
        <w:rPr>
          <w:sz w:val="24"/>
          <w:szCs w:val="24"/>
        </w:rPr>
        <w:t xml:space="preserve"> the reduction of sources of lead over the past two decades, although higher than that reported in </w:t>
      </w:r>
      <w:r w:rsidR="009B446C">
        <w:rPr>
          <w:sz w:val="24"/>
          <w:szCs w:val="24"/>
        </w:rPr>
        <w:t>one jurisdiction (</w:t>
      </w:r>
      <w:r w:rsidR="000827FB">
        <w:rPr>
          <w:sz w:val="24"/>
          <w:szCs w:val="24"/>
        </w:rPr>
        <w:t>Victoria</w:t>
      </w:r>
      <w:r w:rsidR="00B935EC">
        <w:rPr>
          <w:sz w:val="24"/>
          <w:szCs w:val="24"/>
        </w:rPr>
        <w:t>,</w:t>
      </w:r>
      <w:r w:rsidR="000827FB">
        <w:rPr>
          <w:sz w:val="24"/>
          <w:szCs w:val="24"/>
        </w:rPr>
        <w:t xml:space="preserve"> which ranged between 0 and 6% over the years 2011 to 2014 and 2016 to 2018).</w:t>
      </w:r>
      <w:bookmarkEnd w:id="315"/>
    </w:p>
    <w:p w14:paraId="15CB7DE4" w14:textId="72736782" w:rsidR="00ED3DF5" w:rsidRPr="00ED3DF5" w:rsidRDefault="00ED3DF5" w:rsidP="003E0606">
      <w:pPr>
        <w:spacing w:after="120" w:line="360" w:lineRule="auto"/>
        <w:jc w:val="both"/>
        <w:rPr>
          <w:rFonts w:cs="Arial"/>
          <w:bCs/>
          <w:iCs/>
          <w:sz w:val="24"/>
          <w:szCs w:val="24"/>
        </w:rPr>
      </w:pPr>
      <w:r w:rsidRPr="00ED3DF5">
        <w:rPr>
          <w:rFonts w:cs="Arial"/>
          <w:bCs/>
          <w:iCs/>
          <w:sz w:val="24"/>
          <w:szCs w:val="24"/>
        </w:rPr>
        <w:lastRenderedPageBreak/>
        <w:t>Option 3 has less overall impact and is a subset of Option 2.</w:t>
      </w:r>
      <w:r w:rsidR="00B44B86">
        <w:rPr>
          <w:rFonts w:cs="Arial"/>
          <w:bCs/>
          <w:iCs/>
          <w:sz w:val="24"/>
          <w:szCs w:val="24"/>
        </w:rPr>
        <w:t xml:space="preserve"> T</w:t>
      </w:r>
      <w:r w:rsidRPr="00ED3DF5">
        <w:rPr>
          <w:rFonts w:cs="Arial"/>
          <w:bCs/>
          <w:iCs/>
          <w:sz w:val="24"/>
          <w:szCs w:val="24"/>
        </w:rPr>
        <w:t xml:space="preserve">he costs of Option 3 are estimated to </w:t>
      </w:r>
      <w:r w:rsidRPr="009670A3">
        <w:rPr>
          <w:rFonts w:cs="Arial"/>
          <w:bCs/>
          <w:iCs/>
          <w:sz w:val="24"/>
          <w:szCs w:val="24"/>
        </w:rPr>
        <w:t xml:space="preserve">be </w:t>
      </w:r>
      <w:r w:rsidR="001D7AEE" w:rsidRPr="009670A3">
        <w:rPr>
          <w:rFonts w:cs="Arial"/>
          <w:bCs/>
          <w:iCs/>
          <w:sz w:val="24"/>
          <w:szCs w:val="24"/>
        </w:rPr>
        <w:t>$</w:t>
      </w:r>
      <w:r w:rsidR="00614966" w:rsidRPr="009670A3">
        <w:rPr>
          <w:rFonts w:cs="Arial"/>
          <w:bCs/>
          <w:iCs/>
          <w:sz w:val="24"/>
          <w:szCs w:val="24"/>
        </w:rPr>
        <w:t xml:space="preserve">261 </w:t>
      </w:r>
      <w:r w:rsidR="001D7AEE" w:rsidRPr="009670A3">
        <w:rPr>
          <w:rFonts w:cs="Arial"/>
          <w:bCs/>
          <w:iCs/>
          <w:sz w:val="24"/>
          <w:szCs w:val="24"/>
        </w:rPr>
        <w:t>million</w:t>
      </w:r>
      <w:r w:rsidRPr="009670A3">
        <w:rPr>
          <w:rFonts w:cs="Arial"/>
          <w:bCs/>
          <w:iCs/>
          <w:sz w:val="24"/>
          <w:szCs w:val="24"/>
        </w:rPr>
        <w:t xml:space="preserve"> and the benefits to be </w:t>
      </w:r>
      <w:r w:rsidR="001D7AEE" w:rsidRPr="009670A3">
        <w:rPr>
          <w:rFonts w:cs="Arial"/>
          <w:bCs/>
          <w:iCs/>
          <w:sz w:val="24"/>
          <w:szCs w:val="24"/>
        </w:rPr>
        <w:t>$</w:t>
      </w:r>
      <w:r w:rsidR="00A9487A">
        <w:rPr>
          <w:rFonts w:cs="Arial"/>
          <w:bCs/>
          <w:iCs/>
          <w:sz w:val="24"/>
          <w:szCs w:val="24"/>
        </w:rPr>
        <w:t>474</w:t>
      </w:r>
      <w:r w:rsidR="00A9487A" w:rsidRPr="009670A3">
        <w:rPr>
          <w:rFonts w:cs="Arial"/>
          <w:bCs/>
          <w:iCs/>
          <w:sz w:val="24"/>
          <w:szCs w:val="24"/>
        </w:rPr>
        <w:t xml:space="preserve"> </w:t>
      </w:r>
      <w:r w:rsidR="001D7AEE" w:rsidRPr="009670A3">
        <w:rPr>
          <w:rFonts w:cs="Arial"/>
          <w:bCs/>
          <w:iCs/>
          <w:sz w:val="24"/>
          <w:szCs w:val="24"/>
        </w:rPr>
        <w:t>million</w:t>
      </w:r>
      <w:r w:rsidRPr="009670A3">
        <w:rPr>
          <w:rFonts w:cs="Arial"/>
          <w:bCs/>
          <w:iCs/>
          <w:sz w:val="24"/>
          <w:szCs w:val="24"/>
        </w:rPr>
        <w:t xml:space="preserve"> in Present Value terms</w:t>
      </w:r>
      <w:r w:rsidR="00202B70" w:rsidRPr="009670A3">
        <w:rPr>
          <w:rFonts w:cs="Arial"/>
          <w:bCs/>
          <w:iCs/>
          <w:sz w:val="24"/>
          <w:szCs w:val="24"/>
        </w:rPr>
        <w:t xml:space="preserve">, </w:t>
      </w:r>
      <w:r w:rsidRPr="009670A3">
        <w:rPr>
          <w:rFonts w:cs="Arial"/>
          <w:bCs/>
          <w:iCs/>
          <w:sz w:val="24"/>
          <w:szCs w:val="24"/>
        </w:rPr>
        <w:t xml:space="preserve">with a net benefit of </w:t>
      </w:r>
      <w:r w:rsidR="001D7AEE" w:rsidRPr="009670A3">
        <w:rPr>
          <w:rFonts w:cs="Arial"/>
          <w:bCs/>
          <w:iCs/>
          <w:sz w:val="24"/>
          <w:szCs w:val="24"/>
        </w:rPr>
        <w:t>$</w:t>
      </w:r>
      <w:r w:rsidR="00A9487A">
        <w:rPr>
          <w:rFonts w:cs="Arial"/>
          <w:bCs/>
          <w:iCs/>
          <w:sz w:val="24"/>
          <w:szCs w:val="24"/>
        </w:rPr>
        <w:t>213</w:t>
      </w:r>
      <w:r w:rsidR="001D7AEE">
        <w:rPr>
          <w:rFonts w:cs="Arial"/>
          <w:bCs/>
          <w:iCs/>
          <w:sz w:val="24"/>
          <w:szCs w:val="24"/>
        </w:rPr>
        <w:t xml:space="preserve"> million</w:t>
      </w:r>
      <w:r w:rsidRPr="00ED3DF5">
        <w:rPr>
          <w:rFonts w:cs="Arial"/>
          <w:bCs/>
          <w:iCs/>
          <w:sz w:val="24"/>
          <w:szCs w:val="24"/>
        </w:rPr>
        <w:t xml:space="preserve"> in Net Present Value terms. </w:t>
      </w:r>
    </w:p>
    <w:p w14:paraId="3AA955B1" w14:textId="1007C3C8" w:rsidR="0064346A" w:rsidRDefault="00ED3DF5" w:rsidP="003E0606">
      <w:pPr>
        <w:spacing w:after="120" w:line="360" w:lineRule="auto"/>
        <w:jc w:val="both"/>
        <w:rPr>
          <w:rFonts w:cs="Arial"/>
          <w:b/>
          <w:bCs/>
        </w:rPr>
      </w:pPr>
      <w:r w:rsidRPr="00ED3DF5">
        <w:rPr>
          <w:rFonts w:cs="Arial"/>
          <w:bCs/>
          <w:iCs/>
          <w:sz w:val="24"/>
          <w:szCs w:val="24"/>
        </w:rPr>
        <w:t xml:space="preserve">As Option 2 has large </w:t>
      </w:r>
      <w:r w:rsidR="00BC4697">
        <w:rPr>
          <w:rFonts w:cs="Arial"/>
          <w:bCs/>
          <w:iCs/>
          <w:sz w:val="24"/>
          <w:szCs w:val="24"/>
        </w:rPr>
        <w:t>impacts, particularly to the supply chain of copper alloy plumbing products in contact with drinking water</w:t>
      </w:r>
      <w:r w:rsidR="00242670">
        <w:rPr>
          <w:rFonts w:cs="Arial"/>
          <w:bCs/>
          <w:iCs/>
          <w:sz w:val="24"/>
          <w:szCs w:val="24"/>
        </w:rPr>
        <w:t>,</w:t>
      </w:r>
      <w:r w:rsidR="00A9487A">
        <w:rPr>
          <w:rFonts w:cs="Arial"/>
          <w:bCs/>
          <w:iCs/>
          <w:sz w:val="24"/>
          <w:szCs w:val="24"/>
        </w:rPr>
        <w:t xml:space="preserve"> a suitable transition period is required</w:t>
      </w:r>
      <w:r w:rsidR="002B68DE">
        <w:rPr>
          <w:rFonts w:cs="Arial"/>
          <w:bCs/>
          <w:iCs/>
          <w:sz w:val="24"/>
          <w:szCs w:val="24"/>
        </w:rPr>
        <w:t xml:space="preserve"> (see implementation and review)</w:t>
      </w:r>
      <w:r w:rsidR="008C050B">
        <w:rPr>
          <w:rFonts w:cs="Arial"/>
          <w:bCs/>
          <w:iCs/>
          <w:sz w:val="24"/>
          <w:szCs w:val="24"/>
        </w:rPr>
        <w:t xml:space="preserve">. </w:t>
      </w:r>
      <w:r w:rsidR="00351842">
        <w:rPr>
          <w:rFonts w:cs="Arial"/>
          <w:bCs/>
          <w:iCs/>
          <w:sz w:val="24"/>
          <w:szCs w:val="24"/>
        </w:rPr>
        <w:t>In contrast, t</w:t>
      </w:r>
      <w:r w:rsidR="001D7AEE">
        <w:rPr>
          <w:rFonts w:cs="Arial"/>
          <w:bCs/>
          <w:iCs/>
          <w:sz w:val="24"/>
          <w:szCs w:val="24"/>
        </w:rPr>
        <w:t>ransitional arrangements may not be required for Option 3</w:t>
      </w:r>
      <w:r w:rsidR="00BC4697">
        <w:rPr>
          <w:rFonts w:cs="Arial"/>
          <w:bCs/>
          <w:iCs/>
          <w:sz w:val="24"/>
          <w:szCs w:val="24"/>
        </w:rPr>
        <w:t>,</w:t>
      </w:r>
      <w:r w:rsidR="001D7AEE">
        <w:rPr>
          <w:rFonts w:cs="Arial"/>
          <w:bCs/>
          <w:iCs/>
          <w:sz w:val="24"/>
          <w:szCs w:val="24"/>
        </w:rPr>
        <w:t xml:space="preserve"> which could be </w:t>
      </w:r>
      <w:r w:rsidRPr="00ED3DF5">
        <w:rPr>
          <w:rFonts w:cs="Arial"/>
          <w:bCs/>
          <w:iCs/>
          <w:sz w:val="24"/>
          <w:szCs w:val="24"/>
        </w:rPr>
        <w:t>implemented</w:t>
      </w:r>
      <w:r w:rsidR="00224C51">
        <w:rPr>
          <w:rFonts w:cs="Arial"/>
          <w:bCs/>
          <w:iCs/>
          <w:sz w:val="24"/>
          <w:szCs w:val="24"/>
        </w:rPr>
        <w:t xml:space="preserve"> sooner</w:t>
      </w:r>
      <w:r w:rsidR="00043C34">
        <w:rPr>
          <w:rFonts w:cs="Arial"/>
          <w:bCs/>
          <w:iCs/>
          <w:sz w:val="24"/>
          <w:szCs w:val="24"/>
        </w:rPr>
        <w:t xml:space="preserve"> </w:t>
      </w:r>
      <w:r w:rsidR="0035511F">
        <w:rPr>
          <w:rFonts w:cs="Arial"/>
          <w:bCs/>
          <w:iCs/>
          <w:sz w:val="24"/>
          <w:szCs w:val="24"/>
        </w:rPr>
        <w:t>and</w:t>
      </w:r>
      <w:r w:rsidR="00B935EC">
        <w:rPr>
          <w:rFonts w:cs="Arial"/>
          <w:bCs/>
          <w:iCs/>
          <w:sz w:val="24"/>
          <w:szCs w:val="24"/>
        </w:rPr>
        <w:t>,</w:t>
      </w:r>
      <w:r w:rsidR="0035511F">
        <w:rPr>
          <w:rFonts w:cs="Arial"/>
          <w:bCs/>
          <w:iCs/>
          <w:sz w:val="24"/>
          <w:szCs w:val="24"/>
        </w:rPr>
        <w:t xml:space="preserve"> while it </w:t>
      </w:r>
      <w:r w:rsidR="00043C34">
        <w:rPr>
          <w:rFonts w:cs="Arial"/>
          <w:bCs/>
          <w:iCs/>
          <w:sz w:val="24"/>
          <w:szCs w:val="24"/>
        </w:rPr>
        <w:t xml:space="preserve">would be </w:t>
      </w:r>
      <w:r w:rsidR="009B446C">
        <w:rPr>
          <w:rFonts w:cs="Arial"/>
          <w:bCs/>
          <w:iCs/>
          <w:sz w:val="24"/>
          <w:szCs w:val="24"/>
        </w:rPr>
        <w:t>outside of the ABCB remit</w:t>
      </w:r>
      <w:r w:rsidR="00B935EC">
        <w:rPr>
          <w:rFonts w:cs="Arial"/>
          <w:bCs/>
          <w:iCs/>
          <w:sz w:val="24"/>
          <w:szCs w:val="24"/>
        </w:rPr>
        <w:t>,</w:t>
      </w:r>
      <w:r w:rsidR="009B446C">
        <w:rPr>
          <w:rFonts w:cs="Arial"/>
          <w:bCs/>
          <w:iCs/>
          <w:sz w:val="24"/>
          <w:szCs w:val="24"/>
        </w:rPr>
        <w:t xml:space="preserve"> </w:t>
      </w:r>
      <w:r w:rsidR="0035511F">
        <w:rPr>
          <w:rFonts w:cs="Arial"/>
          <w:bCs/>
          <w:iCs/>
          <w:sz w:val="24"/>
          <w:szCs w:val="24"/>
        </w:rPr>
        <w:t xml:space="preserve">its benefits </w:t>
      </w:r>
      <w:r w:rsidR="009B446C">
        <w:rPr>
          <w:rFonts w:cs="Arial"/>
          <w:bCs/>
          <w:iCs/>
          <w:sz w:val="24"/>
          <w:szCs w:val="24"/>
        </w:rPr>
        <w:t xml:space="preserve">would be </w:t>
      </w:r>
      <w:r w:rsidR="0035511F">
        <w:rPr>
          <w:rFonts w:cs="Arial"/>
          <w:bCs/>
          <w:iCs/>
          <w:sz w:val="24"/>
          <w:szCs w:val="24"/>
        </w:rPr>
        <w:t>tied</w:t>
      </w:r>
      <w:r w:rsidR="009B446C">
        <w:rPr>
          <w:rFonts w:cs="Arial"/>
          <w:bCs/>
          <w:iCs/>
          <w:sz w:val="24"/>
          <w:szCs w:val="24"/>
        </w:rPr>
        <w:t xml:space="preserve"> to </w:t>
      </w:r>
      <w:r w:rsidR="00043C34">
        <w:rPr>
          <w:rFonts w:cs="Arial"/>
          <w:bCs/>
          <w:iCs/>
          <w:sz w:val="24"/>
          <w:szCs w:val="24"/>
        </w:rPr>
        <w:t xml:space="preserve">demand </w:t>
      </w:r>
      <w:r w:rsidR="009B446C">
        <w:rPr>
          <w:rFonts w:cs="Arial"/>
          <w:bCs/>
          <w:iCs/>
          <w:sz w:val="24"/>
          <w:szCs w:val="24"/>
        </w:rPr>
        <w:t>and the timing</w:t>
      </w:r>
      <w:r w:rsidR="00043C34">
        <w:rPr>
          <w:rFonts w:cs="Arial"/>
          <w:bCs/>
          <w:iCs/>
          <w:sz w:val="24"/>
          <w:szCs w:val="24"/>
        </w:rPr>
        <w:t xml:space="preserve"> </w:t>
      </w:r>
      <w:r w:rsidR="009B446C">
        <w:rPr>
          <w:rFonts w:cs="Arial"/>
          <w:bCs/>
          <w:iCs/>
          <w:sz w:val="24"/>
          <w:szCs w:val="24"/>
        </w:rPr>
        <w:t xml:space="preserve">of </w:t>
      </w:r>
      <w:r w:rsidR="00043C34">
        <w:rPr>
          <w:rFonts w:cs="Arial"/>
          <w:bCs/>
          <w:iCs/>
          <w:sz w:val="24"/>
          <w:szCs w:val="24"/>
        </w:rPr>
        <w:t>changes to government procurement rules.</w:t>
      </w:r>
    </w:p>
    <w:p w14:paraId="1AA267F2" w14:textId="6A2AD972" w:rsidR="00C229E3" w:rsidRDefault="005508C3" w:rsidP="00C229E3">
      <w:pPr>
        <w:spacing w:after="120" w:line="360" w:lineRule="auto"/>
        <w:jc w:val="both"/>
        <w:rPr>
          <w:rFonts w:cs="Arial"/>
          <w:bCs/>
          <w:iCs/>
          <w:sz w:val="24"/>
          <w:szCs w:val="24"/>
        </w:rPr>
      </w:pPr>
      <w:r>
        <w:rPr>
          <w:rFonts w:cs="Arial"/>
          <w:bCs/>
          <w:iCs/>
          <w:sz w:val="24"/>
          <w:szCs w:val="24"/>
        </w:rPr>
        <w:t>T</w:t>
      </w:r>
      <w:r w:rsidR="00C229E3">
        <w:rPr>
          <w:rFonts w:cs="Arial"/>
          <w:bCs/>
          <w:iCs/>
          <w:sz w:val="24"/>
          <w:szCs w:val="24"/>
        </w:rPr>
        <w:t>he preferred</w:t>
      </w:r>
      <w:r>
        <w:rPr>
          <w:rFonts w:cs="Arial"/>
          <w:bCs/>
          <w:iCs/>
          <w:sz w:val="24"/>
          <w:szCs w:val="24"/>
        </w:rPr>
        <w:t xml:space="preserve"> Option of the Decision</w:t>
      </w:r>
      <w:r w:rsidRPr="003B58FB">
        <w:rPr>
          <w:rFonts w:cs="Arial"/>
          <w:bCs/>
          <w:iCs/>
          <w:sz w:val="24"/>
          <w:szCs w:val="24"/>
        </w:rPr>
        <w:t xml:space="preserve"> RIS</w:t>
      </w:r>
      <w:r w:rsidRPr="00C36FEE">
        <w:rPr>
          <w:rFonts w:cs="Arial"/>
          <w:bCs/>
          <w:iCs/>
          <w:sz w:val="24"/>
          <w:szCs w:val="24"/>
        </w:rPr>
        <w:t xml:space="preserve"> </w:t>
      </w:r>
      <w:r>
        <w:rPr>
          <w:rFonts w:cs="Arial"/>
          <w:bCs/>
          <w:iCs/>
          <w:sz w:val="24"/>
          <w:szCs w:val="24"/>
        </w:rPr>
        <w:t xml:space="preserve">is </w:t>
      </w:r>
      <w:r w:rsidR="003A49AD" w:rsidRPr="00C36FEE">
        <w:rPr>
          <w:rFonts w:cs="Arial"/>
          <w:bCs/>
          <w:iCs/>
          <w:sz w:val="24"/>
          <w:szCs w:val="24"/>
        </w:rPr>
        <w:t>Option 2</w:t>
      </w:r>
      <w:r w:rsidR="00C229E3">
        <w:rPr>
          <w:rFonts w:cs="Arial"/>
          <w:bCs/>
          <w:iCs/>
          <w:sz w:val="24"/>
          <w:szCs w:val="24"/>
        </w:rPr>
        <w:t xml:space="preserve">, </w:t>
      </w:r>
      <w:r>
        <w:rPr>
          <w:rFonts w:cs="Arial"/>
          <w:bCs/>
          <w:iCs/>
          <w:sz w:val="24"/>
          <w:szCs w:val="24"/>
        </w:rPr>
        <w:t>as th</w:t>
      </w:r>
      <w:r w:rsidR="00B935EC">
        <w:rPr>
          <w:rFonts w:cs="Arial"/>
          <w:bCs/>
          <w:iCs/>
          <w:sz w:val="24"/>
          <w:szCs w:val="24"/>
        </w:rPr>
        <w:t>is</w:t>
      </w:r>
      <w:r>
        <w:rPr>
          <w:rFonts w:cs="Arial"/>
          <w:bCs/>
          <w:iCs/>
          <w:sz w:val="24"/>
          <w:szCs w:val="24"/>
        </w:rPr>
        <w:t xml:space="preserve"> option</w:t>
      </w:r>
      <w:r w:rsidR="00B935EC">
        <w:rPr>
          <w:rFonts w:cs="Arial"/>
          <w:bCs/>
          <w:iCs/>
          <w:sz w:val="24"/>
          <w:szCs w:val="24"/>
        </w:rPr>
        <w:t xml:space="preserve"> is</w:t>
      </w:r>
      <w:r>
        <w:rPr>
          <w:rFonts w:cs="Arial"/>
          <w:bCs/>
          <w:iCs/>
          <w:sz w:val="24"/>
          <w:szCs w:val="24"/>
        </w:rPr>
        <w:t xml:space="preserve"> likely to produce the highest net benefits and be more effective relative to </w:t>
      </w:r>
      <w:r w:rsidR="00B935EC">
        <w:rPr>
          <w:rFonts w:cs="Arial"/>
          <w:bCs/>
          <w:iCs/>
          <w:sz w:val="24"/>
          <w:szCs w:val="24"/>
        </w:rPr>
        <w:t xml:space="preserve">the </w:t>
      </w:r>
      <w:r>
        <w:rPr>
          <w:rFonts w:cs="Arial"/>
          <w:bCs/>
          <w:iCs/>
          <w:sz w:val="24"/>
          <w:szCs w:val="24"/>
        </w:rPr>
        <w:t>alternative options analysed.</w:t>
      </w:r>
      <w:r w:rsidR="001C457B">
        <w:rPr>
          <w:rFonts w:cs="Arial"/>
          <w:bCs/>
          <w:iCs/>
          <w:sz w:val="24"/>
          <w:szCs w:val="24"/>
        </w:rPr>
        <w:t xml:space="preserve"> If supported by decision makers, this would result in a</w:t>
      </w:r>
      <w:r w:rsidR="00C229E3">
        <w:rPr>
          <w:rFonts w:cs="Arial"/>
          <w:bCs/>
          <w:iCs/>
          <w:sz w:val="24"/>
          <w:szCs w:val="24"/>
        </w:rPr>
        <w:t xml:space="preserve"> requirement </w:t>
      </w:r>
      <w:r w:rsidR="001C457B">
        <w:rPr>
          <w:rFonts w:cs="Arial"/>
          <w:bCs/>
          <w:iCs/>
          <w:sz w:val="24"/>
          <w:szCs w:val="24"/>
        </w:rPr>
        <w:t xml:space="preserve">that </w:t>
      </w:r>
      <w:r w:rsidR="00C229E3" w:rsidRPr="00C229E3">
        <w:rPr>
          <w:rFonts w:cs="Arial"/>
          <w:bCs/>
          <w:iCs/>
          <w:sz w:val="24"/>
          <w:szCs w:val="24"/>
        </w:rPr>
        <w:t xml:space="preserve">products in contact with drinking water contain </w:t>
      </w:r>
      <w:r w:rsidR="001C457B">
        <w:rPr>
          <w:rFonts w:cs="Arial"/>
          <w:bCs/>
          <w:iCs/>
          <w:sz w:val="24"/>
          <w:szCs w:val="24"/>
        </w:rPr>
        <w:t xml:space="preserve">not more than </w:t>
      </w:r>
      <w:r w:rsidR="00C229E3" w:rsidRPr="00C229E3">
        <w:rPr>
          <w:rFonts w:cs="Arial"/>
          <w:bCs/>
          <w:iCs/>
          <w:sz w:val="24"/>
          <w:szCs w:val="24"/>
        </w:rPr>
        <w:t xml:space="preserve">0.25% </w:t>
      </w:r>
      <w:r w:rsidR="00242670">
        <w:rPr>
          <w:rFonts w:cs="Arial"/>
          <w:bCs/>
          <w:iCs/>
          <w:sz w:val="24"/>
          <w:szCs w:val="24"/>
        </w:rPr>
        <w:t xml:space="preserve">weighted average </w:t>
      </w:r>
      <w:r w:rsidR="00C229E3" w:rsidRPr="00C229E3">
        <w:rPr>
          <w:rFonts w:cs="Arial"/>
          <w:bCs/>
          <w:iCs/>
          <w:sz w:val="24"/>
          <w:szCs w:val="24"/>
        </w:rPr>
        <w:t xml:space="preserve">lead content </w:t>
      </w:r>
      <w:r w:rsidR="00C229E3">
        <w:rPr>
          <w:rFonts w:cs="Arial"/>
          <w:bCs/>
          <w:iCs/>
          <w:sz w:val="24"/>
          <w:szCs w:val="24"/>
        </w:rPr>
        <w:t>in</w:t>
      </w:r>
      <w:r w:rsidR="003A49AD" w:rsidRPr="00C36FEE">
        <w:rPr>
          <w:rFonts w:cs="Arial"/>
          <w:bCs/>
          <w:iCs/>
          <w:sz w:val="24"/>
          <w:szCs w:val="24"/>
        </w:rPr>
        <w:t xml:space="preserve"> the</w:t>
      </w:r>
      <w:r w:rsidR="005C5929" w:rsidRPr="00C36FEE">
        <w:rPr>
          <w:rFonts w:cs="Arial"/>
          <w:bCs/>
          <w:iCs/>
          <w:sz w:val="24"/>
          <w:szCs w:val="24"/>
        </w:rPr>
        <w:t xml:space="preserve"> </w:t>
      </w:r>
      <w:r w:rsidR="003A49AD" w:rsidRPr="00C36FEE">
        <w:rPr>
          <w:rFonts w:cs="Arial"/>
          <w:bCs/>
          <w:iCs/>
          <w:sz w:val="24"/>
          <w:szCs w:val="24"/>
        </w:rPr>
        <w:t>PC</w:t>
      </w:r>
      <w:r w:rsidR="0016339C" w:rsidRPr="00C36FEE">
        <w:rPr>
          <w:rFonts w:cs="Arial"/>
          <w:bCs/>
          <w:iCs/>
          <w:sz w:val="24"/>
          <w:szCs w:val="24"/>
        </w:rPr>
        <w:t>A</w:t>
      </w:r>
      <w:r w:rsidR="00C229E3">
        <w:rPr>
          <w:rFonts w:cs="Arial"/>
          <w:bCs/>
          <w:iCs/>
          <w:sz w:val="24"/>
          <w:szCs w:val="24"/>
        </w:rPr>
        <w:t>.</w:t>
      </w:r>
      <w:r>
        <w:rPr>
          <w:rFonts w:cs="Arial"/>
          <w:bCs/>
          <w:iCs/>
          <w:sz w:val="24"/>
          <w:szCs w:val="24"/>
        </w:rPr>
        <w:t xml:space="preserve"> </w:t>
      </w:r>
    </w:p>
    <w:p w14:paraId="3382F650" w14:textId="6C538303" w:rsidR="00C229E3" w:rsidRPr="00F157BE" w:rsidRDefault="00C229E3" w:rsidP="00C229E3">
      <w:pPr>
        <w:spacing w:after="120" w:line="360" w:lineRule="auto"/>
        <w:jc w:val="both"/>
        <w:rPr>
          <w:rFonts w:eastAsiaTheme="majorEastAsia" w:cs="Arial"/>
          <w:color w:val="002060"/>
          <w:sz w:val="32"/>
          <w:szCs w:val="32"/>
        </w:rPr>
      </w:pPr>
      <w:r w:rsidRPr="00F157BE">
        <w:rPr>
          <w:rFonts w:eastAsiaTheme="majorEastAsia" w:cs="Arial"/>
          <w:color w:val="002060"/>
          <w:sz w:val="32"/>
          <w:szCs w:val="32"/>
        </w:rPr>
        <w:t xml:space="preserve">Recommendations </w:t>
      </w:r>
      <w:r>
        <w:rPr>
          <w:rFonts w:eastAsiaTheme="majorEastAsia" w:cs="Arial"/>
          <w:color w:val="002060"/>
          <w:sz w:val="32"/>
          <w:szCs w:val="32"/>
        </w:rPr>
        <w:t>that accompany Option 2</w:t>
      </w:r>
    </w:p>
    <w:p w14:paraId="56C73E4E" w14:textId="0F00B4D7" w:rsidR="00741D95" w:rsidRPr="00741D95" w:rsidRDefault="00741D95" w:rsidP="00741D95">
      <w:pPr>
        <w:spacing w:after="120" w:line="360" w:lineRule="auto"/>
        <w:jc w:val="both"/>
        <w:rPr>
          <w:rFonts w:cs="Arial"/>
          <w:bCs/>
          <w:iCs/>
          <w:sz w:val="24"/>
          <w:szCs w:val="24"/>
        </w:rPr>
      </w:pPr>
      <w:bookmarkStart w:id="316" w:name="_Hlk72053228"/>
      <w:r w:rsidRPr="00741D95">
        <w:rPr>
          <w:rFonts w:cs="Arial"/>
          <w:bCs/>
          <w:iCs/>
          <w:sz w:val="24"/>
          <w:szCs w:val="24"/>
        </w:rPr>
        <w:t xml:space="preserve">The Decision RIS </w:t>
      </w:r>
      <w:r w:rsidR="0029376F">
        <w:rPr>
          <w:rFonts w:cs="Arial"/>
          <w:bCs/>
          <w:iCs/>
          <w:sz w:val="24"/>
          <w:szCs w:val="24"/>
        </w:rPr>
        <w:t xml:space="preserve">has </w:t>
      </w:r>
      <w:r w:rsidRPr="00741D95">
        <w:rPr>
          <w:rFonts w:cs="Arial"/>
          <w:bCs/>
          <w:iCs/>
          <w:sz w:val="24"/>
          <w:szCs w:val="24"/>
        </w:rPr>
        <w:t>acknowledge</w:t>
      </w:r>
      <w:r w:rsidR="0029376F">
        <w:rPr>
          <w:rFonts w:cs="Arial"/>
          <w:bCs/>
          <w:iCs/>
          <w:sz w:val="24"/>
          <w:szCs w:val="24"/>
        </w:rPr>
        <w:t>d</w:t>
      </w:r>
      <w:r w:rsidRPr="00741D95">
        <w:rPr>
          <w:rFonts w:cs="Arial"/>
          <w:bCs/>
          <w:iCs/>
          <w:sz w:val="24"/>
          <w:szCs w:val="24"/>
        </w:rPr>
        <w:t xml:space="preserve"> the </w:t>
      </w:r>
      <w:r w:rsidR="005508C3">
        <w:rPr>
          <w:rFonts w:cs="Arial"/>
          <w:bCs/>
          <w:iCs/>
          <w:sz w:val="24"/>
          <w:szCs w:val="24"/>
        </w:rPr>
        <w:t xml:space="preserve">following </w:t>
      </w:r>
      <w:r w:rsidRPr="00741D95">
        <w:rPr>
          <w:rFonts w:cs="Arial"/>
          <w:bCs/>
          <w:iCs/>
          <w:sz w:val="24"/>
          <w:szCs w:val="24"/>
        </w:rPr>
        <w:t xml:space="preserve">additional </w:t>
      </w:r>
      <w:r w:rsidR="0029376F">
        <w:rPr>
          <w:rFonts w:cs="Arial"/>
          <w:bCs/>
          <w:iCs/>
          <w:sz w:val="24"/>
          <w:szCs w:val="24"/>
        </w:rPr>
        <w:t xml:space="preserve">administrative </w:t>
      </w:r>
      <w:r w:rsidRPr="00741D95">
        <w:rPr>
          <w:rFonts w:cs="Arial"/>
          <w:bCs/>
          <w:iCs/>
          <w:sz w:val="24"/>
          <w:szCs w:val="24"/>
        </w:rPr>
        <w:t xml:space="preserve">steps </w:t>
      </w:r>
      <w:r w:rsidR="005508C3">
        <w:rPr>
          <w:rFonts w:cs="Arial"/>
          <w:bCs/>
          <w:iCs/>
          <w:sz w:val="24"/>
          <w:szCs w:val="24"/>
        </w:rPr>
        <w:t xml:space="preserve">as </w:t>
      </w:r>
      <w:r w:rsidR="00287150">
        <w:rPr>
          <w:rFonts w:cs="Arial"/>
          <w:bCs/>
          <w:iCs/>
          <w:sz w:val="24"/>
          <w:szCs w:val="24"/>
        </w:rPr>
        <w:t xml:space="preserve">being </w:t>
      </w:r>
      <w:r w:rsidR="005508C3">
        <w:rPr>
          <w:rFonts w:cs="Arial"/>
          <w:bCs/>
          <w:iCs/>
          <w:sz w:val="24"/>
          <w:szCs w:val="24"/>
        </w:rPr>
        <w:t xml:space="preserve">essential to </w:t>
      </w:r>
      <w:r w:rsidR="0029376F">
        <w:rPr>
          <w:rFonts w:cs="Arial"/>
          <w:bCs/>
          <w:iCs/>
          <w:sz w:val="24"/>
          <w:szCs w:val="24"/>
        </w:rPr>
        <w:t>achieving the</w:t>
      </w:r>
      <w:r w:rsidR="005508C3">
        <w:rPr>
          <w:rFonts w:cs="Arial"/>
          <w:bCs/>
          <w:iCs/>
          <w:sz w:val="24"/>
          <w:szCs w:val="24"/>
        </w:rPr>
        <w:t xml:space="preserve"> </w:t>
      </w:r>
      <w:r w:rsidR="0029376F">
        <w:rPr>
          <w:rFonts w:cs="Arial"/>
          <w:bCs/>
          <w:iCs/>
          <w:sz w:val="24"/>
          <w:szCs w:val="24"/>
        </w:rPr>
        <w:t>objective and managing the impacts</w:t>
      </w:r>
      <w:r w:rsidR="00287150">
        <w:rPr>
          <w:rFonts w:cs="Arial"/>
          <w:bCs/>
          <w:iCs/>
          <w:sz w:val="24"/>
          <w:szCs w:val="24"/>
        </w:rPr>
        <w:t xml:space="preserve"> </w:t>
      </w:r>
      <w:r w:rsidRPr="00741D95">
        <w:rPr>
          <w:rFonts w:cs="Arial"/>
          <w:bCs/>
          <w:iCs/>
          <w:sz w:val="24"/>
          <w:szCs w:val="24"/>
        </w:rPr>
        <w:t xml:space="preserve">of the </w:t>
      </w:r>
      <w:r w:rsidR="005508C3">
        <w:rPr>
          <w:rFonts w:cs="Arial"/>
          <w:bCs/>
          <w:iCs/>
          <w:sz w:val="24"/>
          <w:szCs w:val="24"/>
        </w:rPr>
        <w:t>change</w:t>
      </w:r>
      <w:r w:rsidRPr="00741D95">
        <w:rPr>
          <w:rFonts w:cs="Arial"/>
          <w:bCs/>
          <w:iCs/>
          <w:sz w:val="24"/>
          <w:szCs w:val="24"/>
        </w:rPr>
        <w:t>:</w:t>
      </w:r>
    </w:p>
    <w:p w14:paraId="0CE19A2C" w14:textId="5B280FCB" w:rsidR="00CE6B7B" w:rsidRDefault="00741D95" w:rsidP="00DF50F2">
      <w:pPr>
        <w:pStyle w:val="ListParagraph"/>
        <w:numPr>
          <w:ilvl w:val="1"/>
          <w:numId w:val="42"/>
        </w:numPr>
        <w:spacing w:after="120" w:line="360" w:lineRule="auto"/>
        <w:jc w:val="both"/>
        <w:rPr>
          <w:rFonts w:cs="Arial"/>
          <w:bCs/>
          <w:iCs/>
          <w:sz w:val="24"/>
          <w:szCs w:val="24"/>
        </w:rPr>
      </w:pPr>
      <w:r>
        <w:rPr>
          <w:rFonts w:cs="Arial"/>
          <w:bCs/>
          <w:iCs/>
          <w:sz w:val="24"/>
          <w:szCs w:val="24"/>
        </w:rPr>
        <w:t>A</w:t>
      </w:r>
      <w:r w:rsidR="00B62404" w:rsidRPr="003B58FB">
        <w:rPr>
          <w:rFonts w:cs="Arial"/>
          <w:bCs/>
          <w:iCs/>
          <w:sz w:val="24"/>
          <w:szCs w:val="24"/>
        </w:rPr>
        <w:t xml:space="preserve"> minimum </w:t>
      </w:r>
      <w:r w:rsidR="0035511F" w:rsidRPr="003B58FB">
        <w:rPr>
          <w:rFonts w:cs="Arial"/>
          <w:bCs/>
          <w:iCs/>
          <w:sz w:val="24"/>
          <w:szCs w:val="24"/>
        </w:rPr>
        <w:t>3</w:t>
      </w:r>
      <w:r w:rsidR="00B62404" w:rsidRPr="003B58FB">
        <w:rPr>
          <w:rFonts w:cs="Arial"/>
          <w:bCs/>
          <w:iCs/>
          <w:sz w:val="24"/>
          <w:szCs w:val="24"/>
        </w:rPr>
        <w:t>-year transition period</w:t>
      </w:r>
      <w:r w:rsidR="00A15142">
        <w:rPr>
          <w:rFonts w:cs="Arial"/>
          <w:bCs/>
          <w:iCs/>
          <w:sz w:val="24"/>
          <w:szCs w:val="24"/>
        </w:rPr>
        <w:t xml:space="preserve"> for recertification</w:t>
      </w:r>
      <w:r w:rsidR="001C457B">
        <w:rPr>
          <w:rFonts w:cs="Arial"/>
          <w:bCs/>
          <w:iCs/>
          <w:sz w:val="24"/>
          <w:szCs w:val="24"/>
        </w:rPr>
        <w:t xml:space="preserve"> of </w:t>
      </w:r>
      <w:r w:rsidR="00CE6B7B">
        <w:rPr>
          <w:rFonts w:cs="Arial"/>
          <w:bCs/>
          <w:iCs/>
          <w:sz w:val="24"/>
          <w:szCs w:val="24"/>
        </w:rPr>
        <w:t>copper alloy plumbing products in contact with drinking water through the WMCS</w:t>
      </w:r>
      <w:r w:rsidR="009D1CCC">
        <w:rPr>
          <w:rFonts w:cs="Arial"/>
          <w:bCs/>
          <w:iCs/>
          <w:sz w:val="24"/>
          <w:szCs w:val="24"/>
        </w:rPr>
        <w:t>.</w:t>
      </w:r>
    </w:p>
    <w:p w14:paraId="79996E39" w14:textId="7051E799" w:rsidR="00B62404" w:rsidRPr="003B58FB" w:rsidRDefault="00CE6B7B" w:rsidP="00DF50F2">
      <w:pPr>
        <w:pStyle w:val="ListParagraph"/>
        <w:numPr>
          <w:ilvl w:val="1"/>
          <w:numId w:val="42"/>
        </w:numPr>
        <w:spacing w:after="120" w:line="360" w:lineRule="auto"/>
        <w:jc w:val="both"/>
        <w:rPr>
          <w:rFonts w:cs="Arial"/>
          <w:bCs/>
          <w:iCs/>
          <w:sz w:val="24"/>
          <w:szCs w:val="24"/>
        </w:rPr>
      </w:pPr>
      <w:r>
        <w:rPr>
          <w:rFonts w:cs="Arial"/>
          <w:bCs/>
          <w:iCs/>
          <w:sz w:val="24"/>
          <w:szCs w:val="24"/>
        </w:rPr>
        <w:t xml:space="preserve">Development of an implementation plan by </w:t>
      </w:r>
      <w:r w:rsidR="00A15142">
        <w:rPr>
          <w:rFonts w:cs="Arial"/>
          <w:bCs/>
          <w:iCs/>
          <w:sz w:val="24"/>
          <w:szCs w:val="24"/>
        </w:rPr>
        <w:t xml:space="preserve">ABCB </w:t>
      </w:r>
      <w:r>
        <w:rPr>
          <w:rFonts w:cs="Arial"/>
          <w:bCs/>
          <w:iCs/>
          <w:sz w:val="24"/>
          <w:szCs w:val="24"/>
        </w:rPr>
        <w:t xml:space="preserve">in consultation with impacted stakeholders, outlining </w:t>
      </w:r>
      <w:r w:rsidR="00A15142">
        <w:rPr>
          <w:rFonts w:cs="Arial"/>
          <w:bCs/>
          <w:iCs/>
          <w:sz w:val="24"/>
          <w:szCs w:val="24"/>
        </w:rPr>
        <w:t xml:space="preserve">key milestones </w:t>
      </w:r>
      <w:r>
        <w:rPr>
          <w:rFonts w:cs="Arial"/>
          <w:bCs/>
          <w:iCs/>
          <w:sz w:val="24"/>
          <w:szCs w:val="24"/>
        </w:rPr>
        <w:t xml:space="preserve">and review points for installation and enforcement </w:t>
      </w:r>
      <w:r w:rsidR="009D1CCC">
        <w:rPr>
          <w:rFonts w:cs="Arial"/>
          <w:bCs/>
          <w:iCs/>
          <w:sz w:val="24"/>
          <w:szCs w:val="24"/>
        </w:rPr>
        <w:t xml:space="preserve">of the change </w:t>
      </w:r>
      <w:r>
        <w:rPr>
          <w:rFonts w:cs="Arial"/>
          <w:bCs/>
          <w:iCs/>
          <w:sz w:val="24"/>
          <w:szCs w:val="24"/>
        </w:rPr>
        <w:t xml:space="preserve">at the </w:t>
      </w:r>
      <w:r w:rsidR="00A15142">
        <w:rPr>
          <w:rFonts w:cs="Arial"/>
          <w:bCs/>
          <w:iCs/>
          <w:sz w:val="24"/>
          <w:szCs w:val="24"/>
        </w:rPr>
        <w:t>point of installation.</w:t>
      </w:r>
    </w:p>
    <w:p w14:paraId="7F46E9BC" w14:textId="57011371" w:rsidR="00CE6B7B" w:rsidRDefault="00B62404" w:rsidP="00DF50F2">
      <w:pPr>
        <w:pStyle w:val="ListParagraph"/>
        <w:numPr>
          <w:ilvl w:val="1"/>
          <w:numId w:val="42"/>
        </w:numPr>
        <w:spacing w:after="120" w:line="360" w:lineRule="auto"/>
        <w:jc w:val="both"/>
        <w:rPr>
          <w:rFonts w:cs="Arial"/>
          <w:bCs/>
          <w:iCs/>
          <w:sz w:val="24"/>
          <w:szCs w:val="24"/>
        </w:rPr>
      </w:pPr>
      <w:bookmarkStart w:id="317" w:name="_Hlk72053454"/>
      <w:bookmarkEnd w:id="316"/>
      <w:r w:rsidRPr="003B58FB">
        <w:rPr>
          <w:rFonts w:cs="Arial"/>
          <w:bCs/>
          <w:iCs/>
          <w:sz w:val="24"/>
          <w:szCs w:val="24"/>
        </w:rPr>
        <w:t xml:space="preserve">Prioritise consequential amendments to </w:t>
      </w:r>
      <w:r w:rsidR="000E5109">
        <w:rPr>
          <w:rFonts w:cs="Arial"/>
          <w:bCs/>
          <w:iCs/>
          <w:sz w:val="24"/>
          <w:szCs w:val="24"/>
        </w:rPr>
        <w:t>p</w:t>
      </w:r>
      <w:r w:rsidR="003B58FB" w:rsidRPr="003B58FB">
        <w:rPr>
          <w:rFonts w:cs="Arial"/>
          <w:bCs/>
          <w:iCs/>
          <w:sz w:val="24"/>
          <w:szCs w:val="24"/>
        </w:rPr>
        <w:t xml:space="preserve">roduct </w:t>
      </w:r>
      <w:r w:rsidR="000E5109">
        <w:rPr>
          <w:rFonts w:cs="Arial"/>
          <w:bCs/>
          <w:iCs/>
          <w:sz w:val="24"/>
          <w:szCs w:val="24"/>
        </w:rPr>
        <w:t>s</w:t>
      </w:r>
      <w:r w:rsidR="00F66510">
        <w:rPr>
          <w:rFonts w:cs="Arial"/>
          <w:bCs/>
          <w:iCs/>
          <w:sz w:val="24"/>
          <w:szCs w:val="24"/>
        </w:rPr>
        <w:t>pecifications</w:t>
      </w:r>
      <w:r w:rsidR="003B58FB" w:rsidRPr="003B58FB">
        <w:rPr>
          <w:rFonts w:cs="Arial"/>
          <w:bCs/>
          <w:iCs/>
          <w:sz w:val="24"/>
          <w:szCs w:val="24"/>
        </w:rPr>
        <w:t xml:space="preserve"> </w:t>
      </w:r>
      <w:r w:rsidRPr="003B58FB">
        <w:rPr>
          <w:rFonts w:cs="Arial"/>
          <w:bCs/>
          <w:iCs/>
          <w:sz w:val="24"/>
          <w:szCs w:val="24"/>
        </w:rPr>
        <w:t xml:space="preserve">and </w:t>
      </w:r>
      <w:r w:rsidR="0035511F" w:rsidRPr="003B58FB">
        <w:rPr>
          <w:rFonts w:cs="Arial"/>
          <w:bCs/>
          <w:iCs/>
          <w:sz w:val="24"/>
          <w:szCs w:val="24"/>
        </w:rPr>
        <w:t>the WMCS</w:t>
      </w:r>
      <w:r w:rsidRPr="003B58FB">
        <w:rPr>
          <w:rFonts w:cs="Arial"/>
          <w:bCs/>
          <w:iCs/>
          <w:sz w:val="24"/>
          <w:szCs w:val="24"/>
        </w:rPr>
        <w:t xml:space="preserve"> which are necessary to ensure compatibility with changes to the NCC</w:t>
      </w:r>
      <w:r w:rsidR="009D1CCC">
        <w:rPr>
          <w:rFonts w:cs="Arial"/>
          <w:bCs/>
          <w:iCs/>
          <w:sz w:val="24"/>
          <w:szCs w:val="24"/>
        </w:rPr>
        <w:t>.</w:t>
      </w:r>
    </w:p>
    <w:p w14:paraId="0E266E41" w14:textId="7998A5DA" w:rsidR="003A49AD" w:rsidRPr="003B58FB" w:rsidRDefault="00CE6B7B" w:rsidP="00DF50F2">
      <w:pPr>
        <w:pStyle w:val="ListParagraph"/>
        <w:numPr>
          <w:ilvl w:val="1"/>
          <w:numId w:val="42"/>
        </w:numPr>
        <w:spacing w:after="120" w:line="360" w:lineRule="auto"/>
        <w:jc w:val="both"/>
        <w:rPr>
          <w:rFonts w:cs="Arial"/>
          <w:bCs/>
          <w:iCs/>
          <w:sz w:val="24"/>
          <w:szCs w:val="24"/>
        </w:rPr>
      </w:pPr>
      <w:r>
        <w:rPr>
          <w:rFonts w:cs="Arial"/>
          <w:bCs/>
          <w:iCs/>
          <w:sz w:val="24"/>
          <w:szCs w:val="24"/>
        </w:rPr>
        <w:t xml:space="preserve">Assist work to determine appropriate amendments to </w:t>
      </w:r>
      <w:r w:rsidR="0035511F" w:rsidRPr="003B58FB">
        <w:rPr>
          <w:rFonts w:cs="Arial"/>
          <w:bCs/>
          <w:iCs/>
          <w:sz w:val="24"/>
          <w:szCs w:val="24"/>
        </w:rPr>
        <w:t>AS/NZS</w:t>
      </w:r>
      <w:r w:rsidR="00B935EC">
        <w:rPr>
          <w:rFonts w:cs="Arial"/>
          <w:bCs/>
          <w:iCs/>
          <w:sz w:val="24"/>
          <w:szCs w:val="24"/>
        </w:rPr>
        <w:t> </w:t>
      </w:r>
      <w:r w:rsidR="0035511F" w:rsidRPr="003B58FB">
        <w:rPr>
          <w:rFonts w:cs="Arial"/>
          <w:bCs/>
          <w:iCs/>
          <w:sz w:val="24"/>
          <w:szCs w:val="24"/>
        </w:rPr>
        <w:t xml:space="preserve">4020 </w:t>
      </w:r>
      <w:r>
        <w:rPr>
          <w:rFonts w:cs="Arial"/>
          <w:bCs/>
          <w:iCs/>
          <w:sz w:val="24"/>
          <w:szCs w:val="24"/>
        </w:rPr>
        <w:t xml:space="preserve">to ensure it is reflective of factors that influence quality of drinking water </w:t>
      </w:r>
      <w:r w:rsidR="0035511F" w:rsidRPr="003B58FB">
        <w:rPr>
          <w:rFonts w:cs="Arial"/>
          <w:bCs/>
          <w:iCs/>
          <w:sz w:val="24"/>
          <w:szCs w:val="24"/>
        </w:rPr>
        <w:t>subject to analysis and further consultation</w:t>
      </w:r>
      <w:r w:rsidR="009D1CCC">
        <w:rPr>
          <w:rFonts w:cs="Arial"/>
          <w:bCs/>
          <w:iCs/>
          <w:sz w:val="24"/>
          <w:szCs w:val="24"/>
        </w:rPr>
        <w:t xml:space="preserve"> with impacted stakeholders</w:t>
      </w:r>
      <w:r w:rsidR="0035511F" w:rsidRPr="003B58FB">
        <w:rPr>
          <w:rFonts w:cs="Arial"/>
          <w:bCs/>
          <w:iCs/>
          <w:sz w:val="24"/>
          <w:szCs w:val="24"/>
        </w:rPr>
        <w:t>.</w:t>
      </w:r>
      <w:r w:rsidR="003A49AD" w:rsidRPr="003B58FB">
        <w:rPr>
          <w:rFonts w:cs="Arial"/>
          <w:bCs/>
          <w:iCs/>
          <w:sz w:val="24"/>
          <w:szCs w:val="24"/>
        </w:rPr>
        <w:t xml:space="preserve"> </w:t>
      </w:r>
    </w:p>
    <w:bookmarkEnd w:id="317"/>
    <w:p w14:paraId="579B89C8" w14:textId="7DB8C1E1" w:rsidR="005D2EE9" w:rsidRPr="003B58FB" w:rsidRDefault="00B62404" w:rsidP="00DF50F2">
      <w:pPr>
        <w:pStyle w:val="ListParagraph"/>
        <w:numPr>
          <w:ilvl w:val="1"/>
          <w:numId w:val="42"/>
        </w:numPr>
        <w:spacing w:after="120" w:line="360" w:lineRule="auto"/>
        <w:jc w:val="both"/>
        <w:rPr>
          <w:rFonts w:cs="Arial"/>
          <w:bCs/>
          <w:iCs/>
          <w:sz w:val="24"/>
          <w:szCs w:val="24"/>
        </w:rPr>
      </w:pPr>
      <w:r w:rsidRPr="003B58FB">
        <w:rPr>
          <w:rFonts w:cs="Arial"/>
          <w:bCs/>
          <w:iCs/>
          <w:sz w:val="24"/>
          <w:szCs w:val="24"/>
        </w:rPr>
        <w:t>Work</w:t>
      </w:r>
      <w:r w:rsidR="008C050B" w:rsidRPr="003B58FB">
        <w:rPr>
          <w:rFonts w:cs="Arial"/>
          <w:bCs/>
          <w:iCs/>
          <w:sz w:val="24"/>
          <w:szCs w:val="24"/>
        </w:rPr>
        <w:t xml:space="preserve"> be undertaken </w:t>
      </w:r>
      <w:r w:rsidRPr="003B58FB">
        <w:rPr>
          <w:rFonts w:cs="Arial"/>
          <w:bCs/>
          <w:iCs/>
          <w:sz w:val="24"/>
          <w:szCs w:val="24"/>
        </w:rPr>
        <w:t xml:space="preserve">with </w:t>
      </w:r>
      <w:bookmarkStart w:id="318" w:name="_Hlk72053390"/>
      <w:r w:rsidRPr="003B58FB">
        <w:rPr>
          <w:rFonts w:cs="Arial"/>
          <w:bCs/>
          <w:iCs/>
          <w:sz w:val="24"/>
          <w:szCs w:val="24"/>
        </w:rPr>
        <w:t xml:space="preserve">health authorities to verify the suitability of lead substitutes and </w:t>
      </w:r>
      <w:r w:rsidR="00242670">
        <w:rPr>
          <w:rFonts w:cs="Arial"/>
          <w:bCs/>
          <w:iCs/>
          <w:sz w:val="24"/>
          <w:szCs w:val="24"/>
        </w:rPr>
        <w:t xml:space="preserve">the need for </w:t>
      </w:r>
      <w:r w:rsidR="009D1CCC">
        <w:rPr>
          <w:rFonts w:cs="Arial"/>
          <w:bCs/>
          <w:iCs/>
          <w:sz w:val="24"/>
          <w:szCs w:val="24"/>
        </w:rPr>
        <w:t xml:space="preserve">threshold values or </w:t>
      </w:r>
      <w:r w:rsidR="008C050B" w:rsidRPr="003B58FB">
        <w:rPr>
          <w:rFonts w:cs="Arial"/>
          <w:bCs/>
          <w:iCs/>
          <w:sz w:val="24"/>
          <w:szCs w:val="24"/>
        </w:rPr>
        <w:t xml:space="preserve">possible </w:t>
      </w:r>
      <w:r w:rsidR="00CF55AC">
        <w:rPr>
          <w:rFonts w:cs="Arial"/>
          <w:bCs/>
          <w:iCs/>
          <w:sz w:val="24"/>
          <w:szCs w:val="24"/>
        </w:rPr>
        <w:t xml:space="preserve">health-based </w:t>
      </w:r>
      <w:r w:rsidRPr="003B58FB">
        <w:rPr>
          <w:rFonts w:cs="Arial"/>
          <w:bCs/>
          <w:iCs/>
          <w:sz w:val="24"/>
          <w:szCs w:val="24"/>
        </w:rPr>
        <w:t xml:space="preserve">guideline </w:t>
      </w:r>
      <w:r w:rsidR="003B58FB" w:rsidRPr="003B58FB">
        <w:rPr>
          <w:rFonts w:cs="Arial"/>
          <w:bCs/>
          <w:iCs/>
          <w:sz w:val="24"/>
          <w:szCs w:val="24"/>
        </w:rPr>
        <w:t>values</w:t>
      </w:r>
      <w:bookmarkEnd w:id="318"/>
      <w:r w:rsidR="003B58FB" w:rsidRPr="003B58FB">
        <w:rPr>
          <w:rFonts w:cs="Arial"/>
          <w:bCs/>
          <w:iCs/>
          <w:sz w:val="24"/>
          <w:szCs w:val="24"/>
        </w:rPr>
        <w:t>.</w:t>
      </w:r>
      <w:r w:rsidR="005C5929" w:rsidRPr="003B58FB">
        <w:rPr>
          <w:rFonts w:cs="Arial"/>
          <w:bCs/>
          <w:iCs/>
          <w:sz w:val="24"/>
          <w:szCs w:val="24"/>
        </w:rPr>
        <w:t xml:space="preserve"> </w:t>
      </w:r>
    </w:p>
    <w:p w14:paraId="05019999" w14:textId="692EF048" w:rsidR="003A49AD" w:rsidRPr="008C050B" w:rsidRDefault="003A49AD" w:rsidP="008C050B">
      <w:pPr>
        <w:pStyle w:val="ListParagraph"/>
        <w:spacing w:after="120" w:line="360" w:lineRule="auto"/>
        <w:jc w:val="both"/>
        <w:rPr>
          <w:rFonts w:cs="Arial"/>
          <w:bCs/>
          <w:iCs/>
          <w:sz w:val="24"/>
          <w:szCs w:val="24"/>
          <w:highlight w:val="yellow"/>
        </w:rPr>
      </w:pPr>
    </w:p>
    <w:p w14:paraId="0361D788" w14:textId="77777777" w:rsidR="00250D14" w:rsidRPr="000B675B" w:rsidRDefault="00856CBA" w:rsidP="003431D6">
      <w:pPr>
        <w:pStyle w:val="Heading1"/>
        <w:spacing w:before="240" w:after="240"/>
        <w:rPr>
          <w:rFonts w:ascii="Arial" w:hAnsi="Arial" w:cs="Arial"/>
          <w:b w:val="0"/>
          <w:bCs w:val="0"/>
        </w:rPr>
      </w:pPr>
      <w:bookmarkStart w:id="319" w:name="_Toc71195757"/>
      <w:bookmarkStart w:id="320" w:name="_Toc71789300"/>
      <w:r w:rsidRPr="000B675B">
        <w:rPr>
          <w:rFonts w:ascii="Arial" w:hAnsi="Arial" w:cs="Arial"/>
          <w:b w:val="0"/>
          <w:bCs w:val="0"/>
        </w:rPr>
        <w:lastRenderedPageBreak/>
        <w:t>Implementation and Review</w:t>
      </w:r>
      <w:bookmarkEnd w:id="319"/>
      <w:bookmarkEnd w:id="320"/>
      <w:r w:rsidRPr="000B675B">
        <w:rPr>
          <w:rFonts w:ascii="Arial" w:hAnsi="Arial" w:cs="Arial"/>
          <w:b w:val="0"/>
          <w:bCs w:val="0"/>
        </w:rPr>
        <w:t xml:space="preserve"> </w:t>
      </w:r>
    </w:p>
    <w:p w14:paraId="5B962EC2" w14:textId="701F9CD8" w:rsidR="00F14D4F" w:rsidRDefault="00B65E59" w:rsidP="00F14D4F">
      <w:pPr>
        <w:spacing w:line="360" w:lineRule="auto"/>
        <w:jc w:val="both"/>
        <w:rPr>
          <w:sz w:val="24"/>
          <w:szCs w:val="24"/>
        </w:rPr>
      </w:pPr>
      <w:r w:rsidRPr="00B65E59">
        <w:rPr>
          <w:sz w:val="24"/>
          <w:szCs w:val="24"/>
        </w:rPr>
        <w:t xml:space="preserve">If decision makers support changes to the </w:t>
      </w:r>
      <w:r>
        <w:rPr>
          <w:sz w:val="24"/>
          <w:szCs w:val="24"/>
        </w:rPr>
        <w:t>PCA</w:t>
      </w:r>
      <w:r w:rsidRPr="00B65E59">
        <w:rPr>
          <w:sz w:val="24"/>
          <w:szCs w:val="24"/>
        </w:rPr>
        <w:t xml:space="preserve">, the provisions will be included in </w:t>
      </w:r>
      <w:r>
        <w:rPr>
          <w:sz w:val="24"/>
          <w:szCs w:val="24"/>
        </w:rPr>
        <w:t>NCC</w:t>
      </w:r>
      <w:r w:rsidR="009704FB">
        <w:rPr>
          <w:sz w:val="24"/>
          <w:szCs w:val="24"/>
        </w:rPr>
        <w:t> </w:t>
      </w:r>
      <w:r>
        <w:rPr>
          <w:sz w:val="24"/>
          <w:szCs w:val="24"/>
        </w:rPr>
        <w:t>2022</w:t>
      </w:r>
      <w:r w:rsidRPr="00B65E59">
        <w:rPr>
          <w:sz w:val="24"/>
          <w:szCs w:val="24"/>
        </w:rPr>
        <w:t xml:space="preserve">. </w:t>
      </w:r>
      <w:r w:rsidR="004F2CBE" w:rsidRPr="004F2CBE">
        <w:rPr>
          <w:sz w:val="24"/>
          <w:szCs w:val="24"/>
        </w:rPr>
        <w:t xml:space="preserve">As a matter of policy, proposed changes to the </w:t>
      </w:r>
      <w:r w:rsidR="004F2CBE">
        <w:rPr>
          <w:sz w:val="24"/>
          <w:szCs w:val="24"/>
        </w:rPr>
        <w:t>PCA</w:t>
      </w:r>
      <w:r w:rsidR="004F2CBE" w:rsidRPr="004F2CBE">
        <w:rPr>
          <w:sz w:val="24"/>
          <w:szCs w:val="24"/>
        </w:rPr>
        <w:t xml:space="preserve"> are released in advance of implementation to allow time for familiarisation and education and for industry to modify its practices to accommodate the changes.</w:t>
      </w:r>
      <w:r w:rsidR="004F2CBE">
        <w:rPr>
          <w:sz w:val="24"/>
          <w:szCs w:val="24"/>
        </w:rPr>
        <w:t xml:space="preserve"> This would be expected to occur in mid-2021. </w:t>
      </w:r>
      <w:r w:rsidR="00D51DC6" w:rsidRPr="004F2CBE">
        <w:rPr>
          <w:sz w:val="24"/>
          <w:szCs w:val="24"/>
        </w:rPr>
        <w:t xml:space="preserve">It is </w:t>
      </w:r>
      <w:r w:rsidR="00D51DC6">
        <w:rPr>
          <w:sz w:val="24"/>
          <w:szCs w:val="24"/>
        </w:rPr>
        <w:t xml:space="preserve">also </w:t>
      </w:r>
      <w:r w:rsidR="00D51DC6" w:rsidRPr="004F2CBE">
        <w:rPr>
          <w:sz w:val="24"/>
          <w:szCs w:val="24"/>
        </w:rPr>
        <w:t xml:space="preserve">anticipated that </w:t>
      </w:r>
      <w:r w:rsidR="00224C51">
        <w:rPr>
          <w:sz w:val="24"/>
          <w:szCs w:val="24"/>
        </w:rPr>
        <w:t xml:space="preserve">the ABCB, in association with </w:t>
      </w:r>
      <w:r w:rsidR="00F6703E">
        <w:rPr>
          <w:sz w:val="24"/>
          <w:szCs w:val="24"/>
        </w:rPr>
        <w:t>s</w:t>
      </w:r>
      <w:r w:rsidR="00D51DC6" w:rsidRPr="004F2CBE">
        <w:rPr>
          <w:sz w:val="24"/>
          <w:szCs w:val="24"/>
        </w:rPr>
        <w:t xml:space="preserve">tate and </w:t>
      </w:r>
      <w:r w:rsidR="00F6703E">
        <w:rPr>
          <w:sz w:val="24"/>
          <w:szCs w:val="24"/>
        </w:rPr>
        <w:t>t</w:t>
      </w:r>
      <w:r w:rsidR="00D51DC6" w:rsidRPr="004F2CBE">
        <w:rPr>
          <w:sz w:val="24"/>
          <w:szCs w:val="24"/>
        </w:rPr>
        <w:t xml:space="preserve">erritory </w:t>
      </w:r>
      <w:r w:rsidR="00F6703E">
        <w:rPr>
          <w:sz w:val="24"/>
          <w:szCs w:val="24"/>
        </w:rPr>
        <w:t>p</w:t>
      </w:r>
      <w:r w:rsidR="00D51DC6">
        <w:rPr>
          <w:sz w:val="24"/>
          <w:szCs w:val="24"/>
        </w:rPr>
        <w:t>lumbing</w:t>
      </w:r>
      <w:r w:rsidR="00D51DC6" w:rsidRPr="004F2CBE">
        <w:rPr>
          <w:sz w:val="24"/>
          <w:szCs w:val="24"/>
        </w:rPr>
        <w:t xml:space="preserve"> </w:t>
      </w:r>
      <w:r w:rsidR="00F6703E">
        <w:rPr>
          <w:sz w:val="24"/>
          <w:szCs w:val="24"/>
        </w:rPr>
        <w:t>a</w:t>
      </w:r>
      <w:r w:rsidR="00D51DC6" w:rsidRPr="004F2CBE">
        <w:rPr>
          <w:sz w:val="24"/>
          <w:szCs w:val="24"/>
        </w:rPr>
        <w:t xml:space="preserve">dministrations and industry </w:t>
      </w:r>
      <w:r w:rsidR="00A95B2C" w:rsidRPr="004F2CBE">
        <w:rPr>
          <w:sz w:val="24"/>
          <w:szCs w:val="24"/>
        </w:rPr>
        <w:t>organisations, would</w:t>
      </w:r>
      <w:r w:rsidR="00D51DC6" w:rsidRPr="004F2CBE">
        <w:rPr>
          <w:sz w:val="24"/>
          <w:szCs w:val="24"/>
        </w:rPr>
        <w:t xml:space="preserve"> conduct information and awareness raising practices.</w:t>
      </w:r>
    </w:p>
    <w:p w14:paraId="2B8CA4B7" w14:textId="1CDA670F" w:rsidR="00F14D4F" w:rsidRDefault="00F14D4F" w:rsidP="00F14D4F">
      <w:pPr>
        <w:spacing w:line="360" w:lineRule="auto"/>
        <w:jc w:val="both"/>
        <w:rPr>
          <w:sz w:val="24"/>
          <w:szCs w:val="24"/>
        </w:rPr>
      </w:pPr>
      <w:r>
        <w:rPr>
          <w:sz w:val="24"/>
          <w:szCs w:val="24"/>
        </w:rPr>
        <w:t>If the preferred option is implemented, this will have significant impact on the</w:t>
      </w:r>
      <w:r w:rsidR="001D7AEE">
        <w:rPr>
          <w:sz w:val="24"/>
          <w:szCs w:val="24"/>
        </w:rPr>
        <w:t xml:space="preserve"> copper alloy</w:t>
      </w:r>
      <w:r>
        <w:rPr>
          <w:sz w:val="24"/>
          <w:szCs w:val="24"/>
        </w:rPr>
        <w:t xml:space="preserve"> plumbing product supply chain in terms of sourcing suitable raw material, upgrading equipment and the need for retesting with both the new provisions and retesting to AS/NZS 4020.</w:t>
      </w:r>
      <w:r w:rsidR="001D7AEE">
        <w:rPr>
          <w:sz w:val="24"/>
          <w:szCs w:val="24"/>
        </w:rPr>
        <w:t xml:space="preserve"> As such, a suitable transition period is required. </w:t>
      </w:r>
    </w:p>
    <w:p w14:paraId="4D97CAF5" w14:textId="77777777" w:rsidR="00AC2964" w:rsidRDefault="00AC2964" w:rsidP="00F14D4F">
      <w:pPr>
        <w:spacing w:line="360" w:lineRule="auto"/>
        <w:jc w:val="both"/>
        <w:rPr>
          <w:sz w:val="24"/>
          <w:szCs w:val="24"/>
        </w:rPr>
      </w:pPr>
      <w:r>
        <w:rPr>
          <w:sz w:val="24"/>
          <w:szCs w:val="24"/>
        </w:rPr>
        <w:t>There are two possible regulatory mechanisms for transition</w:t>
      </w:r>
      <w:r w:rsidR="006A7248">
        <w:rPr>
          <w:sz w:val="24"/>
          <w:szCs w:val="24"/>
        </w:rPr>
        <w:t>ing</w:t>
      </w:r>
      <w:r w:rsidR="004F2CBE">
        <w:rPr>
          <w:sz w:val="24"/>
          <w:szCs w:val="24"/>
        </w:rPr>
        <w:t xml:space="preserve"> to</w:t>
      </w:r>
      <w:r>
        <w:rPr>
          <w:sz w:val="24"/>
          <w:szCs w:val="24"/>
        </w:rPr>
        <w:t xml:space="preserve"> low lead p</w:t>
      </w:r>
      <w:r w:rsidR="001D7AEE">
        <w:rPr>
          <w:sz w:val="24"/>
          <w:szCs w:val="24"/>
        </w:rPr>
        <w:t>lumbing products in contact with drinking water</w:t>
      </w:r>
      <w:r>
        <w:rPr>
          <w:sz w:val="24"/>
          <w:szCs w:val="24"/>
        </w:rPr>
        <w:t>:</w:t>
      </w:r>
    </w:p>
    <w:p w14:paraId="535207F9" w14:textId="64BD4907" w:rsidR="00AC2964" w:rsidRDefault="00AC2964" w:rsidP="00C36FEE">
      <w:pPr>
        <w:pStyle w:val="ListParagraph"/>
        <w:numPr>
          <w:ilvl w:val="0"/>
          <w:numId w:val="21"/>
        </w:numPr>
        <w:spacing w:line="360" w:lineRule="auto"/>
        <w:jc w:val="both"/>
        <w:rPr>
          <w:sz w:val="24"/>
          <w:szCs w:val="24"/>
        </w:rPr>
      </w:pPr>
      <w:r w:rsidRPr="00AC2964">
        <w:rPr>
          <w:sz w:val="24"/>
          <w:szCs w:val="24"/>
        </w:rPr>
        <w:t>via the PCA</w:t>
      </w:r>
      <w:r w:rsidR="00CF55AC">
        <w:rPr>
          <w:sz w:val="24"/>
          <w:szCs w:val="24"/>
        </w:rPr>
        <w:t>,</w:t>
      </w:r>
      <w:r w:rsidRPr="00AC2964">
        <w:rPr>
          <w:sz w:val="24"/>
          <w:szCs w:val="24"/>
        </w:rPr>
        <w:t xml:space="preserve"> which is amended every 3 years</w:t>
      </w:r>
      <w:r>
        <w:rPr>
          <w:sz w:val="24"/>
          <w:szCs w:val="24"/>
        </w:rPr>
        <w:t xml:space="preserve">; or </w:t>
      </w:r>
    </w:p>
    <w:p w14:paraId="0D08B5AD" w14:textId="43E60CEE" w:rsidR="00AC2964" w:rsidRDefault="00AC2964" w:rsidP="00C36FEE">
      <w:pPr>
        <w:pStyle w:val="ListParagraph"/>
        <w:numPr>
          <w:ilvl w:val="0"/>
          <w:numId w:val="21"/>
        </w:numPr>
        <w:spacing w:line="360" w:lineRule="auto"/>
        <w:jc w:val="both"/>
        <w:rPr>
          <w:sz w:val="24"/>
          <w:szCs w:val="24"/>
        </w:rPr>
      </w:pPr>
      <w:r>
        <w:rPr>
          <w:sz w:val="24"/>
          <w:szCs w:val="24"/>
        </w:rPr>
        <w:t xml:space="preserve">via the </w:t>
      </w:r>
      <w:r w:rsidR="00CB2045">
        <w:rPr>
          <w:sz w:val="24"/>
          <w:szCs w:val="24"/>
        </w:rPr>
        <w:t>renewal</w:t>
      </w:r>
      <w:r>
        <w:rPr>
          <w:sz w:val="24"/>
          <w:szCs w:val="24"/>
        </w:rPr>
        <w:t xml:space="preserve"> </w:t>
      </w:r>
      <w:r w:rsidR="00CB2045">
        <w:rPr>
          <w:sz w:val="24"/>
          <w:szCs w:val="24"/>
        </w:rPr>
        <w:t>of a product</w:t>
      </w:r>
      <w:r w:rsidR="000A6F46">
        <w:rPr>
          <w:sz w:val="24"/>
          <w:szCs w:val="24"/>
        </w:rPr>
        <w:t>’</w:t>
      </w:r>
      <w:r w:rsidR="00242670">
        <w:rPr>
          <w:sz w:val="24"/>
          <w:szCs w:val="24"/>
        </w:rPr>
        <w:t>s WaterMark certificate where p</w:t>
      </w:r>
      <w:r w:rsidR="00CB2045">
        <w:rPr>
          <w:sz w:val="24"/>
          <w:szCs w:val="24"/>
        </w:rPr>
        <w:t>roducts are currently required to r</w:t>
      </w:r>
      <w:r w:rsidR="00B94CE9">
        <w:rPr>
          <w:sz w:val="24"/>
          <w:szCs w:val="24"/>
        </w:rPr>
        <w:t>enew their certification every five</w:t>
      </w:r>
      <w:r w:rsidR="00CB2045">
        <w:rPr>
          <w:sz w:val="24"/>
          <w:szCs w:val="24"/>
        </w:rPr>
        <w:t xml:space="preserve"> years. </w:t>
      </w:r>
    </w:p>
    <w:p w14:paraId="4336EAE5" w14:textId="20B71C31" w:rsidR="005C3417" w:rsidRPr="00901E24" w:rsidRDefault="005C3417" w:rsidP="005C3417">
      <w:pPr>
        <w:pBdr>
          <w:top w:val="single" w:sz="4" w:space="1" w:color="auto"/>
          <w:left w:val="single" w:sz="4" w:space="4" w:color="auto"/>
          <w:bottom w:val="single" w:sz="4" w:space="1" w:color="auto"/>
          <w:right w:val="single" w:sz="4" w:space="4" w:color="auto"/>
        </w:pBdr>
        <w:shd w:val="clear" w:color="auto" w:fill="D9D9D9" w:themeFill="background1" w:themeFillShade="D9"/>
        <w:spacing w:before="130" w:after="130" w:line="360" w:lineRule="auto"/>
        <w:jc w:val="both"/>
        <w:rPr>
          <w:rFonts w:cs="Arial"/>
          <w:sz w:val="24"/>
          <w:szCs w:val="24"/>
        </w:rPr>
      </w:pPr>
      <w:r w:rsidRPr="00CF281D">
        <w:rPr>
          <w:rFonts w:cs="Arial"/>
          <w:sz w:val="24"/>
          <w:szCs w:val="24"/>
        </w:rPr>
        <w:t xml:space="preserve">The Consultation RIS asked stakeholders </w:t>
      </w:r>
      <w:r>
        <w:rPr>
          <w:rFonts w:cs="Arial"/>
          <w:sz w:val="24"/>
          <w:szCs w:val="24"/>
        </w:rPr>
        <w:t>whether they believed a transitional period was required and</w:t>
      </w:r>
      <w:r w:rsidR="009704FB">
        <w:rPr>
          <w:rFonts w:cs="Arial"/>
          <w:sz w:val="24"/>
          <w:szCs w:val="24"/>
        </w:rPr>
        <w:t>,</w:t>
      </w:r>
      <w:r>
        <w:rPr>
          <w:rFonts w:cs="Arial"/>
          <w:sz w:val="24"/>
          <w:szCs w:val="24"/>
        </w:rPr>
        <w:t xml:space="preserve"> if so, what time period </w:t>
      </w:r>
      <w:r w:rsidR="00C44D62">
        <w:rPr>
          <w:rFonts w:cs="Arial"/>
          <w:sz w:val="24"/>
          <w:szCs w:val="24"/>
        </w:rPr>
        <w:t>was suitable</w:t>
      </w:r>
      <w:r w:rsidRPr="00CF281D">
        <w:rPr>
          <w:rFonts w:cs="Arial"/>
          <w:sz w:val="24"/>
          <w:szCs w:val="24"/>
        </w:rPr>
        <w:t>.</w:t>
      </w:r>
    </w:p>
    <w:p w14:paraId="2CDE3D71" w14:textId="5369D103" w:rsidR="008C37CE" w:rsidRDefault="008C37CE" w:rsidP="00F157BE">
      <w:pPr>
        <w:spacing w:before="240" w:line="360" w:lineRule="auto"/>
        <w:jc w:val="both"/>
        <w:rPr>
          <w:sz w:val="24"/>
          <w:szCs w:val="24"/>
        </w:rPr>
      </w:pPr>
      <w:r>
        <w:rPr>
          <w:sz w:val="24"/>
          <w:szCs w:val="24"/>
        </w:rPr>
        <w:t>Industry groups</w:t>
      </w:r>
      <w:r w:rsidR="009704FB">
        <w:rPr>
          <w:sz w:val="24"/>
          <w:szCs w:val="24"/>
        </w:rPr>
        <w:t>,</w:t>
      </w:r>
      <w:r>
        <w:rPr>
          <w:sz w:val="24"/>
          <w:szCs w:val="24"/>
        </w:rPr>
        <w:t xml:space="preserve"> in particular</w:t>
      </w:r>
      <w:r w:rsidR="009704FB">
        <w:rPr>
          <w:sz w:val="24"/>
          <w:szCs w:val="24"/>
        </w:rPr>
        <w:t>,</w:t>
      </w:r>
      <w:r>
        <w:rPr>
          <w:sz w:val="24"/>
          <w:szCs w:val="24"/>
        </w:rPr>
        <w:t xml:space="preserve"> saw the need for a transi</w:t>
      </w:r>
      <w:r w:rsidR="0099470E">
        <w:rPr>
          <w:sz w:val="24"/>
          <w:szCs w:val="24"/>
        </w:rPr>
        <w:t>ti</w:t>
      </w:r>
      <w:r>
        <w:rPr>
          <w:sz w:val="24"/>
          <w:szCs w:val="24"/>
        </w:rPr>
        <w:t xml:space="preserve">on period to be the key issue to be addressed. </w:t>
      </w:r>
    </w:p>
    <w:p w14:paraId="64E7E141" w14:textId="16428FC0" w:rsidR="00C44D62" w:rsidRDefault="00C44D62" w:rsidP="00F157BE">
      <w:pPr>
        <w:spacing w:before="240" w:line="360" w:lineRule="auto"/>
        <w:jc w:val="both"/>
        <w:rPr>
          <w:sz w:val="24"/>
          <w:szCs w:val="24"/>
        </w:rPr>
      </w:pPr>
      <w:r>
        <w:rPr>
          <w:sz w:val="24"/>
          <w:szCs w:val="24"/>
        </w:rPr>
        <w:t>A</w:t>
      </w:r>
      <w:r w:rsidRPr="00F157BE">
        <w:rPr>
          <w:sz w:val="24"/>
          <w:szCs w:val="24"/>
        </w:rPr>
        <w:t xml:space="preserve"> majority </w:t>
      </w:r>
      <w:r w:rsidR="00461BDE">
        <w:rPr>
          <w:sz w:val="24"/>
          <w:szCs w:val="24"/>
        </w:rPr>
        <w:t xml:space="preserve">of respondents </w:t>
      </w:r>
      <w:r>
        <w:rPr>
          <w:sz w:val="24"/>
          <w:szCs w:val="24"/>
        </w:rPr>
        <w:t xml:space="preserve">(85%) felt that a </w:t>
      </w:r>
      <w:r w:rsidR="005009C1">
        <w:rPr>
          <w:sz w:val="24"/>
          <w:szCs w:val="24"/>
        </w:rPr>
        <w:t>transition</w:t>
      </w:r>
      <w:r>
        <w:rPr>
          <w:sz w:val="24"/>
          <w:szCs w:val="24"/>
        </w:rPr>
        <w:t xml:space="preserve"> period was required</w:t>
      </w:r>
      <w:r w:rsidR="00461BDE">
        <w:rPr>
          <w:sz w:val="24"/>
          <w:szCs w:val="24"/>
        </w:rPr>
        <w:t xml:space="preserve"> when implementing Option 2</w:t>
      </w:r>
      <w:r>
        <w:rPr>
          <w:sz w:val="24"/>
          <w:szCs w:val="24"/>
        </w:rPr>
        <w:t xml:space="preserve">. This </w:t>
      </w:r>
      <w:r w:rsidR="00CF55AC">
        <w:rPr>
          <w:sz w:val="24"/>
          <w:szCs w:val="24"/>
        </w:rPr>
        <w:t xml:space="preserve">was </w:t>
      </w:r>
      <w:r w:rsidR="008C37CE">
        <w:rPr>
          <w:sz w:val="24"/>
          <w:szCs w:val="24"/>
        </w:rPr>
        <w:t>due to</w:t>
      </w:r>
      <w:r>
        <w:rPr>
          <w:sz w:val="24"/>
          <w:szCs w:val="24"/>
        </w:rPr>
        <w:t xml:space="preserve"> the change in manufacturing processes and consequent retesting required by the accredited laboratories </w:t>
      </w:r>
      <w:r w:rsidR="008C37CE">
        <w:rPr>
          <w:sz w:val="24"/>
          <w:szCs w:val="24"/>
        </w:rPr>
        <w:t>being</w:t>
      </w:r>
      <w:r>
        <w:rPr>
          <w:sz w:val="24"/>
          <w:szCs w:val="24"/>
        </w:rPr>
        <w:t xml:space="preserve"> significant. </w:t>
      </w:r>
    </w:p>
    <w:p w14:paraId="2EB96636" w14:textId="7C90490C" w:rsidR="00461BDE" w:rsidRPr="00461BDE" w:rsidRDefault="00461BDE" w:rsidP="00461BDE">
      <w:pPr>
        <w:spacing w:before="240" w:line="360" w:lineRule="auto"/>
        <w:jc w:val="both"/>
        <w:rPr>
          <w:sz w:val="24"/>
          <w:szCs w:val="24"/>
        </w:rPr>
      </w:pPr>
      <w:r w:rsidRPr="00461BDE">
        <w:rPr>
          <w:sz w:val="24"/>
          <w:szCs w:val="24"/>
        </w:rPr>
        <w:t>Opinions on the duration of the</w:t>
      </w:r>
      <w:r w:rsidR="00242670">
        <w:rPr>
          <w:sz w:val="24"/>
          <w:szCs w:val="24"/>
        </w:rPr>
        <w:t xml:space="preserve"> transition period required were</w:t>
      </w:r>
      <w:r w:rsidRPr="00461BDE">
        <w:rPr>
          <w:sz w:val="24"/>
          <w:szCs w:val="24"/>
        </w:rPr>
        <w:t xml:space="preserve"> mixed, with 47% recommending a 3-year t</w:t>
      </w:r>
      <w:r w:rsidR="00B94CE9">
        <w:rPr>
          <w:sz w:val="24"/>
          <w:szCs w:val="24"/>
        </w:rPr>
        <w:t>ransition and 38% recommending five</w:t>
      </w:r>
      <w:r w:rsidRPr="00461BDE">
        <w:rPr>
          <w:sz w:val="24"/>
          <w:szCs w:val="24"/>
        </w:rPr>
        <w:t xml:space="preserve"> years. Of those who advocated for the longer duration, most were manufacturers or industry groups with an in-depth understanding of the practical implications new requirements would have on domestic manufacturing and the time required to sell-</w:t>
      </w:r>
      <w:r w:rsidR="00242670">
        <w:rPr>
          <w:sz w:val="24"/>
          <w:szCs w:val="24"/>
        </w:rPr>
        <w:t>down</w:t>
      </w:r>
      <w:r w:rsidRPr="00461BDE">
        <w:rPr>
          <w:sz w:val="24"/>
          <w:szCs w:val="24"/>
        </w:rPr>
        <w:t xml:space="preserve"> existing stock.</w:t>
      </w:r>
    </w:p>
    <w:p w14:paraId="1992F92A" w14:textId="07D10607" w:rsidR="00B34883" w:rsidRPr="00F157BE" w:rsidRDefault="004A749E" w:rsidP="00F157BE">
      <w:pPr>
        <w:spacing w:line="360" w:lineRule="auto"/>
        <w:jc w:val="both"/>
        <w:rPr>
          <w:rFonts w:cs="Arial"/>
          <w:sz w:val="24"/>
          <w:szCs w:val="24"/>
        </w:rPr>
      </w:pPr>
      <w:r>
        <w:rPr>
          <w:rFonts w:cs="Arial"/>
          <w:sz w:val="24"/>
          <w:szCs w:val="24"/>
        </w:rPr>
        <w:lastRenderedPageBreak/>
        <w:t>Impacted i</w:t>
      </w:r>
      <w:r w:rsidR="003108B7">
        <w:rPr>
          <w:rFonts w:cs="Arial"/>
          <w:sz w:val="24"/>
          <w:szCs w:val="24"/>
        </w:rPr>
        <w:t>ndustry</w:t>
      </w:r>
      <w:r w:rsidR="001E1A8F">
        <w:rPr>
          <w:rFonts w:cs="Arial"/>
          <w:sz w:val="24"/>
          <w:szCs w:val="24"/>
        </w:rPr>
        <w:t xml:space="preserve"> bodies (Ai Group, </w:t>
      </w:r>
      <w:r>
        <w:rPr>
          <w:rFonts w:cs="Arial"/>
          <w:sz w:val="24"/>
          <w:szCs w:val="24"/>
        </w:rPr>
        <w:t xml:space="preserve">AWHF, </w:t>
      </w:r>
      <w:r w:rsidR="001E1A8F">
        <w:rPr>
          <w:rFonts w:cs="Arial"/>
          <w:sz w:val="24"/>
          <w:szCs w:val="24"/>
        </w:rPr>
        <w:t>HIA,</w:t>
      </w:r>
      <w:r>
        <w:rPr>
          <w:rFonts w:cs="Arial"/>
          <w:sz w:val="24"/>
          <w:szCs w:val="24"/>
        </w:rPr>
        <w:t xml:space="preserve"> </w:t>
      </w:r>
      <w:r w:rsidR="0032533C">
        <w:rPr>
          <w:rFonts w:cs="Arial"/>
          <w:sz w:val="24"/>
          <w:szCs w:val="24"/>
        </w:rPr>
        <w:t>a product material association</w:t>
      </w:r>
      <w:r>
        <w:rPr>
          <w:rFonts w:cs="Arial"/>
          <w:sz w:val="24"/>
          <w:szCs w:val="24"/>
        </w:rPr>
        <w:t>,</w:t>
      </w:r>
      <w:r w:rsidR="001E1A8F">
        <w:rPr>
          <w:rFonts w:cs="Arial"/>
          <w:sz w:val="24"/>
          <w:szCs w:val="24"/>
        </w:rPr>
        <w:t xml:space="preserve"> </w:t>
      </w:r>
      <w:r w:rsidR="00362D62">
        <w:rPr>
          <w:rFonts w:cs="Arial"/>
          <w:sz w:val="24"/>
          <w:szCs w:val="24"/>
        </w:rPr>
        <w:t>a state industry association</w:t>
      </w:r>
      <w:r w:rsidR="008C37CE">
        <w:rPr>
          <w:rFonts w:cs="Arial"/>
          <w:sz w:val="24"/>
          <w:szCs w:val="24"/>
        </w:rPr>
        <w:t xml:space="preserve">, </w:t>
      </w:r>
      <w:r w:rsidR="001E1A8F">
        <w:rPr>
          <w:rFonts w:cs="Arial"/>
          <w:sz w:val="24"/>
          <w:szCs w:val="24"/>
        </w:rPr>
        <w:t>PPI Group</w:t>
      </w:r>
      <w:r>
        <w:rPr>
          <w:rFonts w:cs="Arial"/>
          <w:sz w:val="24"/>
          <w:szCs w:val="24"/>
        </w:rPr>
        <w:t>, WSAA</w:t>
      </w:r>
      <w:r w:rsidR="001E1A8F">
        <w:rPr>
          <w:rFonts w:cs="Arial"/>
          <w:sz w:val="24"/>
          <w:szCs w:val="24"/>
        </w:rPr>
        <w:t xml:space="preserve">) </w:t>
      </w:r>
      <w:r w:rsidR="008C37CE">
        <w:rPr>
          <w:rFonts w:cs="Arial"/>
          <w:sz w:val="24"/>
          <w:szCs w:val="24"/>
        </w:rPr>
        <w:t xml:space="preserve">all supported a 5-year transition period </w:t>
      </w:r>
      <w:r w:rsidR="00657004">
        <w:rPr>
          <w:rFonts w:cs="Arial"/>
          <w:sz w:val="24"/>
          <w:szCs w:val="24"/>
        </w:rPr>
        <w:t xml:space="preserve">with </w:t>
      </w:r>
      <w:r w:rsidR="00CF55AC">
        <w:rPr>
          <w:rFonts w:cs="Arial"/>
          <w:sz w:val="24"/>
          <w:szCs w:val="24"/>
        </w:rPr>
        <w:t xml:space="preserve">many of these groups </w:t>
      </w:r>
      <w:r w:rsidR="009704FB">
        <w:rPr>
          <w:rFonts w:cs="Arial"/>
          <w:sz w:val="24"/>
          <w:szCs w:val="24"/>
        </w:rPr>
        <w:t>arguing</w:t>
      </w:r>
      <w:r w:rsidR="00B34883" w:rsidRPr="00F157BE">
        <w:rPr>
          <w:rFonts w:cs="Arial"/>
          <w:sz w:val="24"/>
          <w:szCs w:val="24"/>
        </w:rPr>
        <w:t xml:space="preserve"> that the need for an adequate transition warranted significantly more discussion with industry given the scale of </w:t>
      </w:r>
      <w:r w:rsidR="008C37CE">
        <w:rPr>
          <w:rFonts w:cs="Arial"/>
          <w:sz w:val="24"/>
          <w:szCs w:val="24"/>
        </w:rPr>
        <w:t>change</w:t>
      </w:r>
      <w:r w:rsidR="00B34883" w:rsidRPr="00F157BE">
        <w:rPr>
          <w:rFonts w:cs="Arial"/>
          <w:sz w:val="24"/>
          <w:szCs w:val="24"/>
        </w:rPr>
        <w:t xml:space="preserve"> that</w:t>
      </w:r>
      <w:r w:rsidR="00B34883" w:rsidRPr="00A5388F">
        <w:rPr>
          <w:rFonts w:cs="Arial"/>
          <w:sz w:val="24"/>
          <w:szCs w:val="24"/>
        </w:rPr>
        <w:t xml:space="preserve"> </w:t>
      </w:r>
      <w:r w:rsidR="00B34883" w:rsidRPr="00A86FFA">
        <w:rPr>
          <w:rFonts w:cs="Arial"/>
          <w:sz w:val="24"/>
          <w:szCs w:val="24"/>
        </w:rPr>
        <w:t>would</w:t>
      </w:r>
      <w:r w:rsidR="00B34883" w:rsidRPr="00F157BE">
        <w:rPr>
          <w:rFonts w:cs="Arial"/>
          <w:sz w:val="24"/>
          <w:szCs w:val="24"/>
        </w:rPr>
        <w:t xml:space="preserve"> be required across the whole supply chain including:</w:t>
      </w:r>
    </w:p>
    <w:p w14:paraId="366D880A" w14:textId="4B796EB0" w:rsidR="00B34883" w:rsidRPr="00F157BE" w:rsidRDefault="00B34883" w:rsidP="00DF50F2">
      <w:pPr>
        <w:pStyle w:val="ListParagraph"/>
        <w:numPr>
          <w:ilvl w:val="0"/>
          <w:numId w:val="41"/>
        </w:numPr>
        <w:spacing w:line="360" w:lineRule="auto"/>
        <w:jc w:val="both"/>
        <w:rPr>
          <w:rFonts w:cs="Arial"/>
          <w:sz w:val="24"/>
          <w:szCs w:val="24"/>
        </w:rPr>
      </w:pPr>
      <w:r w:rsidRPr="00F157BE">
        <w:rPr>
          <w:rFonts w:cs="Arial"/>
          <w:sz w:val="24"/>
          <w:szCs w:val="24"/>
        </w:rPr>
        <w:t>obtaining raw material for producing low lead products,</w:t>
      </w:r>
    </w:p>
    <w:p w14:paraId="2308C1EC" w14:textId="77777777" w:rsidR="00B34883" w:rsidRDefault="00B34883" w:rsidP="00DF50F2">
      <w:pPr>
        <w:pStyle w:val="ListParagraph"/>
        <w:numPr>
          <w:ilvl w:val="0"/>
          <w:numId w:val="41"/>
        </w:numPr>
        <w:spacing w:line="360" w:lineRule="auto"/>
        <w:jc w:val="both"/>
        <w:rPr>
          <w:rFonts w:cs="Arial"/>
          <w:sz w:val="24"/>
          <w:szCs w:val="24"/>
        </w:rPr>
      </w:pPr>
      <w:r w:rsidRPr="00F157BE">
        <w:rPr>
          <w:rFonts w:cs="Arial"/>
          <w:sz w:val="24"/>
          <w:szCs w:val="24"/>
        </w:rPr>
        <w:t>the need for re-tooling,</w:t>
      </w:r>
    </w:p>
    <w:p w14:paraId="22044FDB" w14:textId="77777777" w:rsidR="004D3A57" w:rsidRDefault="004D3A57" w:rsidP="00DF50F2">
      <w:pPr>
        <w:pStyle w:val="ListParagraph"/>
        <w:numPr>
          <w:ilvl w:val="0"/>
          <w:numId w:val="41"/>
        </w:numPr>
        <w:spacing w:line="360" w:lineRule="auto"/>
        <w:jc w:val="both"/>
        <w:rPr>
          <w:rFonts w:cs="Arial"/>
          <w:sz w:val="24"/>
          <w:szCs w:val="24"/>
        </w:rPr>
      </w:pPr>
      <w:r>
        <w:rPr>
          <w:rFonts w:cs="Arial"/>
          <w:sz w:val="24"/>
          <w:szCs w:val="24"/>
        </w:rPr>
        <w:t>product redesign,</w:t>
      </w:r>
    </w:p>
    <w:p w14:paraId="1A784539" w14:textId="77777777" w:rsidR="004D3A57" w:rsidRPr="009B446C" w:rsidRDefault="004D3A57" w:rsidP="00DF50F2">
      <w:pPr>
        <w:pStyle w:val="ListParagraph"/>
        <w:numPr>
          <w:ilvl w:val="0"/>
          <w:numId w:val="41"/>
        </w:numPr>
        <w:spacing w:line="360" w:lineRule="auto"/>
        <w:jc w:val="both"/>
        <w:rPr>
          <w:rFonts w:cs="Arial"/>
          <w:sz w:val="24"/>
          <w:szCs w:val="24"/>
        </w:rPr>
      </w:pPr>
      <w:r>
        <w:rPr>
          <w:rFonts w:cs="Arial"/>
          <w:sz w:val="24"/>
          <w:szCs w:val="24"/>
        </w:rPr>
        <w:t>reskilling plant operators who would be dealing with a new raw material,</w:t>
      </w:r>
    </w:p>
    <w:p w14:paraId="13046C2F" w14:textId="77777777" w:rsidR="004D3A57" w:rsidRPr="00F157BE" w:rsidRDefault="004D3A57" w:rsidP="00DF50F2">
      <w:pPr>
        <w:pStyle w:val="ListParagraph"/>
        <w:numPr>
          <w:ilvl w:val="0"/>
          <w:numId w:val="41"/>
        </w:numPr>
        <w:spacing w:line="360" w:lineRule="auto"/>
        <w:jc w:val="both"/>
        <w:rPr>
          <w:rFonts w:cs="Arial"/>
          <w:sz w:val="24"/>
          <w:szCs w:val="24"/>
        </w:rPr>
      </w:pPr>
      <w:r>
        <w:rPr>
          <w:rFonts w:cs="Arial"/>
          <w:sz w:val="24"/>
          <w:szCs w:val="24"/>
        </w:rPr>
        <w:t>reassessing quality control functions,</w:t>
      </w:r>
    </w:p>
    <w:p w14:paraId="2BB6FDB3" w14:textId="2773356B" w:rsidR="00B34883" w:rsidRPr="00F157BE" w:rsidRDefault="00242670" w:rsidP="00DF50F2">
      <w:pPr>
        <w:pStyle w:val="ListParagraph"/>
        <w:numPr>
          <w:ilvl w:val="0"/>
          <w:numId w:val="41"/>
        </w:numPr>
        <w:spacing w:line="360" w:lineRule="auto"/>
        <w:jc w:val="both"/>
        <w:rPr>
          <w:rFonts w:cs="Arial"/>
          <w:sz w:val="24"/>
          <w:szCs w:val="24"/>
        </w:rPr>
      </w:pPr>
      <w:r>
        <w:rPr>
          <w:rFonts w:cs="Arial"/>
          <w:sz w:val="24"/>
          <w:szCs w:val="24"/>
        </w:rPr>
        <w:t>selling-</w:t>
      </w:r>
      <w:r w:rsidR="00B34883" w:rsidRPr="00F157BE">
        <w:rPr>
          <w:rFonts w:cs="Arial"/>
          <w:sz w:val="24"/>
          <w:szCs w:val="24"/>
        </w:rPr>
        <w:t xml:space="preserve">down of current products, </w:t>
      </w:r>
    </w:p>
    <w:p w14:paraId="262F7F77" w14:textId="66499C2E" w:rsidR="00B34883" w:rsidRPr="00F157BE" w:rsidRDefault="00242670" w:rsidP="00DF50F2">
      <w:pPr>
        <w:pStyle w:val="ListParagraph"/>
        <w:numPr>
          <w:ilvl w:val="0"/>
          <w:numId w:val="41"/>
        </w:numPr>
        <w:spacing w:line="360" w:lineRule="auto"/>
        <w:jc w:val="both"/>
        <w:rPr>
          <w:rFonts w:cs="Arial"/>
          <w:sz w:val="24"/>
          <w:szCs w:val="24"/>
        </w:rPr>
      </w:pPr>
      <w:r>
        <w:rPr>
          <w:rFonts w:cs="Arial"/>
          <w:sz w:val="24"/>
          <w:szCs w:val="24"/>
        </w:rPr>
        <w:t>re</w:t>
      </w:r>
      <w:r w:rsidR="00B34883" w:rsidRPr="00F157BE">
        <w:rPr>
          <w:rFonts w:cs="Arial"/>
          <w:sz w:val="24"/>
          <w:szCs w:val="24"/>
        </w:rPr>
        <w:t xml:space="preserve">testing and re-certification of all existing products. </w:t>
      </w:r>
    </w:p>
    <w:p w14:paraId="0739BDFE" w14:textId="4AEAF643" w:rsidR="003A49AD" w:rsidRPr="00F157BE" w:rsidRDefault="00586AE8" w:rsidP="00B34883">
      <w:pPr>
        <w:spacing w:line="360" w:lineRule="auto"/>
        <w:jc w:val="both"/>
        <w:rPr>
          <w:sz w:val="24"/>
          <w:szCs w:val="24"/>
        </w:rPr>
      </w:pPr>
      <w:r>
        <w:rPr>
          <w:rFonts w:cs="Arial"/>
          <w:sz w:val="24"/>
          <w:szCs w:val="24"/>
        </w:rPr>
        <w:t>Adding further support to their preferred</w:t>
      </w:r>
      <w:r w:rsidR="00B34883" w:rsidRPr="00F157BE">
        <w:rPr>
          <w:rFonts w:cs="Arial"/>
          <w:sz w:val="24"/>
          <w:szCs w:val="24"/>
        </w:rPr>
        <w:t xml:space="preserve"> </w:t>
      </w:r>
      <w:r w:rsidR="003108B7" w:rsidRPr="00F157BE">
        <w:rPr>
          <w:rFonts w:cs="Arial"/>
          <w:sz w:val="24"/>
          <w:szCs w:val="24"/>
        </w:rPr>
        <w:t>5</w:t>
      </w:r>
      <w:r w:rsidR="003108B7">
        <w:rPr>
          <w:rFonts w:cs="Arial"/>
          <w:sz w:val="24"/>
          <w:szCs w:val="24"/>
        </w:rPr>
        <w:t>-year</w:t>
      </w:r>
      <w:r w:rsidR="00B34883" w:rsidRPr="00F157BE">
        <w:rPr>
          <w:rFonts w:cs="Arial"/>
          <w:sz w:val="24"/>
          <w:szCs w:val="24"/>
        </w:rPr>
        <w:t xml:space="preserve"> transition</w:t>
      </w:r>
      <w:r w:rsidR="009704FB">
        <w:rPr>
          <w:rFonts w:cs="Arial"/>
          <w:sz w:val="24"/>
          <w:szCs w:val="24"/>
        </w:rPr>
        <w:t>,</w:t>
      </w:r>
      <w:r w:rsidR="00B34883" w:rsidRPr="00F157BE">
        <w:rPr>
          <w:sz w:val="24"/>
          <w:szCs w:val="24"/>
        </w:rPr>
        <w:t xml:space="preserve"> manufacturers</w:t>
      </w:r>
      <w:r w:rsidR="00B94CE9">
        <w:rPr>
          <w:sz w:val="24"/>
          <w:szCs w:val="24"/>
        </w:rPr>
        <w:t xml:space="preserve"> and suppliers indicat</w:t>
      </w:r>
      <w:r w:rsidR="009704FB">
        <w:rPr>
          <w:sz w:val="24"/>
          <w:szCs w:val="24"/>
        </w:rPr>
        <w:t>ed</w:t>
      </w:r>
      <w:r w:rsidR="00B94CE9">
        <w:rPr>
          <w:sz w:val="24"/>
          <w:szCs w:val="24"/>
        </w:rPr>
        <w:t xml:space="preserve"> that five</w:t>
      </w:r>
      <w:r w:rsidR="00B34883" w:rsidRPr="00F157BE">
        <w:rPr>
          <w:sz w:val="24"/>
          <w:szCs w:val="24"/>
        </w:rPr>
        <w:t xml:space="preserve"> years would </w:t>
      </w:r>
      <w:r w:rsidR="003A49AD" w:rsidRPr="00F157BE">
        <w:rPr>
          <w:sz w:val="24"/>
          <w:szCs w:val="24"/>
        </w:rPr>
        <w:t>still present challenges</w:t>
      </w:r>
      <w:r w:rsidR="00B34883" w:rsidRPr="00F157BE">
        <w:rPr>
          <w:sz w:val="24"/>
          <w:szCs w:val="24"/>
        </w:rPr>
        <w:t xml:space="preserve"> as they </w:t>
      </w:r>
      <w:r>
        <w:rPr>
          <w:sz w:val="24"/>
          <w:szCs w:val="24"/>
        </w:rPr>
        <w:t>meet current demands</w:t>
      </w:r>
      <w:r w:rsidR="00B34883" w:rsidRPr="00F157BE">
        <w:rPr>
          <w:sz w:val="24"/>
          <w:szCs w:val="24"/>
        </w:rPr>
        <w:t>, before obtaining raw materials, re-tooling, testing, certification, etc.</w:t>
      </w:r>
      <w:r w:rsidR="003A49AD" w:rsidRPr="00F157BE">
        <w:rPr>
          <w:sz w:val="24"/>
          <w:szCs w:val="24"/>
        </w:rPr>
        <w:t xml:space="preserve"> could occur. </w:t>
      </w:r>
      <w:r w:rsidR="004D3A57">
        <w:rPr>
          <w:sz w:val="24"/>
          <w:szCs w:val="24"/>
        </w:rPr>
        <w:t>Current uncertainty regarding the impacts of C</w:t>
      </w:r>
      <w:r w:rsidR="009704FB">
        <w:rPr>
          <w:sz w:val="24"/>
          <w:szCs w:val="24"/>
        </w:rPr>
        <w:t>OVID</w:t>
      </w:r>
      <w:r w:rsidR="004D3A57">
        <w:rPr>
          <w:sz w:val="24"/>
          <w:szCs w:val="24"/>
        </w:rPr>
        <w:t xml:space="preserve">-19 and ongoing border closures also added </w:t>
      </w:r>
      <w:r w:rsidR="00FC5381">
        <w:rPr>
          <w:sz w:val="24"/>
          <w:szCs w:val="24"/>
        </w:rPr>
        <w:t xml:space="preserve">to calls for a longer time period with one </w:t>
      </w:r>
      <w:r w:rsidR="0099470E">
        <w:rPr>
          <w:sz w:val="24"/>
          <w:szCs w:val="24"/>
        </w:rPr>
        <w:t>manufacturer</w:t>
      </w:r>
      <w:r w:rsidR="00FC5381">
        <w:rPr>
          <w:sz w:val="24"/>
          <w:szCs w:val="24"/>
        </w:rPr>
        <w:t xml:space="preserve"> (Enware) requesting the </w:t>
      </w:r>
      <w:r w:rsidR="0099470E">
        <w:rPr>
          <w:sz w:val="24"/>
          <w:szCs w:val="24"/>
        </w:rPr>
        <w:t>5-year</w:t>
      </w:r>
      <w:r w:rsidR="00FC5381">
        <w:rPr>
          <w:sz w:val="24"/>
          <w:szCs w:val="24"/>
        </w:rPr>
        <w:t xml:space="preserve"> </w:t>
      </w:r>
      <w:r w:rsidR="0099470E">
        <w:rPr>
          <w:sz w:val="24"/>
          <w:szCs w:val="24"/>
        </w:rPr>
        <w:t>transition</w:t>
      </w:r>
      <w:r w:rsidR="00FC5381">
        <w:rPr>
          <w:sz w:val="24"/>
          <w:szCs w:val="24"/>
        </w:rPr>
        <w:t xml:space="preserve"> commence after border restrictions had eased. </w:t>
      </w:r>
    </w:p>
    <w:p w14:paraId="4D3A70DF" w14:textId="50B1FFB0" w:rsidR="00CA4D06" w:rsidRPr="00F71134" w:rsidRDefault="00CA4D06" w:rsidP="00CA4D06">
      <w:pPr>
        <w:spacing w:line="360" w:lineRule="auto"/>
        <w:jc w:val="both"/>
        <w:rPr>
          <w:sz w:val="24"/>
          <w:szCs w:val="24"/>
        </w:rPr>
      </w:pPr>
      <w:r w:rsidRPr="00F71134">
        <w:rPr>
          <w:sz w:val="24"/>
          <w:szCs w:val="24"/>
        </w:rPr>
        <w:t>Accredited testing laboratories and industry groups have expressed preference with aligning the commencement of the new requirements with the WMCS. This would result in a 5-year transition period</w:t>
      </w:r>
      <w:r>
        <w:rPr>
          <w:sz w:val="24"/>
          <w:szCs w:val="24"/>
        </w:rPr>
        <w:t>. It would also allow for the expiration of existing WaterMark certificates, allowing normal process of re/certification to WaterMark to manage compliance and labelling.</w:t>
      </w:r>
      <w:r w:rsidRPr="00F71134">
        <w:rPr>
          <w:sz w:val="24"/>
          <w:szCs w:val="24"/>
        </w:rPr>
        <w:t xml:space="preserve"> </w:t>
      </w:r>
    </w:p>
    <w:p w14:paraId="5608EC4F" w14:textId="369FAC66" w:rsidR="001E1A8F" w:rsidRDefault="003A49AD" w:rsidP="00CA4D06">
      <w:pPr>
        <w:spacing w:line="360" w:lineRule="auto"/>
        <w:jc w:val="both"/>
        <w:rPr>
          <w:rFonts w:cs="Arial"/>
          <w:sz w:val="24"/>
          <w:szCs w:val="24"/>
        </w:rPr>
      </w:pPr>
      <w:r w:rsidRPr="00F157BE">
        <w:rPr>
          <w:sz w:val="24"/>
          <w:szCs w:val="24"/>
        </w:rPr>
        <w:t>Given the concerns of industry</w:t>
      </w:r>
      <w:r w:rsidR="00586AE8">
        <w:rPr>
          <w:sz w:val="24"/>
          <w:szCs w:val="24"/>
        </w:rPr>
        <w:t>,</w:t>
      </w:r>
      <w:r w:rsidRPr="00F157BE">
        <w:rPr>
          <w:sz w:val="24"/>
          <w:szCs w:val="24"/>
        </w:rPr>
        <w:t xml:space="preserve"> </w:t>
      </w:r>
      <w:r w:rsidR="00C36FEE">
        <w:rPr>
          <w:sz w:val="24"/>
          <w:szCs w:val="24"/>
        </w:rPr>
        <w:t xml:space="preserve">it is recommended that </w:t>
      </w:r>
      <w:r w:rsidR="00FB1444">
        <w:rPr>
          <w:sz w:val="24"/>
          <w:szCs w:val="24"/>
        </w:rPr>
        <w:t>an implementation plan</w:t>
      </w:r>
      <w:r w:rsidR="00C36FEE">
        <w:rPr>
          <w:sz w:val="24"/>
          <w:szCs w:val="24"/>
        </w:rPr>
        <w:t xml:space="preserve"> be developed</w:t>
      </w:r>
      <w:r w:rsidR="00FB1444">
        <w:rPr>
          <w:sz w:val="24"/>
          <w:szCs w:val="24"/>
        </w:rPr>
        <w:t xml:space="preserve"> </w:t>
      </w:r>
      <w:r w:rsidR="00C36FEE">
        <w:rPr>
          <w:sz w:val="24"/>
          <w:szCs w:val="24"/>
        </w:rPr>
        <w:t>in</w:t>
      </w:r>
      <w:r w:rsidR="001E1A8F">
        <w:rPr>
          <w:sz w:val="24"/>
          <w:szCs w:val="24"/>
        </w:rPr>
        <w:t xml:space="preserve"> consul</w:t>
      </w:r>
      <w:r w:rsidR="00461BDE">
        <w:rPr>
          <w:sz w:val="24"/>
          <w:szCs w:val="24"/>
        </w:rPr>
        <w:t>t</w:t>
      </w:r>
      <w:r w:rsidR="001E1A8F">
        <w:rPr>
          <w:sz w:val="24"/>
          <w:szCs w:val="24"/>
        </w:rPr>
        <w:t xml:space="preserve">ation </w:t>
      </w:r>
      <w:r w:rsidR="00C36FEE">
        <w:rPr>
          <w:sz w:val="24"/>
          <w:szCs w:val="24"/>
        </w:rPr>
        <w:t xml:space="preserve">with plumbing industry groups and testing laboratories to </w:t>
      </w:r>
      <w:r w:rsidR="001E1A8F">
        <w:rPr>
          <w:rFonts w:cs="Arial"/>
          <w:sz w:val="24"/>
          <w:szCs w:val="24"/>
        </w:rPr>
        <w:t xml:space="preserve">ensure key milestones and review points can be established </w:t>
      </w:r>
      <w:r w:rsidR="00D32A04">
        <w:rPr>
          <w:rFonts w:cs="Arial"/>
          <w:sz w:val="24"/>
          <w:szCs w:val="24"/>
        </w:rPr>
        <w:t xml:space="preserve">for </w:t>
      </w:r>
      <w:r w:rsidR="001E1A8F">
        <w:rPr>
          <w:rFonts w:cs="Arial"/>
          <w:sz w:val="24"/>
          <w:szCs w:val="24"/>
        </w:rPr>
        <w:t xml:space="preserve">the transition period.  </w:t>
      </w:r>
    </w:p>
    <w:p w14:paraId="523C07C7" w14:textId="347CEC1E" w:rsidR="00E339F0" w:rsidRPr="00953C5A" w:rsidRDefault="00C36FEE" w:rsidP="00953C5A">
      <w:pPr>
        <w:spacing w:line="360" w:lineRule="auto"/>
        <w:jc w:val="both"/>
        <w:rPr>
          <w:rFonts w:cs="Arial"/>
          <w:bCs/>
          <w:iCs/>
          <w:sz w:val="24"/>
          <w:szCs w:val="24"/>
        </w:rPr>
      </w:pPr>
      <w:r>
        <w:rPr>
          <w:rFonts w:cs="Arial"/>
          <w:sz w:val="24"/>
          <w:szCs w:val="24"/>
        </w:rPr>
        <w:lastRenderedPageBreak/>
        <w:t xml:space="preserve">Figure 6 shows the key stages required under the implementation of Option 2. </w:t>
      </w:r>
      <w:r w:rsidR="00953C5A" w:rsidRPr="00953C5A">
        <w:rPr>
          <w:rFonts w:cs="Arial"/>
          <w:bCs/>
          <w:iCs/>
          <w:noProof/>
          <w:lang w:eastAsia="en-AU"/>
        </w:rPr>
        <mc:AlternateContent>
          <mc:Choice Requires="wps">
            <w:drawing>
              <wp:anchor distT="45720" distB="45720" distL="114300" distR="114300" simplePos="0" relativeHeight="251659264" behindDoc="0" locked="0" layoutInCell="1" allowOverlap="1" wp14:anchorId="6E0A26A9" wp14:editId="5A10F36E">
                <wp:simplePos x="0" y="0"/>
                <wp:positionH relativeFrom="column">
                  <wp:posOffset>123825</wp:posOffset>
                </wp:positionH>
                <wp:positionV relativeFrom="paragraph">
                  <wp:posOffset>180975</wp:posOffset>
                </wp:positionV>
                <wp:extent cx="5457825" cy="1562100"/>
                <wp:effectExtent l="0" t="0" r="9525" b="0"/>
                <wp:wrapSquare wrapText="bothSides"/>
                <wp:docPr id="217" name="Text Box 2" descr="The diagram reflects that transition is comprised of two distinct phases. Certification covering the manufacturing, testing and certification; Installation transition covering supply stock, point of sale, installer stock and point of installation." title="Key stages under the implementation Optio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562100"/>
                        </a:xfrm>
                        <a:prstGeom prst="rect">
                          <a:avLst/>
                        </a:prstGeom>
                        <a:solidFill>
                          <a:srgbClr val="FFFFFF"/>
                        </a:solidFill>
                        <a:ln w="9525">
                          <a:noFill/>
                          <a:miter lim="800000"/>
                          <a:headEnd/>
                          <a:tailEnd/>
                        </a:ln>
                      </wps:spPr>
                      <wps:txbx>
                        <w:txbxContent>
                          <w:p w14:paraId="75501DBD" w14:textId="102FBCA0" w:rsidR="00944D93" w:rsidRDefault="00944D93" w:rsidP="00110977">
                            <w:pPr>
                              <w:pStyle w:val="Caption"/>
                            </w:pPr>
                            <w:bookmarkStart w:id="321" w:name="_Toc73028099"/>
                            <w: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sidRPr="00AA0223">
                              <w:t xml:space="preserve">: Key stages </w:t>
                            </w:r>
                            <w:r>
                              <w:t>in the implementation of Option 2</w:t>
                            </w:r>
                            <w:bookmarkEnd w:id="321"/>
                            <w:r>
                              <w:rPr>
                                <w:noProof/>
                                <w:lang w:eastAsia="en-AU"/>
                              </w:rPr>
                              <w:drawing>
                                <wp:inline distT="0" distB="0" distL="0" distR="0" wp14:anchorId="2A88B893" wp14:editId="40D33B94">
                                  <wp:extent cx="5445125" cy="1142974"/>
                                  <wp:effectExtent l="0" t="0" r="3175" b="635"/>
                                  <wp:docPr id="7" name="Picture 7" descr="The diagram reflects that transition is comprised of two distinct phases. Certification covering the manufacturing, testing and certification; Installation transition covering supply stock, point of sale, installer stock and point of installation." title="Key Stages under the implementation of O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a:extLst>
                                              <a:ext uri="{28A0092B-C50C-407E-A947-70E740481C1C}">
                                                <a14:useLocalDpi xmlns:a14="http://schemas.microsoft.com/office/drawing/2010/main" val="0"/>
                                              </a:ext>
                                            </a:extLst>
                                          </a:blip>
                                          <a:srcRect l="181" t="24050" r="-1"/>
                                          <a:stretch/>
                                        </pic:blipFill>
                                        <pic:spPr bwMode="auto">
                                          <a:xfrm>
                                            <a:off x="0" y="0"/>
                                            <a:ext cx="5487890" cy="1151951"/>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A26A9" id="_x0000_s1029" type="#_x0000_t202" alt="Title: Key stages under the implementation Option 2 - Description: The diagram reflects that transition is comprised of two distinct phases. Certification covering the manufacturing, testing and certification; Installation transition covering supply stock, point of sale, installer stock and point of installation." style="position:absolute;left:0;text-align:left;margin-left:9.75pt;margin-top:14.25pt;width:429.75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MZyAIAAFoFAAAOAAAAZHJzL2Uyb0RvYy54bWysVFFv0zAQfkfiP5z8PJo2rGyUpdPoGEIM&#10;hrTxA66Ok1g4trGvS8uv5+x0pRpviDxEds735bvvvvPF5bY38KhC1M5WYjaZClBWulrbthLfH25e&#10;nQuIhLZG46yqxE5Fcbl8+eJi8AtVus6ZWgVgEBsXg69ER+QXRRFlp3qME+eV5WDjQo/E29AWdcCB&#10;0XtTlNPpm2JwofbBSRUjf70eg2KZ8ZtGSbprmqgITCWYG+V3yO91ehfLC1y0AX2n5Z4G/gOLHrXl&#10;nx6grpEQNkH/BdVrGVx0DU2k6wvXNFqqXANXM5s+q+a+Q69yLSxO9AeZ4v+DlV8fvwXQdSXK2ZkA&#10;iz036UFtCd67LZQCahUl6/XQKag1slI9BNUYFjYCdUhAAW3UxP0HHYGr8kFHVYNrgAbHSZG0lQS+&#10;w6jiBFYqkOayMadIx+bhxjGWgh7tpkFJLJxtT4BUSm2B3QPyOOsdfLJsKmNGjCMGB7i48d7s2HpO&#10;/jgB77SlxCiiUSegx2w2Xo7nHxyO7IMZesKO0WRYks8qgWGrImxssmziq3tvVK8sjTzufC6pTKYa&#10;fFywtvee1aUta8nDkQ0S/S1TimDdqkPbqqsQ3NAprLmps5RZHKWOODGBrIcvrmYiuCGXgbZN6JPj&#10;2EPA6Gzu3cHQqX+SP85P52fn5VyA5Nhs/qacTbPlC1w8pfsQ6aNyPaRFJQI3NsPj422kRAcXT0fS&#10;36Izur7RxuRNaNcrE+ARebpu8pMreHbMWBgq8XbORFKWdSk/D16viaU0uq/E+TQ94zwmOT7YOh8h&#10;1GZcMxNj9/okSUZxaLveZv++fpJ97eodCxbcOOzsL150LvwSMPCgVyL+3GBQAgy7iHnNTk/TzZA3&#10;rFfJm3AcWR9H0EqGqgQJdk1arijfJmNhV9ycRmfZUhdHJnvKPMBZzf1lk26I430+9edKXP4GAAD/&#10;/wMAUEsDBBQABgAIAAAAIQCnCczm2wAAAAkBAAAPAAAAZHJzL2Rvd25yZXYueG1sTE/LTsMwELwj&#10;8Q/WInFB1KFqmgdxKkACcW3pB2ySbRIRr6PYbdK/ZznBaTU7o3kUu8UO6kKT7x0beFpFoIhr1/Tc&#10;Gjh+vT+moHxAbnBwTAau5GFX3t4UmDdu5j1dDqFVYsI+RwNdCGOuta87suhXbiQW7uQmi0Hg1Opm&#10;wlnM7aDXUbTVFnuWhA5Heuuo/j6crYHT5/wQZ3P1EY7JfrN9xT6p3NWY+7vl5RlUoCX8ieG3vlSH&#10;UjpV7syNV4PgLBalgXUqV/g0yWRbJY9kE4MuC/1/QfkDAAD//wMAUEsBAi0AFAAGAAgAAAAhALaD&#10;OJL+AAAA4QEAABMAAAAAAAAAAAAAAAAAAAAAAFtDb250ZW50X1R5cGVzXS54bWxQSwECLQAUAAYA&#10;CAAAACEAOP0h/9YAAACUAQAACwAAAAAAAAAAAAAAAAAvAQAAX3JlbHMvLnJlbHNQSwECLQAUAAYA&#10;CAAAACEA6rJTGcgCAABaBQAADgAAAAAAAAAAAAAAAAAuAgAAZHJzL2Uyb0RvYy54bWxQSwECLQAU&#10;AAYACAAAACEApwnM5tsAAAAJAQAADwAAAAAAAAAAAAAAAAAiBQAAZHJzL2Rvd25yZXYueG1sUEsF&#10;BgAAAAAEAAQA8wAAACoGAAAAAA==&#10;" stroked="f">
                <v:textbox>
                  <w:txbxContent>
                    <w:p w14:paraId="75501DBD" w14:textId="102FBCA0" w:rsidR="00944D93" w:rsidRDefault="00944D93" w:rsidP="00110977">
                      <w:pPr>
                        <w:pStyle w:val="Caption"/>
                      </w:pPr>
                      <w:bookmarkStart w:id="322" w:name="_Toc73028099"/>
                      <w: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r w:rsidRPr="00AA0223">
                        <w:t xml:space="preserve">: Key stages </w:t>
                      </w:r>
                      <w:r>
                        <w:t>in the implementation of Option 2</w:t>
                      </w:r>
                      <w:bookmarkEnd w:id="322"/>
                      <w:r>
                        <w:rPr>
                          <w:noProof/>
                          <w:lang w:eastAsia="en-AU"/>
                        </w:rPr>
                        <w:drawing>
                          <wp:inline distT="0" distB="0" distL="0" distR="0" wp14:anchorId="2A88B893" wp14:editId="40D33B94">
                            <wp:extent cx="5445125" cy="1142974"/>
                            <wp:effectExtent l="0" t="0" r="3175" b="635"/>
                            <wp:docPr id="7" name="Picture 7" descr="The diagram reflects that transition is comprised of two distinct phases. Certification covering the manufacturing, testing and certification; Installation transition covering supply stock, point of sale, installer stock and point of installation." title="Key Stages under the implementation of Op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0">
                                      <a:extLst>
                                        <a:ext uri="{28A0092B-C50C-407E-A947-70E740481C1C}">
                                          <a14:useLocalDpi xmlns:a14="http://schemas.microsoft.com/office/drawing/2010/main" val="0"/>
                                        </a:ext>
                                      </a:extLst>
                                    </a:blip>
                                    <a:srcRect l="181" t="24050" r="-1"/>
                                    <a:stretch/>
                                  </pic:blipFill>
                                  <pic:spPr bwMode="auto">
                                    <a:xfrm>
                                      <a:off x="0" y="0"/>
                                      <a:ext cx="5487890" cy="1151951"/>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2018EF7E" w14:textId="32F650A4" w:rsidR="00A82731" w:rsidRPr="00645CAA" w:rsidRDefault="00A82731" w:rsidP="00A82731">
      <w:pPr>
        <w:spacing w:line="360" w:lineRule="auto"/>
        <w:jc w:val="both"/>
        <w:rPr>
          <w:sz w:val="24"/>
          <w:szCs w:val="24"/>
        </w:rPr>
      </w:pPr>
      <w:r w:rsidRPr="004F2CBE">
        <w:rPr>
          <w:sz w:val="24"/>
          <w:szCs w:val="24"/>
        </w:rPr>
        <w:t>A specific review of the preferred option is not planned following implementation. The NCC is amended on a three</w:t>
      </w:r>
      <w:r>
        <w:rPr>
          <w:sz w:val="24"/>
          <w:szCs w:val="24"/>
        </w:rPr>
        <w:t>-</w:t>
      </w:r>
      <w:r w:rsidRPr="004F2CBE">
        <w:rPr>
          <w:sz w:val="24"/>
          <w:szCs w:val="24"/>
        </w:rPr>
        <w:t xml:space="preserve">year cycle and the ABCB maintains regular and extensive consultative relationships with a wide range of stakeholders. It relies on this process to identify emerging concerns, and through these relationships can evaluate the </w:t>
      </w:r>
      <w:r>
        <w:rPr>
          <w:sz w:val="24"/>
          <w:szCs w:val="24"/>
        </w:rPr>
        <w:t>effectiveness of the requirements over time</w:t>
      </w:r>
      <w:r w:rsidRPr="004F2CBE">
        <w:rPr>
          <w:sz w:val="24"/>
          <w:szCs w:val="24"/>
        </w:rPr>
        <w:t>.</w:t>
      </w:r>
    </w:p>
    <w:p w14:paraId="77A87FEC" w14:textId="6DB6CD21" w:rsidR="00C36FEE" w:rsidRDefault="00C36FEE">
      <w:pPr>
        <w:rPr>
          <w:rFonts w:cs="Arial"/>
          <w:sz w:val="24"/>
          <w:szCs w:val="24"/>
        </w:rPr>
      </w:pPr>
      <w:r>
        <w:rPr>
          <w:rFonts w:cs="Arial"/>
          <w:sz w:val="24"/>
          <w:szCs w:val="24"/>
        </w:rPr>
        <w:br w:type="page"/>
      </w:r>
    </w:p>
    <w:p w14:paraId="1640880F" w14:textId="7BE51883" w:rsidR="004822D3" w:rsidRPr="000B675B" w:rsidRDefault="001B30D2" w:rsidP="000B675B">
      <w:pPr>
        <w:pStyle w:val="Heading1"/>
        <w:spacing w:after="240"/>
        <w:rPr>
          <w:rFonts w:ascii="Arial" w:hAnsi="Arial" w:cs="Arial"/>
          <w:b w:val="0"/>
          <w:bCs w:val="0"/>
        </w:rPr>
      </w:pPr>
      <w:bookmarkStart w:id="323" w:name="_Toc71195758"/>
      <w:bookmarkStart w:id="324" w:name="_Toc71789301"/>
      <w:r w:rsidRPr="000B675B">
        <w:rPr>
          <w:rFonts w:ascii="Arial" w:hAnsi="Arial" w:cs="Arial"/>
          <w:b w:val="0"/>
          <w:bCs w:val="0"/>
        </w:rPr>
        <w:lastRenderedPageBreak/>
        <w:t>Attachment A</w:t>
      </w:r>
      <w:bookmarkEnd w:id="323"/>
      <w:bookmarkEnd w:id="324"/>
    </w:p>
    <w:p w14:paraId="44B05CB9" w14:textId="6959E99B" w:rsidR="001B30D2" w:rsidRPr="00173E9D" w:rsidRDefault="001B30D2" w:rsidP="00D8385F">
      <w:pPr>
        <w:pStyle w:val="Heading2"/>
        <w:rPr>
          <w:rFonts w:ascii="Arial" w:hAnsi="Arial" w:cs="Arial"/>
          <w:b w:val="0"/>
          <w:bCs w:val="0"/>
          <w:sz w:val="28"/>
          <w:szCs w:val="28"/>
        </w:rPr>
      </w:pPr>
      <w:bookmarkStart w:id="325" w:name="_Toc47287781"/>
      <w:bookmarkStart w:id="326" w:name="_Toc47287922"/>
      <w:r w:rsidRPr="00173E9D">
        <w:rPr>
          <w:rFonts w:ascii="Arial" w:hAnsi="Arial" w:cs="Arial"/>
          <w:b w:val="0"/>
          <w:bCs w:val="0"/>
          <w:sz w:val="28"/>
          <w:szCs w:val="28"/>
        </w:rPr>
        <w:t>Proposed changes to Plumbing Code of Australia</w:t>
      </w:r>
      <w:bookmarkEnd w:id="325"/>
      <w:bookmarkEnd w:id="326"/>
    </w:p>
    <w:p w14:paraId="3CE204AB" w14:textId="7CA6D8CB" w:rsidR="001B30D2" w:rsidRPr="001B30D2" w:rsidRDefault="001B30D2" w:rsidP="00D8385F">
      <w:pPr>
        <w:rPr>
          <w:rFonts w:cs="Arial"/>
          <w:sz w:val="24"/>
          <w:szCs w:val="24"/>
        </w:rPr>
      </w:pPr>
      <w:r w:rsidRPr="001B30D2">
        <w:rPr>
          <w:rFonts w:cs="Arial"/>
          <w:sz w:val="24"/>
          <w:szCs w:val="24"/>
        </w:rPr>
        <w:t>Option 2 would result in the following changes to the Evidence of Suitability criteria</w:t>
      </w:r>
      <w:r w:rsidR="00DD3048">
        <w:rPr>
          <w:rStyle w:val="FootnoteReference"/>
          <w:rFonts w:cs="Arial"/>
          <w:sz w:val="24"/>
          <w:szCs w:val="24"/>
        </w:rPr>
        <w:footnoteReference w:id="119"/>
      </w:r>
      <w:r w:rsidR="004B7258">
        <w:rPr>
          <w:rFonts w:cs="Arial"/>
          <w:sz w:val="24"/>
          <w:szCs w:val="24"/>
        </w:rPr>
        <w:t>:</w:t>
      </w:r>
      <w:r w:rsidRPr="001B30D2">
        <w:rPr>
          <w:rFonts w:cs="Arial"/>
          <w:sz w:val="24"/>
          <w:szCs w:val="24"/>
        </w:rPr>
        <w:t xml:space="preserve"> </w:t>
      </w:r>
    </w:p>
    <w:p w14:paraId="5126AF18" w14:textId="439811AE" w:rsidR="002F6CEC" w:rsidRPr="00DA119A" w:rsidRDefault="002F6CEC" w:rsidP="00D8385F">
      <w:pPr>
        <w:rPr>
          <w:b/>
          <w:sz w:val="24"/>
        </w:rPr>
      </w:pPr>
      <w:bookmarkStart w:id="327" w:name="_Toc47287782"/>
      <w:bookmarkStart w:id="328" w:name="_Toc47287923"/>
      <w:r w:rsidRPr="00DA119A">
        <w:rPr>
          <w:b/>
          <w:sz w:val="24"/>
        </w:rPr>
        <w:t xml:space="preserve">A5.3 Evidence of Suitability </w:t>
      </w:r>
    </w:p>
    <w:p w14:paraId="5418160B" w14:textId="77777777" w:rsidR="002F6CEC" w:rsidRPr="002F6CEC" w:rsidRDefault="002F6CEC" w:rsidP="00D8385F">
      <w:pPr>
        <w:spacing w:after="160" w:line="252" w:lineRule="auto"/>
        <w:ind w:left="360" w:hanging="360"/>
        <w:jc w:val="both"/>
        <w:rPr>
          <w:rFonts w:eastAsia="Times New Roman" w:cs="Arial"/>
          <w:sz w:val="24"/>
          <w:szCs w:val="24"/>
          <w:lang w:eastAsia="en-AU"/>
        </w:rPr>
      </w:pPr>
      <w:r w:rsidRPr="002F6CEC">
        <w:rPr>
          <w:rFonts w:eastAsia="Times New Roman" w:cs="Arial"/>
          <w:sz w:val="24"/>
          <w:szCs w:val="24"/>
          <w:lang w:eastAsia="en-AU"/>
        </w:rPr>
        <w:t>(1) Any product that is intended for use in contact with drinking water must</w:t>
      </w:r>
      <w:r w:rsidRPr="002F6CEC">
        <w:rPr>
          <w:rFonts w:eastAsia="Calibri" w:cs="Arial"/>
          <w:sz w:val="24"/>
          <w:szCs w:val="24"/>
        </w:rPr>
        <w:t>—</w:t>
      </w:r>
    </w:p>
    <w:p w14:paraId="3B12742C" w14:textId="2920F2D7" w:rsidR="002F6CEC" w:rsidRPr="002F6CEC" w:rsidRDefault="002F6CEC" w:rsidP="00D8385F">
      <w:pPr>
        <w:spacing w:after="160" w:line="252" w:lineRule="auto"/>
        <w:ind w:left="1161" w:hanging="441"/>
        <w:jc w:val="both"/>
        <w:rPr>
          <w:rFonts w:eastAsia="Times New Roman" w:cs="Arial"/>
          <w:sz w:val="24"/>
          <w:szCs w:val="24"/>
          <w:lang w:eastAsia="en-AU"/>
        </w:rPr>
      </w:pPr>
      <w:r w:rsidRPr="002F6CEC">
        <w:rPr>
          <w:rFonts w:eastAsia="Times New Roman" w:cs="Arial"/>
          <w:sz w:val="24"/>
          <w:szCs w:val="24"/>
          <w:lang w:eastAsia="en-AU"/>
        </w:rPr>
        <w:t>(a) </w:t>
      </w:r>
      <w:r w:rsidRPr="002F6CEC">
        <w:rPr>
          <w:rFonts w:eastAsia="Times New Roman" w:cs="Arial"/>
          <w:sz w:val="24"/>
          <w:szCs w:val="24"/>
          <w:lang w:eastAsia="en-AU"/>
        </w:rPr>
        <w:tab/>
        <w:t>Comply with the relevant requirements of AS/NZS 4020</w:t>
      </w:r>
      <w:r w:rsidRPr="002F6CEC">
        <w:rPr>
          <w:rFonts w:eastAsia="Times New Roman" w:cs="Arial"/>
          <w:color w:val="006600"/>
          <w:sz w:val="24"/>
          <w:szCs w:val="24"/>
          <w:u w:val="single"/>
          <w:lang w:eastAsia="en-AU"/>
        </w:rPr>
        <w:t>, verified</w:t>
      </w:r>
      <w:r w:rsidRPr="002F6CEC">
        <w:rPr>
          <w:rFonts w:eastAsia="Times New Roman" w:cs="Arial"/>
          <w:color w:val="006600"/>
          <w:sz w:val="24"/>
          <w:szCs w:val="24"/>
          <w:lang w:eastAsia="en-AU"/>
        </w:rPr>
        <w:t xml:space="preserve"> </w:t>
      </w:r>
      <w:r w:rsidRPr="002F6CEC">
        <w:rPr>
          <w:rFonts w:eastAsia="Times New Roman" w:cs="Arial"/>
          <w:sz w:val="24"/>
          <w:szCs w:val="24"/>
          <w:lang w:eastAsia="en-AU"/>
        </w:rPr>
        <w:t>in the form of either</w:t>
      </w:r>
      <w:r w:rsidRPr="002F6CEC">
        <w:rPr>
          <w:rFonts w:eastAsia="Calibri" w:cs="Arial"/>
          <w:sz w:val="24"/>
          <w:szCs w:val="24"/>
        </w:rPr>
        <w:t>—</w:t>
      </w:r>
      <w:r w:rsidRPr="002F6CEC">
        <w:rPr>
          <w:rFonts w:eastAsia="Times New Roman" w:cs="Arial"/>
          <w:sz w:val="24"/>
          <w:szCs w:val="24"/>
          <w:lang w:eastAsia="en-AU"/>
        </w:rPr>
        <w:t xml:space="preserve"> </w:t>
      </w:r>
    </w:p>
    <w:p w14:paraId="4DFF7D19" w14:textId="77777777" w:rsidR="002F6CEC" w:rsidRPr="002F6CEC" w:rsidRDefault="002F6CEC" w:rsidP="00D8385F">
      <w:pPr>
        <w:spacing w:after="160" w:line="252" w:lineRule="auto"/>
        <w:ind w:left="1341" w:hanging="180"/>
        <w:jc w:val="both"/>
        <w:rPr>
          <w:rFonts w:eastAsia="Times New Roman" w:cs="Arial"/>
          <w:sz w:val="24"/>
          <w:szCs w:val="24"/>
          <w:lang w:eastAsia="en-AU"/>
        </w:rPr>
      </w:pPr>
      <w:r w:rsidRPr="002F6CEC">
        <w:rPr>
          <w:rFonts w:eastAsia="Times New Roman" w:cs="Arial"/>
          <w:sz w:val="24"/>
          <w:szCs w:val="24"/>
          <w:lang w:eastAsia="en-AU"/>
        </w:rPr>
        <w:t xml:space="preserve">I. a test report provided by an </w:t>
      </w:r>
      <w:r w:rsidRPr="002F6CEC">
        <w:rPr>
          <w:rFonts w:eastAsia="Times New Roman" w:cs="Arial"/>
          <w:strike/>
          <w:color w:val="FF0000"/>
          <w:sz w:val="24"/>
          <w:szCs w:val="24"/>
          <w:lang w:eastAsia="en-AU"/>
        </w:rPr>
        <w:t xml:space="preserve">certification body or </w:t>
      </w:r>
      <w:r w:rsidRPr="002F6CEC">
        <w:rPr>
          <w:rFonts w:eastAsia="Times New Roman" w:cs="Arial"/>
          <w:i/>
          <w:sz w:val="24"/>
          <w:szCs w:val="24"/>
          <w:lang w:eastAsia="en-AU"/>
        </w:rPr>
        <w:t>Accredited Testing Laboratory</w:t>
      </w:r>
      <w:r w:rsidRPr="002F6CEC">
        <w:rPr>
          <w:rFonts w:eastAsia="Times New Roman" w:cs="Arial"/>
          <w:sz w:val="24"/>
          <w:szCs w:val="24"/>
          <w:lang w:eastAsia="en-AU"/>
        </w:rPr>
        <w:t>, in accordance with AS/NZS 4020; or</w:t>
      </w:r>
    </w:p>
    <w:p w14:paraId="5D6EFC00" w14:textId="7B2D2F01" w:rsidR="002F6CEC" w:rsidRPr="002F6CEC" w:rsidRDefault="002F6CEC" w:rsidP="00D8385F">
      <w:pPr>
        <w:spacing w:after="160" w:line="252" w:lineRule="auto"/>
        <w:ind w:left="1341" w:hanging="180"/>
        <w:jc w:val="both"/>
        <w:rPr>
          <w:rFonts w:eastAsia="Times New Roman" w:cs="Arial"/>
          <w:sz w:val="24"/>
          <w:szCs w:val="24"/>
          <w:lang w:eastAsia="en-AU"/>
        </w:rPr>
      </w:pPr>
      <w:r w:rsidRPr="002F6CEC">
        <w:rPr>
          <w:rFonts w:eastAsia="Times New Roman" w:cs="Arial"/>
          <w:sz w:val="24"/>
          <w:szCs w:val="24"/>
          <w:lang w:eastAsia="en-AU"/>
        </w:rPr>
        <w:t xml:space="preserve">ii. a </w:t>
      </w:r>
      <w:r w:rsidRPr="002F6CEC">
        <w:rPr>
          <w:rFonts w:eastAsia="Times New Roman" w:cs="Arial"/>
          <w:i/>
          <w:sz w:val="24"/>
          <w:szCs w:val="24"/>
          <w:lang w:eastAsia="en-AU"/>
        </w:rPr>
        <w:t>WaterMark licence</w:t>
      </w:r>
      <w:r w:rsidRPr="002F6CEC">
        <w:rPr>
          <w:rFonts w:eastAsia="Times New Roman" w:cs="Arial"/>
          <w:sz w:val="24"/>
          <w:szCs w:val="24"/>
          <w:lang w:eastAsia="en-AU"/>
        </w:rPr>
        <w:t xml:space="preserve"> issued</w:t>
      </w:r>
      <w:r w:rsidRPr="002F6CEC">
        <w:rPr>
          <w:rFonts w:eastAsia="Times New Roman" w:cs="Arial"/>
          <w:color w:val="92D050"/>
          <w:sz w:val="24"/>
          <w:szCs w:val="24"/>
          <w:lang w:eastAsia="en-AU"/>
        </w:rPr>
        <w:t xml:space="preserve"> </w:t>
      </w:r>
      <w:r w:rsidRPr="002F6CEC">
        <w:rPr>
          <w:rFonts w:eastAsia="Times New Roman" w:cs="Arial"/>
          <w:sz w:val="24"/>
          <w:szCs w:val="24"/>
          <w:lang w:eastAsia="en-AU"/>
        </w:rPr>
        <w:t>in accordance with (2), if it includes compliance with AS/NZS 4020</w:t>
      </w:r>
      <w:r w:rsidRPr="002F6CEC">
        <w:rPr>
          <w:rFonts w:eastAsia="Times New Roman" w:cs="Arial"/>
          <w:strike/>
          <w:color w:val="FF0000"/>
          <w:sz w:val="24"/>
          <w:szCs w:val="24"/>
          <w:lang w:eastAsia="en-AU"/>
        </w:rPr>
        <w:t>.</w:t>
      </w:r>
      <w:r w:rsidRPr="002F6CEC">
        <w:rPr>
          <w:rFonts w:eastAsia="Times New Roman" w:cs="Arial"/>
          <w:color w:val="006600"/>
          <w:sz w:val="24"/>
          <w:szCs w:val="24"/>
          <w:u w:val="single"/>
          <w:lang w:eastAsia="en-AU"/>
        </w:rPr>
        <w:t>; and</w:t>
      </w:r>
    </w:p>
    <w:p w14:paraId="05C676A0" w14:textId="1FFAD891" w:rsidR="002F6CEC" w:rsidRPr="002F6CEC" w:rsidRDefault="002F6CEC" w:rsidP="00D8385F">
      <w:pPr>
        <w:spacing w:after="160" w:line="252" w:lineRule="auto"/>
        <w:ind w:left="360" w:hanging="360"/>
        <w:jc w:val="both"/>
        <w:rPr>
          <w:rFonts w:eastAsia="Times New Roman" w:cs="Arial"/>
          <w:color w:val="006600"/>
          <w:sz w:val="24"/>
          <w:szCs w:val="24"/>
          <w:lang w:eastAsia="en-AU"/>
        </w:rPr>
      </w:pPr>
      <w:r w:rsidRPr="002F6CEC">
        <w:rPr>
          <w:rFonts w:eastAsia="Times New Roman" w:cs="Arial"/>
          <w:color w:val="006600"/>
          <w:sz w:val="24"/>
          <w:szCs w:val="24"/>
          <w:u w:val="single"/>
          <w:lang w:eastAsia="en-AU"/>
        </w:rPr>
        <w:t xml:space="preserve">(2) Any copper alloy product that is intended for use in contact with </w:t>
      </w:r>
      <w:r w:rsidRPr="002F6CEC">
        <w:rPr>
          <w:rFonts w:eastAsia="Times New Roman" w:cs="Arial"/>
          <w:i/>
          <w:color w:val="006600"/>
          <w:sz w:val="24"/>
          <w:szCs w:val="24"/>
          <w:u w:val="single"/>
          <w:lang w:eastAsia="en-AU"/>
        </w:rPr>
        <w:t>drinking water</w:t>
      </w:r>
      <w:r w:rsidRPr="002F6CEC">
        <w:rPr>
          <w:rFonts w:eastAsia="Times New Roman" w:cs="Arial"/>
          <w:color w:val="006600"/>
          <w:sz w:val="24"/>
          <w:szCs w:val="24"/>
          <w:u w:val="single"/>
          <w:lang w:eastAsia="en-AU"/>
        </w:rPr>
        <w:t>, must</w:t>
      </w:r>
      <w:r w:rsidRPr="002F6CEC">
        <w:rPr>
          <w:rFonts w:eastAsia="Times New Roman" w:cs="Arial"/>
          <w:color w:val="006600"/>
          <w:sz w:val="24"/>
          <w:szCs w:val="24"/>
          <w:lang w:eastAsia="en-AU"/>
        </w:rPr>
        <w:t xml:space="preserve"> </w:t>
      </w:r>
      <w:r w:rsidRPr="002F6CEC">
        <w:rPr>
          <w:rFonts w:eastAsia="Times New Roman" w:cs="Arial"/>
          <w:color w:val="006600"/>
          <w:sz w:val="24"/>
          <w:szCs w:val="24"/>
          <w:u w:val="single"/>
          <w:lang w:eastAsia="en-AU"/>
        </w:rPr>
        <w:t xml:space="preserve">have a </w:t>
      </w:r>
      <w:r w:rsidRPr="002F6CEC">
        <w:rPr>
          <w:rFonts w:eastAsia="Times New Roman" w:cs="Arial"/>
          <w:i/>
          <w:color w:val="006600"/>
          <w:sz w:val="24"/>
          <w:szCs w:val="24"/>
          <w:u w:val="single"/>
          <w:lang w:eastAsia="en-AU"/>
        </w:rPr>
        <w:t>weighted average</w:t>
      </w:r>
      <w:r w:rsidRPr="002F6CEC">
        <w:rPr>
          <w:rFonts w:eastAsia="Times New Roman" w:cs="Arial"/>
          <w:color w:val="006600"/>
          <w:sz w:val="24"/>
          <w:szCs w:val="24"/>
          <w:u w:val="single"/>
          <w:lang w:eastAsia="en-AU"/>
        </w:rPr>
        <w:t xml:space="preserve"> lead content of no more than 0.25% verified in the form of either</w:t>
      </w:r>
      <w:r w:rsidRPr="002F6CEC">
        <w:rPr>
          <w:rFonts w:eastAsia="Calibri" w:cs="Arial"/>
          <w:color w:val="006600"/>
          <w:sz w:val="24"/>
          <w:szCs w:val="24"/>
        </w:rPr>
        <w:t>—</w:t>
      </w:r>
    </w:p>
    <w:p w14:paraId="29C19DCF" w14:textId="2C3651FD" w:rsidR="002F6CEC" w:rsidRPr="002F6CEC" w:rsidRDefault="002F6CEC" w:rsidP="00D8385F">
      <w:pPr>
        <w:spacing w:after="160" w:line="252" w:lineRule="auto"/>
        <w:ind w:left="1341" w:hanging="65"/>
        <w:jc w:val="both"/>
        <w:rPr>
          <w:rFonts w:eastAsia="Times New Roman" w:cs="Arial"/>
          <w:color w:val="006600"/>
          <w:sz w:val="24"/>
          <w:szCs w:val="24"/>
          <w:lang w:eastAsia="en-AU"/>
        </w:rPr>
      </w:pPr>
      <w:r w:rsidRPr="002F6CEC">
        <w:rPr>
          <w:rFonts w:eastAsia="Times New Roman" w:cs="Arial"/>
          <w:color w:val="006600"/>
          <w:sz w:val="24"/>
          <w:szCs w:val="24"/>
          <w:lang w:eastAsia="en-AU"/>
        </w:rPr>
        <w:t xml:space="preserve">i. </w:t>
      </w:r>
      <w:r w:rsidRPr="002F6CEC">
        <w:rPr>
          <w:rFonts w:eastAsia="Times New Roman" w:cs="Arial"/>
          <w:color w:val="006600"/>
          <w:sz w:val="24"/>
          <w:szCs w:val="24"/>
          <w:u w:val="single"/>
          <w:lang w:eastAsia="en-AU"/>
        </w:rPr>
        <w:t xml:space="preserve">a test report provided by an </w:t>
      </w:r>
      <w:r w:rsidRPr="002F6CEC">
        <w:rPr>
          <w:rFonts w:eastAsia="Times New Roman" w:cs="Arial"/>
          <w:i/>
          <w:color w:val="006600"/>
          <w:sz w:val="24"/>
          <w:szCs w:val="24"/>
          <w:u w:val="single"/>
          <w:lang w:eastAsia="en-AU"/>
        </w:rPr>
        <w:t>Accredited Testing Laboratory</w:t>
      </w:r>
      <w:r w:rsidRPr="002F6CEC">
        <w:rPr>
          <w:rFonts w:eastAsia="Times New Roman" w:cs="Arial"/>
          <w:color w:val="006600"/>
          <w:sz w:val="24"/>
          <w:szCs w:val="24"/>
          <w:u w:val="single"/>
          <w:lang w:eastAsia="en-AU"/>
        </w:rPr>
        <w:t>, in accordance with NSF/ANSI 372; or</w:t>
      </w:r>
    </w:p>
    <w:p w14:paraId="03CFE532" w14:textId="19875057" w:rsidR="002F6CEC" w:rsidRPr="002F6CEC" w:rsidRDefault="002F6CEC" w:rsidP="00D8385F">
      <w:pPr>
        <w:spacing w:after="0"/>
        <w:ind w:left="1341" w:hanging="65"/>
        <w:jc w:val="both"/>
        <w:rPr>
          <w:rFonts w:eastAsia="Calibri" w:cs="Arial"/>
          <w:color w:val="006600"/>
          <w:sz w:val="24"/>
          <w:szCs w:val="24"/>
          <w:u w:val="single"/>
        </w:rPr>
      </w:pPr>
      <w:r w:rsidRPr="002F6CEC">
        <w:rPr>
          <w:rFonts w:eastAsia="Calibri" w:cs="Arial"/>
          <w:color w:val="006600"/>
          <w:sz w:val="24"/>
          <w:szCs w:val="24"/>
        </w:rPr>
        <w:t xml:space="preserve">ii. </w:t>
      </w:r>
      <w:r w:rsidRPr="002F6CEC">
        <w:rPr>
          <w:rFonts w:eastAsia="Calibri" w:cs="Arial"/>
          <w:color w:val="006600"/>
          <w:sz w:val="24"/>
          <w:szCs w:val="24"/>
          <w:u w:val="single"/>
        </w:rPr>
        <w:t xml:space="preserve">a </w:t>
      </w:r>
      <w:r w:rsidRPr="002F6CEC">
        <w:rPr>
          <w:rFonts w:eastAsia="Calibri" w:cs="Arial"/>
          <w:i/>
          <w:color w:val="006600"/>
          <w:sz w:val="24"/>
          <w:szCs w:val="24"/>
          <w:u w:val="single"/>
        </w:rPr>
        <w:t>WaterMark licence</w:t>
      </w:r>
      <w:r w:rsidRPr="002F6CEC">
        <w:rPr>
          <w:rFonts w:eastAsia="Calibri" w:cs="Arial"/>
          <w:color w:val="006600"/>
          <w:sz w:val="24"/>
          <w:szCs w:val="24"/>
          <w:u w:val="single"/>
        </w:rPr>
        <w:t xml:space="preserve"> issued in accordance with (2), if it includes compliance with NSF/ANSI 372.</w:t>
      </w:r>
    </w:p>
    <w:p w14:paraId="59985E38" w14:textId="27C176BC" w:rsidR="002F6CEC" w:rsidRPr="002F6CEC" w:rsidRDefault="00871105" w:rsidP="00D8385F">
      <w:pPr>
        <w:spacing w:after="0"/>
        <w:ind w:left="1341" w:hanging="65"/>
        <w:jc w:val="both"/>
        <w:rPr>
          <w:rFonts w:eastAsia="Calibri" w:cs="Arial"/>
          <w:color w:val="006600"/>
          <w:sz w:val="24"/>
          <w:szCs w:val="24"/>
          <w:u w:val="single"/>
        </w:rPr>
      </w:pPr>
      <w:r w:rsidRPr="00871105">
        <w:rPr>
          <w:rFonts w:eastAsia="Calibri" w:cs="Arial"/>
          <w:noProof/>
          <w:color w:val="006600"/>
          <w:sz w:val="24"/>
          <w:szCs w:val="24"/>
          <w:u w:val="single"/>
          <w:lang w:eastAsia="en-AU"/>
        </w:rPr>
        <mc:AlternateContent>
          <mc:Choice Requires="wps">
            <w:drawing>
              <wp:anchor distT="45720" distB="45720" distL="114300" distR="114300" simplePos="0" relativeHeight="251667456" behindDoc="0" locked="0" layoutInCell="1" allowOverlap="1" wp14:anchorId="7ED8B53F" wp14:editId="1BAAAAD4">
                <wp:simplePos x="0" y="0"/>
                <wp:positionH relativeFrom="margin">
                  <wp:align>right</wp:align>
                </wp:positionH>
                <wp:positionV relativeFrom="paragraph">
                  <wp:posOffset>256540</wp:posOffset>
                </wp:positionV>
                <wp:extent cx="5724525" cy="1404620"/>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chemeClr val="bg1">
                            <a:lumMod val="85000"/>
                          </a:schemeClr>
                        </a:solidFill>
                        <a:ln w="9525">
                          <a:solidFill>
                            <a:srgbClr val="000000"/>
                          </a:solidFill>
                          <a:miter lim="800000"/>
                          <a:headEnd/>
                          <a:tailEnd/>
                        </a:ln>
                      </wps:spPr>
                      <wps:txbx>
                        <w:txbxContent>
                          <w:p w14:paraId="214F311A" w14:textId="3124A39F" w:rsidR="00944D93" w:rsidRPr="002F6CEC" w:rsidRDefault="00944D93" w:rsidP="00871105">
                            <w:pPr>
                              <w:jc w:val="both"/>
                              <w:rPr>
                                <w:rFonts w:eastAsia="Calibri" w:cs="Arial"/>
                                <w:color w:val="006600"/>
                                <w:sz w:val="24"/>
                                <w:szCs w:val="24"/>
                                <w:u w:val="single"/>
                              </w:rPr>
                            </w:pPr>
                            <w:r w:rsidRPr="002F6CEC">
                              <w:rPr>
                                <w:rFonts w:eastAsia="Calibri" w:cs="Arial"/>
                                <w:color w:val="006600"/>
                                <w:sz w:val="24"/>
                                <w:szCs w:val="24"/>
                                <w:u w:val="single"/>
                              </w:rPr>
                              <w:t>Application:</w:t>
                            </w:r>
                          </w:p>
                          <w:p w14:paraId="761B852A" w14:textId="77777777" w:rsidR="00944D93" w:rsidRPr="002F6CEC" w:rsidRDefault="00944D93" w:rsidP="00871105">
                            <w:pPr>
                              <w:jc w:val="both"/>
                              <w:rPr>
                                <w:rFonts w:eastAsia="Calibri" w:cs="Arial"/>
                                <w:color w:val="006600"/>
                                <w:sz w:val="24"/>
                                <w:szCs w:val="24"/>
                                <w:u w:val="single"/>
                              </w:rPr>
                            </w:pPr>
                            <w:r w:rsidRPr="002F6CEC">
                              <w:rPr>
                                <w:rFonts w:eastAsia="Calibri" w:cs="Arial"/>
                                <w:color w:val="006600"/>
                                <w:sz w:val="24"/>
                                <w:szCs w:val="24"/>
                                <w:u w:val="single"/>
                              </w:rPr>
                              <w:t>Products captured by A5.3(2) include:</w:t>
                            </w:r>
                          </w:p>
                          <w:p w14:paraId="18D08A7B"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Fittings; </w:t>
                            </w:r>
                          </w:p>
                          <w:p w14:paraId="135D4BA8"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Valves;</w:t>
                            </w:r>
                          </w:p>
                          <w:p w14:paraId="7D2C1DA1"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Fittings for stainless steel braided hoses; </w:t>
                            </w:r>
                          </w:p>
                          <w:p w14:paraId="2079B322"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Taps; </w:t>
                            </w:r>
                          </w:p>
                          <w:p w14:paraId="77D9ECC0"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Mixers;</w:t>
                            </w:r>
                          </w:p>
                          <w:p w14:paraId="7E5C73F0"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Water heaters;</w:t>
                            </w:r>
                          </w:p>
                          <w:p w14:paraId="3BD8B77F"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Residential water filters; and</w:t>
                            </w:r>
                          </w:p>
                          <w:p w14:paraId="3A0BE8D9" w14:textId="3A0A1DC3" w:rsidR="00944D93" w:rsidRDefault="00944D93" w:rsidP="00871105">
                            <w:r w:rsidRPr="002F6CEC">
                              <w:rPr>
                                <w:rFonts w:eastAsia="Calibri" w:cs="Arial"/>
                                <w:color w:val="006600"/>
                                <w:sz w:val="24"/>
                                <w:szCs w:val="24"/>
                                <w:u w:val="single"/>
                              </w:rPr>
                              <w:t>Water dispensers (such as boiling and cooling units).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8B53F" id="_x0000_s1030" type="#_x0000_t202" style="position:absolute;left:0;text-align:left;margin-left:399.55pt;margin-top:20.2pt;width:450.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kZVNwIAAHAEAAAOAAAAZHJzL2Uyb0RvYy54bWysVNuO0zAQfUfiHyy/06RRunSjpqulSxHS&#10;cpF2+YCJ4zQWvmG7TcrXM3baUtg3xIvly+TMmXNmsroblSQH7rwwuqbzWU4J18y0Qu9q+u15+2ZJ&#10;iQ+gW5BG85oeuad369evVoOteGF6I1vuCIJoXw22pn0Itsoyz3quwM+M5RofO+MUBDy6XdY6GBBd&#10;yazI85tsMK61zjDuPd4+TI90nfC7jrPwpes8D0TWFLmFtLq0NnHN1iuodg5sL9iJBvwDCwVCY9IL&#10;1AMEIHsnXkApwZzxpgszZlRmuk4wnmrAaub5X9U89WB5qgXF8fYik/9/sOzz4asjoq1pUVCiQaFH&#10;z3wM5J0ZSRHlGayvMOrJYlwY8RptTqV6+2jYd0+02fSgd/zeOTP0HFqkN49fZlefTjg+gjTDJ9Ni&#10;GtgHk4DGzqmoHapBEB1tOl6siVQYXi7eFuWiWFDC8G1e5uVNkczLoDp/bp0PH7hRJG5q6tD7BA+H&#10;Rx8iHajOITGbN1K0WyFlOsR+4xvpyAGwU5rdVKLcK+Q63S0XeX5OmdozhifUP5CkJkNNbyPXl1nc&#10;rrnkQLQrwGsySgScCSlUTZeXIKiitO91mzo2gJDTHquS+qR1lHcSOozNmFwtzxY2pj2i+M5MI4Aj&#10;i5veuJ+UDNj+NfU/9uA4JfKjRgNv52UZ5yUdSlQfD+76pbl+Ac0QqqaBkmm7CWnGkgL2Ho3eimRB&#10;7IiJyYkytnXS8DSCcW6uzynq949i/QsAAP//AwBQSwMEFAAGAAgAAAAhAMeoTR3cAAAABwEAAA8A&#10;AABkcnMvZG93bnJldi54bWxMj0FLxDAUhO+C/yE8wZubdF2L1r4uiyIInra7sNds82yKzUtp0m79&#10;98aTHocZZr4pt4vrxUxj6DwjZCsFgrjxpuMW4Xh4u3sEEaJmo3vPhPBNAbbV9VWpC+MvvKe5jq1I&#10;JRwKjWBjHAopQ2PJ6bDyA3HyPv3odExybKUZ9SWVu16ulcql0x2nBasHerHUfNWTQxjf69N910Yv&#10;T7tFGTu97uePA+LtzbJ7BhFpiX9h+MVP6FAlprOf2ATRI6QjEWGjNiCS+6SyBxBnhHWe5SCrUv7n&#10;r34AAAD//wMAUEsBAi0AFAAGAAgAAAAhALaDOJL+AAAA4QEAABMAAAAAAAAAAAAAAAAAAAAAAFtD&#10;b250ZW50X1R5cGVzXS54bWxQSwECLQAUAAYACAAAACEAOP0h/9YAAACUAQAACwAAAAAAAAAAAAAA&#10;AAAvAQAAX3JlbHMvLnJlbHNQSwECLQAUAAYACAAAACEA2kpGVTcCAABwBAAADgAAAAAAAAAAAAAA&#10;AAAuAgAAZHJzL2Uyb0RvYy54bWxQSwECLQAUAAYACAAAACEAx6hNHdwAAAAHAQAADwAAAAAAAAAA&#10;AAAAAACRBAAAZHJzL2Rvd25yZXYueG1sUEsFBgAAAAAEAAQA8wAAAJoFAAAAAA==&#10;" fillcolor="#d8d8d8 [2732]">
                <v:textbox style="mso-fit-shape-to-text:t">
                  <w:txbxContent>
                    <w:p w14:paraId="214F311A" w14:textId="3124A39F" w:rsidR="00944D93" w:rsidRPr="002F6CEC" w:rsidRDefault="00944D93" w:rsidP="00871105">
                      <w:pPr>
                        <w:jc w:val="both"/>
                        <w:rPr>
                          <w:rFonts w:eastAsia="Calibri" w:cs="Arial"/>
                          <w:color w:val="006600"/>
                          <w:sz w:val="24"/>
                          <w:szCs w:val="24"/>
                          <w:u w:val="single"/>
                        </w:rPr>
                      </w:pPr>
                      <w:r w:rsidRPr="002F6CEC">
                        <w:rPr>
                          <w:rFonts w:eastAsia="Calibri" w:cs="Arial"/>
                          <w:color w:val="006600"/>
                          <w:sz w:val="24"/>
                          <w:szCs w:val="24"/>
                          <w:u w:val="single"/>
                        </w:rPr>
                        <w:t>Application:</w:t>
                      </w:r>
                    </w:p>
                    <w:p w14:paraId="761B852A" w14:textId="77777777" w:rsidR="00944D93" w:rsidRPr="002F6CEC" w:rsidRDefault="00944D93" w:rsidP="00871105">
                      <w:pPr>
                        <w:jc w:val="both"/>
                        <w:rPr>
                          <w:rFonts w:eastAsia="Calibri" w:cs="Arial"/>
                          <w:color w:val="006600"/>
                          <w:sz w:val="24"/>
                          <w:szCs w:val="24"/>
                          <w:u w:val="single"/>
                        </w:rPr>
                      </w:pPr>
                      <w:r w:rsidRPr="002F6CEC">
                        <w:rPr>
                          <w:rFonts w:eastAsia="Calibri" w:cs="Arial"/>
                          <w:color w:val="006600"/>
                          <w:sz w:val="24"/>
                          <w:szCs w:val="24"/>
                          <w:u w:val="single"/>
                        </w:rPr>
                        <w:t>Products captured by A5.3(2) include:</w:t>
                      </w:r>
                    </w:p>
                    <w:p w14:paraId="18D08A7B"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Fittings; </w:t>
                      </w:r>
                    </w:p>
                    <w:p w14:paraId="135D4BA8"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Valves;</w:t>
                      </w:r>
                    </w:p>
                    <w:p w14:paraId="7D2C1DA1"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Fittings for stainless steel braided hoses; </w:t>
                      </w:r>
                    </w:p>
                    <w:p w14:paraId="2079B322"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Taps; </w:t>
                      </w:r>
                    </w:p>
                    <w:p w14:paraId="77D9ECC0"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Mixers;</w:t>
                      </w:r>
                    </w:p>
                    <w:p w14:paraId="7E5C73F0"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Water heaters;</w:t>
                      </w:r>
                    </w:p>
                    <w:p w14:paraId="3BD8B77F" w14:textId="77777777" w:rsidR="00944D93" w:rsidRPr="002F6CEC" w:rsidRDefault="00944D93" w:rsidP="00871105">
                      <w:pPr>
                        <w:numPr>
                          <w:ilvl w:val="0"/>
                          <w:numId w:val="46"/>
                        </w:numPr>
                        <w:spacing w:before="120"/>
                        <w:jc w:val="both"/>
                        <w:rPr>
                          <w:rFonts w:eastAsia="Calibri" w:cs="Arial"/>
                          <w:color w:val="006600"/>
                          <w:sz w:val="24"/>
                          <w:szCs w:val="24"/>
                          <w:u w:val="single"/>
                        </w:rPr>
                      </w:pPr>
                      <w:r w:rsidRPr="002F6CEC">
                        <w:rPr>
                          <w:rFonts w:eastAsia="Calibri" w:cs="Arial"/>
                          <w:color w:val="006600"/>
                          <w:sz w:val="24"/>
                          <w:szCs w:val="24"/>
                          <w:u w:val="single"/>
                        </w:rPr>
                        <w:t>Residential water filters; and</w:t>
                      </w:r>
                    </w:p>
                    <w:p w14:paraId="3A0BE8D9" w14:textId="3A0A1DC3" w:rsidR="00944D93" w:rsidRDefault="00944D93" w:rsidP="00871105">
                      <w:r w:rsidRPr="002F6CEC">
                        <w:rPr>
                          <w:rFonts w:eastAsia="Calibri" w:cs="Arial"/>
                          <w:color w:val="006600"/>
                          <w:sz w:val="24"/>
                          <w:szCs w:val="24"/>
                          <w:u w:val="single"/>
                        </w:rPr>
                        <w:t>Water dispensers (such as boiling and cooling units).</w:t>
                      </w:r>
                    </w:p>
                  </w:txbxContent>
                </v:textbox>
                <w10:wrap type="square" anchorx="margin"/>
              </v:shape>
            </w:pict>
          </mc:Fallback>
        </mc:AlternateContent>
      </w:r>
    </w:p>
    <w:p w14:paraId="614C46FF" w14:textId="1B019BC4" w:rsidR="002F6CEC" w:rsidRPr="002F6CEC" w:rsidRDefault="002F6CEC" w:rsidP="00D8385F">
      <w:pPr>
        <w:spacing w:after="0"/>
        <w:jc w:val="both"/>
        <w:rPr>
          <w:rFonts w:eastAsia="Calibri" w:cs="Arial"/>
          <w:color w:val="006600"/>
          <w:sz w:val="24"/>
          <w:szCs w:val="24"/>
          <w:u w:val="single"/>
        </w:rPr>
      </w:pPr>
    </w:p>
    <w:p w14:paraId="554D5AB4" w14:textId="65C4774E" w:rsidR="002F6CEC" w:rsidRPr="00871105" w:rsidRDefault="00871105" w:rsidP="00871105">
      <w:pPr>
        <w:spacing w:before="240" w:after="0"/>
        <w:jc w:val="both"/>
        <w:rPr>
          <w:rFonts w:eastAsia="Calibri" w:cs="Arial"/>
          <w:color w:val="00B050"/>
          <w:sz w:val="24"/>
          <w:szCs w:val="24"/>
        </w:rPr>
      </w:pPr>
      <w:r w:rsidRPr="00871105">
        <w:rPr>
          <w:rFonts w:eastAsia="Calibri" w:cs="Arial"/>
          <w:noProof/>
          <w:color w:val="00B050"/>
          <w:sz w:val="24"/>
          <w:szCs w:val="24"/>
          <w:lang w:eastAsia="en-AU"/>
        </w:rPr>
        <mc:AlternateContent>
          <mc:Choice Requires="wps">
            <w:drawing>
              <wp:anchor distT="45720" distB="45720" distL="114300" distR="114300" simplePos="0" relativeHeight="251669504" behindDoc="0" locked="0" layoutInCell="1" allowOverlap="1" wp14:anchorId="52AE51D0" wp14:editId="55E3EE77">
                <wp:simplePos x="0" y="0"/>
                <wp:positionH relativeFrom="margin">
                  <wp:align>left</wp:align>
                </wp:positionH>
                <wp:positionV relativeFrom="paragraph">
                  <wp:posOffset>180975</wp:posOffset>
                </wp:positionV>
                <wp:extent cx="5610225" cy="1404620"/>
                <wp:effectExtent l="0" t="0" r="28575" b="2159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04620"/>
                        </a:xfrm>
                        <a:prstGeom prst="rect">
                          <a:avLst/>
                        </a:prstGeom>
                        <a:solidFill>
                          <a:schemeClr val="bg1">
                            <a:lumMod val="85000"/>
                          </a:schemeClr>
                        </a:solidFill>
                        <a:ln w="9525">
                          <a:solidFill>
                            <a:srgbClr val="000000"/>
                          </a:solidFill>
                          <a:miter lim="800000"/>
                          <a:headEnd/>
                          <a:tailEnd/>
                        </a:ln>
                      </wps:spPr>
                      <wps:txbx>
                        <w:txbxContent>
                          <w:p w14:paraId="10CF9647" w14:textId="7BEE3B38" w:rsidR="00944D93" w:rsidRPr="002F6CEC" w:rsidRDefault="00944D93" w:rsidP="00871105">
                            <w:pPr>
                              <w:jc w:val="both"/>
                              <w:rPr>
                                <w:rFonts w:eastAsia="Calibri" w:cs="Arial"/>
                                <w:color w:val="006600"/>
                                <w:sz w:val="24"/>
                                <w:szCs w:val="24"/>
                                <w:u w:val="single"/>
                              </w:rPr>
                            </w:pPr>
                            <w:r w:rsidRPr="002F6CEC">
                              <w:rPr>
                                <w:rFonts w:eastAsia="Calibri" w:cs="Arial"/>
                                <w:color w:val="006600"/>
                                <w:sz w:val="24"/>
                                <w:szCs w:val="24"/>
                                <w:u w:val="single"/>
                              </w:rPr>
                              <w:t>Exemption:</w:t>
                            </w:r>
                          </w:p>
                          <w:p w14:paraId="06C4D9FE" w14:textId="77777777" w:rsidR="00944D93" w:rsidRPr="002F6CEC" w:rsidRDefault="00944D93" w:rsidP="00871105">
                            <w:pPr>
                              <w:jc w:val="both"/>
                              <w:rPr>
                                <w:rFonts w:eastAsia="Calibri" w:cs="Arial"/>
                                <w:color w:val="006600"/>
                                <w:sz w:val="24"/>
                                <w:szCs w:val="24"/>
                                <w:u w:val="single"/>
                              </w:rPr>
                            </w:pPr>
                            <w:r w:rsidRPr="002F6CEC">
                              <w:rPr>
                                <w:rFonts w:eastAsia="Calibri" w:cs="Arial"/>
                                <w:color w:val="006600"/>
                                <w:sz w:val="24"/>
                                <w:szCs w:val="24"/>
                                <w:u w:val="single"/>
                              </w:rPr>
                              <w:t>Products excluded by A5.3(2) includes:</w:t>
                            </w:r>
                          </w:p>
                          <w:p w14:paraId="48EBA197"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Showers for bathing;</w:t>
                            </w:r>
                          </w:p>
                          <w:p w14:paraId="12A3002A"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Emergency showers, eye wash and/or face wash equipment;</w:t>
                            </w:r>
                          </w:p>
                          <w:p w14:paraId="124A0ABA"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Pipes;</w:t>
                            </w:r>
                          </w:p>
                          <w:p w14:paraId="3D8A2F47"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Fire-fighting equipment (including residential fire sprinklers); </w:t>
                            </w:r>
                          </w:p>
                          <w:p w14:paraId="794488FC"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Irrigation; </w:t>
                            </w:r>
                          </w:p>
                          <w:p w14:paraId="554835B7"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Appliances, including washing machines and dishwashers; </w:t>
                            </w:r>
                          </w:p>
                          <w:p w14:paraId="4E418539"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Commercial boilers (associated with heating, ventilation and air-conditioning systems); </w:t>
                            </w:r>
                          </w:p>
                          <w:p w14:paraId="42A0AA15"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Toilets; and</w:t>
                            </w:r>
                          </w:p>
                          <w:p w14:paraId="3BD761B6" w14:textId="3F1DF935" w:rsidR="00944D93" w:rsidRDefault="00944D93" w:rsidP="00871105">
                            <w:r w:rsidRPr="002F6CEC">
                              <w:rPr>
                                <w:rFonts w:eastAsia="Calibri" w:cs="Arial"/>
                                <w:color w:val="006600"/>
                                <w:sz w:val="24"/>
                                <w:szCs w:val="24"/>
                                <w:u w:val="single"/>
                              </w:rPr>
                              <w:t xml:space="preserve">Non-drinking water systems (such as recycled water systems).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AE51D0" id="_x0000_s1031" type="#_x0000_t202" style="position:absolute;left:0;text-align:left;margin-left:0;margin-top:14.25pt;width:441.7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Fq6OgIAAHAEAAAOAAAAZHJzL2Uyb0RvYy54bWysVNuO0zAQfUfiHyy/01xoSjdqulq6FCEt&#10;F2mXD3AcJ7HwDdttUr5+x05bAvuGeLF8mZw5c85MNrejFOjIrONaVThbpBgxRXXDVVfh70/7N2uM&#10;nCeqIUIrVuETc/h2+/rVZjAly3WvRcMsAhDlysFUuPfelEniaM8kcQttmILHVltJPBxtlzSWDIAu&#10;RZKn6SoZtG2M1ZQ5B7f30yPeRvy2ZdR/bVvHPBIVBm4+rjaudViT7YaUnSWm5/RMg/wDC0m4gqRX&#10;qHviCTpY/gJKcmq1061fUC0T3bacslgDVJOlf1Xz2BPDYi0gjjNXmdz/g6Vfjt8s4k2F87cYKSLB&#10;oyc2evRejygP8gzGlRD1aCDOj3ANNsdSnXnQ9IdDSu96ojp2Z60eekYaoJeFL5PZpxOOCyD18Fk3&#10;kIYcvI5AY2tl0A7UQIAONp2u1gQqFC6LVZbmeYERhbdsmS5XeTQvIeXlc2Od/8i0RGFTYQveR3hy&#10;fHA+0CHlJSRkc1rwZs+FiIfQb2wnLDoS6JS6m0oUBwlcp7t1kaaXlLE9Q3hE/QNJKDRU+KYAri+z&#10;2K6+5gC0GeCcjOQeZkJwWeH1NYiUQdoPqokd6wkX0x6qEuqsdZB3EtqP9RhdLS4W1ro5gfhWTyMA&#10;IwubXttfGA3Q/hV2Pw/EMozEJwUG3mTLZZiXeFgW70BtZOcv9fyFKApQFfYYTdudjzMWFTB3YPSe&#10;RwtCR0xMzpShraOG5xEMczM/x6jfP4rtMwAAAP//AwBQSwMEFAAGAAgAAAAhAPZp+AjdAAAABwEA&#10;AA8AAABkcnMvZG93bnJldi54bWxMj81OwzAQhO9IvIO1SNyoQ8tPSONUFQgJiVNTpF7deBtHxOvI&#10;dtLw9iwnetvZWc18W25m14sJQ+w8KbhfZCCQGm86ahV87d/vchAxaTK694QKfjDCprq+KnVh/Jl2&#10;ONWpFRxCsdAKbEpDIWVsLDodF35AYu/kg9OJZWilCfrM4a6Xyyx7kk53xA1WD/hqsfmuR6cgfNSH&#10;VdcmLw/bOTN2fNtNn3ulbm/m7RpEwjn9H8MfPqNDxUxHP5KJolfAjyQFy/wRBLt5vuLhyIuHl2eQ&#10;VSkv+atfAAAA//8DAFBLAQItABQABgAIAAAAIQC2gziS/gAAAOEBAAATAAAAAAAAAAAAAAAAAAAA&#10;AABbQ29udGVudF9UeXBlc10ueG1sUEsBAi0AFAAGAAgAAAAhADj9If/WAAAAlAEAAAsAAAAAAAAA&#10;AAAAAAAALwEAAF9yZWxzLy5yZWxzUEsBAi0AFAAGAAgAAAAhAMWgWro6AgAAcAQAAA4AAAAAAAAA&#10;AAAAAAAALgIAAGRycy9lMm9Eb2MueG1sUEsBAi0AFAAGAAgAAAAhAPZp+AjdAAAABwEAAA8AAAAA&#10;AAAAAAAAAAAAlAQAAGRycy9kb3ducmV2LnhtbFBLBQYAAAAABAAEAPMAAACeBQAAAAA=&#10;" fillcolor="#d8d8d8 [2732]">
                <v:textbox style="mso-fit-shape-to-text:t">
                  <w:txbxContent>
                    <w:p w14:paraId="10CF9647" w14:textId="7BEE3B38" w:rsidR="00944D93" w:rsidRPr="002F6CEC" w:rsidRDefault="00944D93" w:rsidP="00871105">
                      <w:pPr>
                        <w:jc w:val="both"/>
                        <w:rPr>
                          <w:rFonts w:eastAsia="Calibri" w:cs="Arial"/>
                          <w:color w:val="006600"/>
                          <w:sz w:val="24"/>
                          <w:szCs w:val="24"/>
                          <w:u w:val="single"/>
                        </w:rPr>
                      </w:pPr>
                      <w:r w:rsidRPr="002F6CEC">
                        <w:rPr>
                          <w:rFonts w:eastAsia="Calibri" w:cs="Arial"/>
                          <w:color w:val="006600"/>
                          <w:sz w:val="24"/>
                          <w:szCs w:val="24"/>
                          <w:u w:val="single"/>
                        </w:rPr>
                        <w:t>Exemption:</w:t>
                      </w:r>
                    </w:p>
                    <w:p w14:paraId="06C4D9FE" w14:textId="77777777" w:rsidR="00944D93" w:rsidRPr="002F6CEC" w:rsidRDefault="00944D93" w:rsidP="00871105">
                      <w:pPr>
                        <w:jc w:val="both"/>
                        <w:rPr>
                          <w:rFonts w:eastAsia="Calibri" w:cs="Arial"/>
                          <w:color w:val="006600"/>
                          <w:sz w:val="24"/>
                          <w:szCs w:val="24"/>
                          <w:u w:val="single"/>
                        </w:rPr>
                      </w:pPr>
                      <w:r w:rsidRPr="002F6CEC">
                        <w:rPr>
                          <w:rFonts w:eastAsia="Calibri" w:cs="Arial"/>
                          <w:color w:val="006600"/>
                          <w:sz w:val="24"/>
                          <w:szCs w:val="24"/>
                          <w:u w:val="single"/>
                        </w:rPr>
                        <w:t>Products excluded by A5.3(2) includes:</w:t>
                      </w:r>
                    </w:p>
                    <w:p w14:paraId="48EBA197"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Showers for bathing;</w:t>
                      </w:r>
                    </w:p>
                    <w:p w14:paraId="12A3002A"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Emergency showers, eye wash and/or face wash equipment;</w:t>
                      </w:r>
                    </w:p>
                    <w:p w14:paraId="124A0ABA"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Pipes;</w:t>
                      </w:r>
                    </w:p>
                    <w:p w14:paraId="3D8A2F47"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Fire-fighting equipment (including residential fire sprinklers); </w:t>
                      </w:r>
                    </w:p>
                    <w:p w14:paraId="794488FC"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Irrigation; </w:t>
                      </w:r>
                    </w:p>
                    <w:p w14:paraId="554835B7"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Appliances, including washing machines and dishwashers; </w:t>
                      </w:r>
                    </w:p>
                    <w:p w14:paraId="4E418539"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 xml:space="preserve">Commercial boilers (associated with heating, ventilation and air-conditioning systems); </w:t>
                      </w:r>
                    </w:p>
                    <w:p w14:paraId="42A0AA15" w14:textId="77777777" w:rsidR="00944D93" w:rsidRPr="002F6CEC" w:rsidRDefault="00944D93" w:rsidP="00871105">
                      <w:pPr>
                        <w:numPr>
                          <w:ilvl w:val="0"/>
                          <w:numId w:val="47"/>
                        </w:numPr>
                        <w:spacing w:before="120"/>
                        <w:jc w:val="both"/>
                        <w:rPr>
                          <w:rFonts w:eastAsia="Calibri" w:cs="Arial"/>
                          <w:color w:val="006600"/>
                          <w:sz w:val="24"/>
                          <w:szCs w:val="24"/>
                          <w:u w:val="single"/>
                        </w:rPr>
                      </w:pPr>
                      <w:r w:rsidRPr="002F6CEC">
                        <w:rPr>
                          <w:rFonts w:eastAsia="Calibri" w:cs="Arial"/>
                          <w:color w:val="006600"/>
                          <w:sz w:val="24"/>
                          <w:szCs w:val="24"/>
                          <w:u w:val="single"/>
                        </w:rPr>
                        <w:t>Toilets; and</w:t>
                      </w:r>
                    </w:p>
                    <w:p w14:paraId="3BD761B6" w14:textId="3F1DF935" w:rsidR="00944D93" w:rsidRDefault="00944D93" w:rsidP="00871105">
                      <w:r w:rsidRPr="002F6CEC">
                        <w:rPr>
                          <w:rFonts w:eastAsia="Calibri" w:cs="Arial"/>
                          <w:color w:val="006600"/>
                          <w:sz w:val="24"/>
                          <w:szCs w:val="24"/>
                          <w:u w:val="single"/>
                        </w:rPr>
                        <w:t xml:space="preserve">Non-drinking water systems (such as recycled water systems).  </w:t>
                      </w:r>
                    </w:p>
                  </w:txbxContent>
                </v:textbox>
                <w10:wrap type="square" anchorx="margin"/>
              </v:shape>
            </w:pict>
          </mc:Fallback>
        </mc:AlternateContent>
      </w:r>
      <w:r w:rsidR="002F6CEC" w:rsidRPr="002F6CEC">
        <w:rPr>
          <w:rFonts w:eastAsia="Calibri" w:cs="Arial"/>
          <w:sz w:val="24"/>
          <w:szCs w:val="24"/>
        </w:rPr>
        <w:t>The following definitions are proposed for Schedule 3:</w:t>
      </w:r>
    </w:p>
    <w:p w14:paraId="139D9AAA" w14:textId="77777777" w:rsidR="002F6CEC" w:rsidRPr="002F6CEC" w:rsidRDefault="002F6CEC" w:rsidP="00871105">
      <w:pPr>
        <w:spacing w:before="120" w:line="360" w:lineRule="auto"/>
        <w:rPr>
          <w:rFonts w:eastAsia="Calibri" w:cs="Arial"/>
          <w:color w:val="006600"/>
          <w:sz w:val="24"/>
          <w:szCs w:val="24"/>
          <w:u w:val="single"/>
        </w:rPr>
      </w:pPr>
      <w:r w:rsidRPr="002F6CEC">
        <w:rPr>
          <w:rFonts w:eastAsia="Calibri" w:cs="Arial"/>
          <w:b/>
          <w:bCs/>
          <w:color w:val="006600"/>
          <w:sz w:val="24"/>
          <w:szCs w:val="24"/>
          <w:u w:val="single"/>
        </w:rPr>
        <w:t>Weighted average</w:t>
      </w:r>
      <w:r w:rsidRPr="002F6CEC">
        <w:rPr>
          <w:rFonts w:eastAsia="Calibri" w:cs="Arial"/>
          <w:color w:val="006600"/>
          <w:sz w:val="24"/>
          <w:szCs w:val="24"/>
          <w:u w:val="single"/>
        </w:rPr>
        <w:t xml:space="preserve"> – calculated across the </w:t>
      </w:r>
      <w:r w:rsidRPr="002F6CEC">
        <w:rPr>
          <w:rFonts w:eastAsia="Calibri" w:cs="Arial"/>
          <w:i/>
          <w:iCs/>
          <w:color w:val="006600"/>
          <w:sz w:val="24"/>
          <w:szCs w:val="24"/>
          <w:u w:val="single"/>
        </w:rPr>
        <w:t>wetted surface area</w:t>
      </w:r>
      <w:r w:rsidRPr="002F6CEC">
        <w:rPr>
          <w:rFonts w:eastAsia="Calibri" w:cs="Arial"/>
          <w:color w:val="006600"/>
          <w:sz w:val="24"/>
          <w:szCs w:val="24"/>
          <w:u w:val="single"/>
        </w:rPr>
        <w:t xml:space="preserve"> of a pipe, pipe fitting and plumbing fixture. </w:t>
      </w:r>
    </w:p>
    <w:p w14:paraId="2043151F" w14:textId="77777777" w:rsidR="002F6CEC" w:rsidRPr="002F6CEC" w:rsidRDefault="002F6CEC" w:rsidP="00D8385F">
      <w:pPr>
        <w:spacing w:line="360" w:lineRule="auto"/>
        <w:rPr>
          <w:rFonts w:eastAsia="Calibri" w:cs="Arial"/>
          <w:color w:val="006600"/>
          <w:sz w:val="24"/>
          <w:szCs w:val="24"/>
          <w:u w:val="single"/>
        </w:rPr>
      </w:pPr>
      <w:r w:rsidRPr="002F6CEC">
        <w:rPr>
          <w:rFonts w:eastAsia="Calibri" w:cs="Arial"/>
          <w:b/>
          <w:bCs/>
          <w:color w:val="006600"/>
          <w:sz w:val="24"/>
          <w:szCs w:val="24"/>
          <w:u w:val="single"/>
        </w:rPr>
        <w:t>Wetted surface area</w:t>
      </w:r>
      <w:r w:rsidRPr="002F6CEC">
        <w:rPr>
          <w:rFonts w:eastAsia="Calibri" w:cs="Arial"/>
          <w:color w:val="006600"/>
          <w:sz w:val="24"/>
          <w:szCs w:val="24"/>
          <w:u w:val="single"/>
        </w:rPr>
        <w:t xml:space="preserve"> – calculated by the total sum of diameter (D) in contact with drinking water. </w:t>
      </w:r>
    </w:p>
    <w:p w14:paraId="488E03ED" w14:textId="77777777" w:rsidR="002F6CEC" w:rsidRPr="002F6CEC" w:rsidRDefault="002F6CEC" w:rsidP="00D8385F">
      <w:pPr>
        <w:spacing w:line="360" w:lineRule="auto"/>
        <w:rPr>
          <w:rFonts w:eastAsia="Calibri" w:cs="Arial"/>
          <w:sz w:val="24"/>
          <w:szCs w:val="24"/>
        </w:rPr>
      </w:pPr>
      <w:r w:rsidRPr="002F6CEC">
        <w:rPr>
          <w:rFonts w:eastAsia="Calibri" w:cs="Arial"/>
          <w:sz w:val="24"/>
          <w:szCs w:val="24"/>
        </w:rPr>
        <w:t>For the purposes of clarity in relation to low lead, the following definition is proposed for Schedule 3:</w:t>
      </w:r>
    </w:p>
    <w:p w14:paraId="0B3987BF" w14:textId="77777777" w:rsidR="001B30D2" w:rsidRDefault="002F6CEC" w:rsidP="00D8385F">
      <w:pPr>
        <w:spacing w:after="0"/>
        <w:jc w:val="both"/>
        <w:rPr>
          <w:rFonts w:cs="Arial"/>
          <w:color w:val="00B050"/>
          <w:sz w:val="24"/>
          <w:szCs w:val="24"/>
        </w:rPr>
      </w:pPr>
      <w:r w:rsidRPr="002F6CEC">
        <w:rPr>
          <w:rFonts w:eastAsia="Calibri" w:cs="Arial"/>
          <w:b/>
          <w:bCs/>
          <w:color w:val="006600"/>
          <w:sz w:val="24"/>
          <w:szCs w:val="24"/>
          <w:u w:val="single"/>
        </w:rPr>
        <w:t>Low lead</w:t>
      </w:r>
      <w:r w:rsidRPr="002F6CEC">
        <w:rPr>
          <w:rFonts w:eastAsia="Calibri" w:cs="Arial"/>
          <w:color w:val="006600"/>
          <w:sz w:val="24"/>
          <w:szCs w:val="24"/>
          <w:u w:val="single"/>
        </w:rPr>
        <w:t xml:space="preserve"> – a plumbing product or material in contact with </w:t>
      </w:r>
      <w:r w:rsidRPr="002F6CEC">
        <w:rPr>
          <w:rFonts w:eastAsia="Calibri" w:cs="Arial"/>
          <w:i/>
          <w:iCs/>
          <w:color w:val="006600"/>
          <w:sz w:val="24"/>
          <w:szCs w:val="24"/>
          <w:u w:val="single"/>
        </w:rPr>
        <w:t>drinking water</w:t>
      </w:r>
      <w:r w:rsidRPr="002F6CEC">
        <w:rPr>
          <w:rFonts w:eastAsia="Calibri" w:cs="Arial"/>
          <w:color w:val="006600"/>
          <w:sz w:val="24"/>
          <w:szCs w:val="24"/>
          <w:u w:val="single"/>
        </w:rPr>
        <w:t xml:space="preserve"> calculated using a </w:t>
      </w:r>
      <w:r w:rsidRPr="002F6CEC">
        <w:rPr>
          <w:rFonts w:eastAsia="Calibri" w:cs="Arial"/>
          <w:i/>
          <w:iCs/>
          <w:color w:val="006600"/>
          <w:sz w:val="24"/>
          <w:szCs w:val="24"/>
          <w:u w:val="single"/>
        </w:rPr>
        <w:t>weighted average</w:t>
      </w:r>
      <w:r w:rsidRPr="002F6CEC">
        <w:rPr>
          <w:rFonts w:eastAsia="Calibri" w:cs="Arial"/>
          <w:color w:val="006600"/>
          <w:sz w:val="24"/>
          <w:szCs w:val="24"/>
          <w:u w:val="single"/>
        </w:rPr>
        <w:t xml:space="preserve"> lead content of no more than 0.25%.</w:t>
      </w:r>
      <w:bookmarkEnd w:id="327"/>
      <w:bookmarkEnd w:id="328"/>
    </w:p>
    <w:p w14:paraId="39196C66" w14:textId="77777777" w:rsidR="002F6CEC" w:rsidRDefault="002F6CEC" w:rsidP="00D8385F">
      <w:pPr>
        <w:rPr>
          <w:rFonts w:eastAsiaTheme="majorEastAsia" w:cs="Arial"/>
          <w:iCs/>
          <w:color w:val="002060"/>
          <w:sz w:val="28"/>
          <w:szCs w:val="28"/>
        </w:rPr>
      </w:pPr>
      <w:r>
        <w:rPr>
          <w:rFonts w:cs="Arial"/>
          <w:b/>
          <w:bCs/>
          <w:sz w:val="28"/>
          <w:szCs w:val="28"/>
        </w:rPr>
        <w:br w:type="page"/>
      </w:r>
    </w:p>
    <w:p w14:paraId="1F605FDF" w14:textId="77777777" w:rsidR="001B30D2" w:rsidRPr="00173E9D" w:rsidRDefault="001B30D2" w:rsidP="00D8385F">
      <w:pPr>
        <w:pStyle w:val="Heading2"/>
        <w:rPr>
          <w:rFonts w:ascii="Arial" w:hAnsi="Arial" w:cs="Arial"/>
          <w:b w:val="0"/>
          <w:bCs w:val="0"/>
          <w:sz w:val="28"/>
          <w:szCs w:val="28"/>
        </w:rPr>
      </w:pPr>
      <w:r w:rsidRPr="00173E9D">
        <w:rPr>
          <w:rFonts w:ascii="Arial" w:hAnsi="Arial" w:cs="Arial"/>
          <w:b w:val="0"/>
          <w:bCs w:val="0"/>
          <w:sz w:val="28"/>
          <w:szCs w:val="28"/>
        </w:rPr>
        <w:lastRenderedPageBreak/>
        <w:t>Explanation of changes</w:t>
      </w:r>
    </w:p>
    <w:p w14:paraId="4F4AA72E" w14:textId="77777777" w:rsidR="001B30D2" w:rsidRPr="00E101E1" w:rsidRDefault="001B30D2" w:rsidP="00D8385F">
      <w:pPr>
        <w:spacing w:line="360" w:lineRule="auto"/>
        <w:jc w:val="both"/>
        <w:rPr>
          <w:rFonts w:cs="Arial"/>
          <w:sz w:val="24"/>
          <w:szCs w:val="24"/>
        </w:rPr>
      </w:pPr>
      <w:r w:rsidRPr="00E101E1">
        <w:rPr>
          <w:rFonts w:cs="Arial"/>
          <w:sz w:val="24"/>
          <w:szCs w:val="24"/>
        </w:rPr>
        <w:t xml:space="preserve">NSF/ANSI 372 is an American National Standard that establishes a standardised methodology for the determination and verification of product compliance to minimise lead contaminants. </w:t>
      </w:r>
    </w:p>
    <w:p w14:paraId="7DFC8040" w14:textId="77777777" w:rsidR="001B30D2" w:rsidRPr="00E101E1" w:rsidRDefault="001B30D2" w:rsidP="00D8385F">
      <w:pPr>
        <w:spacing w:line="360" w:lineRule="auto"/>
        <w:jc w:val="both"/>
        <w:rPr>
          <w:rFonts w:cs="Arial"/>
          <w:sz w:val="24"/>
          <w:szCs w:val="24"/>
        </w:rPr>
      </w:pPr>
      <w:r w:rsidRPr="00E101E1">
        <w:rPr>
          <w:rFonts w:cs="Arial"/>
          <w:sz w:val="24"/>
          <w:szCs w:val="24"/>
        </w:rPr>
        <w:t>The NSF/ANSI 372 standard includes:</w:t>
      </w:r>
    </w:p>
    <w:p w14:paraId="5AD110B5" w14:textId="77777777" w:rsidR="001B30D2" w:rsidRPr="00E101E1" w:rsidRDefault="001B30D2" w:rsidP="00D8385F">
      <w:pPr>
        <w:numPr>
          <w:ilvl w:val="0"/>
          <w:numId w:val="12"/>
        </w:numPr>
        <w:spacing w:after="160" w:line="360" w:lineRule="auto"/>
        <w:contextualSpacing/>
        <w:jc w:val="both"/>
        <w:rPr>
          <w:rFonts w:cs="Arial"/>
          <w:sz w:val="24"/>
          <w:szCs w:val="24"/>
        </w:rPr>
      </w:pPr>
      <w:r w:rsidRPr="00E101E1">
        <w:rPr>
          <w:rFonts w:cs="Arial"/>
          <w:sz w:val="24"/>
          <w:szCs w:val="24"/>
        </w:rPr>
        <w:t>A maximum weighted lead content of 0.25</w:t>
      </w:r>
      <w:r w:rsidR="00224C51">
        <w:rPr>
          <w:rFonts w:cs="Arial"/>
          <w:sz w:val="24"/>
          <w:szCs w:val="24"/>
        </w:rPr>
        <w:t>%</w:t>
      </w:r>
      <w:r w:rsidR="00224C51" w:rsidRPr="00E101E1">
        <w:rPr>
          <w:rFonts w:cs="Arial"/>
          <w:sz w:val="24"/>
          <w:szCs w:val="24"/>
        </w:rPr>
        <w:t xml:space="preserve"> </w:t>
      </w:r>
      <w:r w:rsidRPr="00E101E1">
        <w:rPr>
          <w:rFonts w:cs="Arial"/>
          <w:sz w:val="24"/>
          <w:szCs w:val="24"/>
        </w:rPr>
        <w:t>(0.2</w:t>
      </w:r>
      <w:r w:rsidR="00224C51">
        <w:rPr>
          <w:rFonts w:cs="Arial"/>
          <w:sz w:val="24"/>
          <w:szCs w:val="24"/>
        </w:rPr>
        <w:t>%</w:t>
      </w:r>
      <w:r w:rsidR="00224C51" w:rsidRPr="00E101E1">
        <w:rPr>
          <w:rFonts w:cs="Arial"/>
          <w:sz w:val="24"/>
          <w:szCs w:val="24"/>
        </w:rPr>
        <w:t xml:space="preserve"> </w:t>
      </w:r>
      <w:r w:rsidRPr="00E101E1">
        <w:rPr>
          <w:rFonts w:cs="Arial"/>
          <w:sz w:val="24"/>
          <w:szCs w:val="24"/>
        </w:rPr>
        <w:t>for solders and fluxes).</w:t>
      </w:r>
    </w:p>
    <w:p w14:paraId="217ADA87" w14:textId="77777777" w:rsidR="001B30D2" w:rsidRPr="00E101E1" w:rsidRDefault="001B30D2" w:rsidP="00D8385F">
      <w:pPr>
        <w:numPr>
          <w:ilvl w:val="0"/>
          <w:numId w:val="12"/>
        </w:numPr>
        <w:spacing w:after="160" w:line="360" w:lineRule="auto"/>
        <w:contextualSpacing/>
        <w:jc w:val="both"/>
        <w:rPr>
          <w:rFonts w:cs="Arial"/>
          <w:sz w:val="24"/>
          <w:szCs w:val="24"/>
        </w:rPr>
      </w:pPr>
      <w:r w:rsidRPr="00E101E1">
        <w:rPr>
          <w:rFonts w:cs="Arial"/>
          <w:sz w:val="24"/>
          <w:szCs w:val="24"/>
        </w:rPr>
        <w:t>A formula for calculating the weighted average lead content of each product prior to testing</w:t>
      </w:r>
      <w:r w:rsidR="006A34BA">
        <w:rPr>
          <w:rFonts w:cs="Arial"/>
          <w:sz w:val="24"/>
          <w:szCs w:val="24"/>
        </w:rPr>
        <w:t>.</w:t>
      </w:r>
    </w:p>
    <w:p w14:paraId="011E40AB" w14:textId="77777777" w:rsidR="006A34BA" w:rsidRDefault="001B30D2" w:rsidP="00D8385F">
      <w:pPr>
        <w:numPr>
          <w:ilvl w:val="0"/>
          <w:numId w:val="12"/>
        </w:numPr>
        <w:spacing w:after="160" w:line="360" w:lineRule="auto"/>
        <w:contextualSpacing/>
        <w:jc w:val="both"/>
        <w:rPr>
          <w:rFonts w:cs="Arial"/>
          <w:sz w:val="24"/>
          <w:szCs w:val="24"/>
        </w:rPr>
      </w:pPr>
      <w:r w:rsidRPr="00E101E1">
        <w:rPr>
          <w:rFonts w:cs="Arial"/>
          <w:sz w:val="24"/>
          <w:szCs w:val="24"/>
        </w:rPr>
        <w:t xml:space="preserve">Specific procedures for testing products for </w:t>
      </w:r>
      <w:r w:rsidR="006A34BA">
        <w:rPr>
          <w:rFonts w:cs="Arial"/>
          <w:sz w:val="24"/>
          <w:szCs w:val="24"/>
        </w:rPr>
        <w:t xml:space="preserve">lead </w:t>
      </w:r>
      <w:r w:rsidRPr="00E101E1">
        <w:rPr>
          <w:rFonts w:cs="Arial"/>
          <w:sz w:val="24"/>
          <w:szCs w:val="24"/>
        </w:rPr>
        <w:t xml:space="preserve">content. </w:t>
      </w:r>
    </w:p>
    <w:p w14:paraId="00A38883" w14:textId="77777777" w:rsidR="006A34BA" w:rsidRPr="006A34BA" w:rsidRDefault="001B30D2" w:rsidP="00D8385F">
      <w:pPr>
        <w:numPr>
          <w:ilvl w:val="0"/>
          <w:numId w:val="12"/>
        </w:numPr>
        <w:spacing w:after="160" w:line="360" w:lineRule="auto"/>
        <w:contextualSpacing/>
        <w:jc w:val="both"/>
        <w:rPr>
          <w:rFonts w:cs="Arial"/>
          <w:sz w:val="24"/>
          <w:szCs w:val="24"/>
        </w:rPr>
      </w:pPr>
      <w:r w:rsidRPr="006A34BA">
        <w:rPr>
          <w:rFonts w:cs="Arial"/>
          <w:sz w:val="24"/>
          <w:szCs w:val="24"/>
        </w:rPr>
        <w:t>Verification test requirements.</w:t>
      </w:r>
    </w:p>
    <w:p w14:paraId="1CB8B966" w14:textId="77777777" w:rsidR="001B30D2" w:rsidRPr="00E101E1" w:rsidRDefault="001B30D2" w:rsidP="00D8385F">
      <w:pPr>
        <w:spacing w:line="360" w:lineRule="auto"/>
        <w:jc w:val="both"/>
        <w:rPr>
          <w:rFonts w:cs="Arial"/>
          <w:sz w:val="24"/>
          <w:szCs w:val="24"/>
        </w:rPr>
      </w:pPr>
      <w:r w:rsidRPr="00E101E1">
        <w:rPr>
          <w:rFonts w:cs="Arial"/>
          <w:sz w:val="24"/>
          <w:szCs w:val="24"/>
        </w:rPr>
        <w:t>NSF/ANSI 372 addresses</w:t>
      </w:r>
      <w:r>
        <w:rPr>
          <w:rFonts w:cs="Arial"/>
          <w:sz w:val="24"/>
          <w:szCs w:val="24"/>
        </w:rPr>
        <w:t xml:space="preserve"> the</w:t>
      </w:r>
      <w:r w:rsidRPr="00E101E1">
        <w:rPr>
          <w:rFonts w:cs="Arial"/>
          <w:sz w:val="24"/>
          <w:szCs w:val="24"/>
        </w:rPr>
        <w:t xml:space="preserve"> lead content </w:t>
      </w:r>
      <w:r>
        <w:rPr>
          <w:rFonts w:cs="Arial"/>
          <w:sz w:val="24"/>
          <w:szCs w:val="24"/>
        </w:rPr>
        <w:t>of a product</w:t>
      </w:r>
      <w:r w:rsidRPr="00E101E1">
        <w:rPr>
          <w:rFonts w:cs="Arial"/>
          <w:sz w:val="24"/>
          <w:szCs w:val="24"/>
        </w:rPr>
        <w:t xml:space="preserve"> </w:t>
      </w:r>
      <w:r>
        <w:rPr>
          <w:rFonts w:cs="Arial"/>
          <w:sz w:val="24"/>
          <w:szCs w:val="24"/>
        </w:rPr>
        <w:t>and</w:t>
      </w:r>
      <w:r w:rsidR="004B7258">
        <w:rPr>
          <w:rFonts w:cs="Arial"/>
          <w:sz w:val="24"/>
          <w:szCs w:val="24"/>
        </w:rPr>
        <w:t>,</w:t>
      </w:r>
      <w:r>
        <w:rPr>
          <w:rFonts w:cs="Arial"/>
          <w:sz w:val="24"/>
          <w:szCs w:val="24"/>
        </w:rPr>
        <w:t xml:space="preserve"> t</w:t>
      </w:r>
      <w:r w:rsidRPr="00E101E1">
        <w:rPr>
          <w:rFonts w:cs="Arial"/>
          <w:sz w:val="24"/>
          <w:szCs w:val="24"/>
        </w:rPr>
        <w:t xml:space="preserve">o ensure </w:t>
      </w:r>
      <w:r>
        <w:rPr>
          <w:rFonts w:cs="Arial"/>
          <w:sz w:val="24"/>
          <w:szCs w:val="24"/>
        </w:rPr>
        <w:t>compliance is achieved</w:t>
      </w:r>
      <w:r w:rsidRPr="00E101E1">
        <w:rPr>
          <w:rFonts w:cs="Arial"/>
          <w:sz w:val="24"/>
          <w:szCs w:val="24"/>
        </w:rPr>
        <w:t>, it is proposed to require certification by a</w:t>
      </w:r>
      <w:r>
        <w:rPr>
          <w:rFonts w:cs="Arial"/>
          <w:sz w:val="24"/>
          <w:szCs w:val="24"/>
        </w:rPr>
        <w:t>n</w:t>
      </w:r>
      <w:r w:rsidRPr="00E101E1">
        <w:rPr>
          <w:rFonts w:cs="Arial"/>
          <w:sz w:val="24"/>
          <w:szCs w:val="24"/>
        </w:rPr>
        <w:t xml:space="preserve"> Accredited Testing Laboratory or certification body.  </w:t>
      </w:r>
    </w:p>
    <w:p w14:paraId="75AD38AE" w14:textId="77777777" w:rsidR="001B30D2" w:rsidRPr="00E101E1" w:rsidRDefault="001B30D2" w:rsidP="00D8385F">
      <w:pPr>
        <w:spacing w:after="120" w:line="360" w:lineRule="auto"/>
        <w:jc w:val="both"/>
        <w:rPr>
          <w:rFonts w:cs="Arial"/>
          <w:sz w:val="24"/>
          <w:szCs w:val="24"/>
        </w:rPr>
      </w:pPr>
      <w:r>
        <w:rPr>
          <w:rFonts w:cs="Arial"/>
          <w:sz w:val="24"/>
          <w:szCs w:val="24"/>
        </w:rPr>
        <w:t>C</w:t>
      </w:r>
      <w:r w:rsidRPr="00E101E1">
        <w:rPr>
          <w:rFonts w:cs="Arial"/>
          <w:sz w:val="24"/>
          <w:szCs w:val="24"/>
        </w:rPr>
        <w:t xml:space="preserve">onformance to an extraction or leaching test </w:t>
      </w:r>
      <w:r w:rsidR="001C6CDF" w:rsidRPr="00E101E1">
        <w:rPr>
          <w:rFonts w:cs="Arial"/>
          <w:sz w:val="24"/>
          <w:szCs w:val="24"/>
        </w:rPr>
        <w:t>standard</w:t>
      </w:r>
      <w:r w:rsidR="004B7258">
        <w:rPr>
          <w:rFonts w:cs="Arial"/>
          <w:sz w:val="24"/>
          <w:szCs w:val="24"/>
        </w:rPr>
        <w:t>,</w:t>
      </w:r>
      <w:r w:rsidR="001C6CDF">
        <w:rPr>
          <w:rFonts w:cs="Arial"/>
          <w:sz w:val="24"/>
          <w:szCs w:val="24"/>
        </w:rPr>
        <w:t xml:space="preserve"> </w:t>
      </w:r>
      <w:r w:rsidR="001C6CDF" w:rsidRPr="00E101E1">
        <w:rPr>
          <w:rFonts w:cs="Arial"/>
          <w:sz w:val="24"/>
          <w:szCs w:val="24"/>
        </w:rPr>
        <w:t>AS</w:t>
      </w:r>
      <w:r w:rsidRPr="00E101E1">
        <w:rPr>
          <w:rFonts w:cs="Arial"/>
          <w:sz w:val="24"/>
          <w:szCs w:val="24"/>
        </w:rPr>
        <w:t>/NZS 4020</w:t>
      </w:r>
      <w:r w:rsidR="004B7258">
        <w:rPr>
          <w:rFonts w:cs="Arial"/>
          <w:sz w:val="24"/>
          <w:szCs w:val="24"/>
        </w:rPr>
        <w:t>,</w:t>
      </w:r>
      <w:r>
        <w:rPr>
          <w:rFonts w:cs="Arial"/>
          <w:sz w:val="24"/>
          <w:szCs w:val="24"/>
        </w:rPr>
        <w:t xml:space="preserve"> would remain</w:t>
      </w:r>
      <w:r w:rsidRPr="00E101E1">
        <w:rPr>
          <w:rFonts w:cs="Arial"/>
          <w:sz w:val="24"/>
          <w:szCs w:val="24"/>
        </w:rPr>
        <w:t xml:space="preserve">. </w:t>
      </w:r>
    </w:p>
    <w:p w14:paraId="11646CBA" w14:textId="77777777" w:rsidR="001B30D2" w:rsidRPr="00E101E1" w:rsidRDefault="001B30D2" w:rsidP="00D8385F">
      <w:pPr>
        <w:spacing w:after="120" w:line="360" w:lineRule="auto"/>
        <w:jc w:val="both"/>
        <w:rPr>
          <w:rFonts w:cs="Arial"/>
          <w:sz w:val="24"/>
          <w:szCs w:val="24"/>
        </w:rPr>
      </w:pPr>
      <w:r>
        <w:rPr>
          <w:rFonts w:cs="Arial"/>
          <w:sz w:val="24"/>
          <w:szCs w:val="24"/>
        </w:rPr>
        <w:t>In accordance with the Governing Requirements (A1.4</w:t>
      </w:r>
      <w:r w:rsidR="00224C51">
        <w:rPr>
          <w:rFonts w:cs="Arial"/>
          <w:sz w:val="24"/>
          <w:szCs w:val="24"/>
        </w:rPr>
        <w:t xml:space="preserve">) </w:t>
      </w:r>
      <w:r>
        <w:rPr>
          <w:rFonts w:cs="Arial"/>
          <w:sz w:val="24"/>
          <w:szCs w:val="24"/>
        </w:rPr>
        <w:t xml:space="preserve">the NCC </w:t>
      </w:r>
      <w:r w:rsidRPr="00E101E1">
        <w:rPr>
          <w:rFonts w:cs="Arial"/>
          <w:sz w:val="24"/>
          <w:szCs w:val="24"/>
        </w:rPr>
        <w:t>over-rule</w:t>
      </w:r>
      <w:r>
        <w:rPr>
          <w:rFonts w:cs="Arial"/>
          <w:sz w:val="24"/>
          <w:szCs w:val="24"/>
        </w:rPr>
        <w:t>s</w:t>
      </w:r>
      <w:r w:rsidRPr="00E101E1">
        <w:rPr>
          <w:rFonts w:cs="Arial"/>
          <w:sz w:val="24"/>
          <w:szCs w:val="24"/>
        </w:rPr>
        <w:t xml:space="preserve"> </w:t>
      </w:r>
      <w:r>
        <w:rPr>
          <w:rFonts w:cs="Arial"/>
          <w:sz w:val="24"/>
          <w:szCs w:val="24"/>
        </w:rPr>
        <w:t>any differences between it and its primary or secondary referenced document. T</w:t>
      </w:r>
      <w:r w:rsidRPr="00E101E1">
        <w:rPr>
          <w:rFonts w:cs="Arial"/>
          <w:sz w:val="24"/>
          <w:szCs w:val="24"/>
        </w:rPr>
        <w:t>he required limits of product and material specifications</w:t>
      </w:r>
      <w:r>
        <w:rPr>
          <w:rFonts w:cs="Arial"/>
          <w:sz w:val="24"/>
          <w:szCs w:val="24"/>
        </w:rPr>
        <w:t xml:space="preserve"> could</w:t>
      </w:r>
      <w:r w:rsidRPr="00E101E1">
        <w:rPr>
          <w:rFonts w:cs="Arial"/>
          <w:sz w:val="24"/>
          <w:szCs w:val="24"/>
        </w:rPr>
        <w:t xml:space="preserve"> be amended to align with this requirement post adoption of NCC 2022.</w:t>
      </w:r>
    </w:p>
    <w:p w14:paraId="54ABE107" w14:textId="77777777" w:rsidR="001B30D2" w:rsidRPr="00173E9D" w:rsidRDefault="001B30D2" w:rsidP="00D8385F">
      <w:pPr>
        <w:pStyle w:val="Heading2"/>
        <w:rPr>
          <w:rFonts w:ascii="Arial" w:hAnsi="Arial" w:cs="Arial"/>
          <w:b w:val="0"/>
          <w:bCs w:val="0"/>
          <w:sz w:val="28"/>
          <w:szCs w:val="28"/>
        </w:rPr>
      </w:pPr>
      <w:bookmarkStart w:id="329" w:name="_Toc47287783"/>
      <w:bookmarkStart w:id="330" w:name="_Toc47287924"/>
      <w:r w:rsidRPr="00173E9D">
        <w:rPr>
          <w:rFonts w:ascii="Arial" w:hAnsi="Arial" w:cs="Arial"/>
          <w:b w:val="0"/>
          <w:bCs w:val="0"/>
          <w:sz w:val="28"/>
          <w:szCs w:val="28"/>
        </w:rPr>
        <w:t>How to calculate the wetted surface area</w:t>
      </w:r>
      <w:bookmarkEnd w:id="329"/>
      <w:bookmarkEnd w:id="330"/>
    </w:p>
    <w:p w14:paraId="60E4B1FE" w14:textId="77777777" w:rsidR="001B30D2" w:rsidRPr="00FC66F0" w:rsidRDefault="001B30D2" w:rsidP="00D8385F">
      <w:pPr>
        <w:spacing w:line="360" w:lineRule="auto"/>
        <w:rPr>
          <w:sz w:val="24"/>
          <w:szCs w:val="24"/>
        </w:rPr>
      </w:pPr>
      <w:r w:rsidRPr="00FC66F0">
        <w:rPr>
          <w:sz w:val="24"/>
          <w:szCs w:val="24"/>
        </w:rPr>
        <w:t xml:space="preserve">A worked example of how to </w:t>
      </w:r>
      <w:r>
        <w:rPr>
          <w:sz w:val="24"/>
          <w:szCs w:val="24"/>
        </w:rPr>
        <w:t>calculate the</w:t>
      </w:r>
      <w:r w:rsidRPr="00FC66F0">
        <w:rPr>
          <w:sz w:val="24"/>
          <w:szCs w:val="24"/>
        </w:rPr>
        <w:t xml:space="preserve"> weighted average lead content</w:t>
      </w:r>
      <w:r>
        <w:rPr>
          <w:sz w:val="24"/>
          <w:szCs w:val="24"/>
        </w:rPr>
        <w:t xml:space="preserve"> of a plumbing product</w:t>
      </w:r>
      <w:r w:rsidRPr="00FC66F0">
        <w:rPr>
          <w:sz w:val="24"/>
          <w:szCs w:val="24"/>
        </w:rPr>
        <w:t xml:space="preserve"> is shown in Table </w:t>
      </w:r>
      <w:r w:rsidR="007F069A">
        <w:rPr>
          <w:sz w:val="24"/>
          <w:szCs w:val="24"/>
        </w:rPr>
        <w:t>A</w:t>
      </w:r>
      <w:r w:rsidR="00601AF0">
        <w:rPr>
          <w:sz w:val="24"/>
          <w:szCs w:val="24"/>
        </w:rPr>
        <w:t>1</w:t>
      </w:r>
      <w:r w:rsidRPr="00FC66F0">
        <w:rPr>
          <w:sz w:val="24"/>
          <w:szCs w:val="24"/>
        </w:rPr>
        <w:t xml:space="preserve">. </w:t>
      </w:r>
    </w:p>
    <w:p w14:paraId="408D3F0E" w14:textId="77777777" w:rsidR="001B30D2" w:rsidRPr="00FC66F0" w:rsidRDefault="001B30D2" w:rsidP="00D8385F">
      <w:pPr>
        <w:spacing w:line="360" w:lineRule="auto"/>
        <w:rPr>
          <w:rFonts w:cs="Arial"/>
          <w:bCs/>
          <w:color w:val="002060"/>
          <w:sz w:val="24"/>
          <w:szCs w:val="24"/>
        </w:rPr>
      </w:pPr>
      <w:r w:rsidRPr="00FC66F0">
        <w:rPr>
          <w:rFonts w:cs="Arial"/>
          <w:bCs/>
          <w:color w:val="002060"/>
          <w:sz w:val="24"/>
          <w:szCs w:val="24"/>
        </w:rPr>
        <w:t xml:space="preserve">Table </w:t>
      </w:r>
      <w:r w:rsidR="007F069A">
        <w:rPr>
          <w:rFonts w:cs="Arial"/>
          <w:bCs/>
          <w:color w:val="002060"/>
          <w:sz w:val="24"/>
          <w:szCs w:val="24"/>
        </w:rPr>
        <w:t>A</w:t>
      </w:r>
      <w:r w:rsidR="00601AF0">
        <w:rPr>
          <w:rFonts w:cs="Arial"/>
          <w:bCs/>
          <w:color w:val="002060"/>
          <w:sz w:val="24"/>
          <w:szCs w:val="24"/>
        </w:rPr>
        <w:t>1</w:t>
      </w:r>
      <w:r w:rsidRPr="00FC66F0">
        <w:rPr>
          <w:rFonts w:cs="Arial"/>
          <w:bCs/>
          <w:color w:val="002060"/>
          <w:sz w:val="24"/>
          <w:szCs w:val="24"/>
        </w:rPr>
        <w:t>: NSF/ANSI 372 – 2016 Annex A (Informational) Example of weighted average lead content calculation</w:t>
      </w:r>
    </w:p>
    <w:tbl>
      <w:tblPr>
        <w:tblStyle w:val="TableGrid"/>
        <w:tblW w:w="0" w:type="auto"/>
        <w:tblLayout w:type="fixed"/>
        <w:tblLook w:val="04A0" w:firstRow="1" w:lastRow="0" w:firstColumn="1" w:lastColumn="0" w:noHBand="0" w:noVBand="1"/>
        <w:tblCaption w:val="NSF/ANSI 372 – 2016 Annex A (Informational) Example of weighted average lead content calculation"/>
        <w:tblDescription w:val="This table provides an example of how to calculate the weighted average of lead by wetted surface area of a product."/>
      </w:tblPr>
      <w:tblGrid>
        <w:gridCol w:w="1550"/>
        <w:gridCol w:w="2385"/>
        <w:gridCol w:w="1556"/>
        <w:gridCol w:w="1209"/>
        <w:gridCol w:w="1728"/>
      </w:tblGrid>
      <w:tr w:rsidR="001B30D2" w:rsidRPr="00FC66F0" w14:paraId="6B0D8A73" w14:textId="77777777" w:rsidTr="00C21D51">
        <w:trPr>
          <w:trHeight w:val="898"/>
          <w:tblHeader/>
        </w:trPr>
        <w:tc>
          <w:tcPr>
            <w:tcW w:w="1550" w:type="dxa"/>
            <w:shd w:val="clear" w:color="auto" w:fill="002060"/>
            <w:hideMark/>
          </w:tcPr>
          <w:p w14:paraId="05B8D781" w14:textId="77777777" w:rsidR="001B30D2" w:rsidRPr="00FC66F0" w:rsidRDefault="001B30D2" w:rsidP="00D8385F">
            <w:pPr>
              <w:jc w:val="center"/>
              <w:rPr>
                <w:rFonts w:cs="Arial"/>
                <w:sz w:val="24"/>
                <w:szCs w:val="24"/>
              </w:rPr>
            </w:pPr>
            <w:r w:rsidRPr="00FC66F0">
              <w:rPr>
                <w:rFonts w:cs="Arial"/>
                <w:sz w:val="24"/>
                <w:szCs w:val="24"/>
              </w:rPr>
              <w:t>Component no.</w:t>
            </w:r>
          </w:p>
        </w:tc>
        <w:tc>
          <w:tcPr>
            <w:tcW w:w="2385" w:type="dxa"/>
            <w:shd w:val="clear" w:color="auto" w:fill="002060"/>
            <w:hideMark/>
          </w:tcPr>
          <w:p w14:paraId="1F30140E" w14:textId="77777777" w:rsidR="001B30D2" w:rsidRPr="00FC66F0" w:rsidRDefault="001B30D2" w:rsidP="00D8385F">
            <w:pPr>
              <w:jc w:val="center"/>
              <w:rPr>
                <w:rFonts w:cs="Arial"/>
                <w:sz w:val="24"/>
                <w:szCs w:val="24"/>
              </w:rPr>
            </w:pPr>
            <w:r w:rsidRPr="00FC66F0">
              <w:rPr>
                <w:rFonts w:cs="Arial"/>
                <w:sz w:val="24"/>
                <w:szCs w:val="24"/>
              </w:rPr>
              <w:t>Wetted surface area 1 (total = ∑ D)</w:t>
            </w:r>
          </w:p>
        </w:tc>
        <w:tc>
          <w:tcPr>
            <w:tcW w:w="1556" w:type="dxa"/>
            <w:shd w:val="clear" w:color="auto" w:fill="002060"/>
            <w:hideMark/>
          </w:tcPr>
          <w:p w14:paraId="127E2CAA" w14:textId="77777777" w:rsidR="001B30D2" w:rsidRPr="00FC66F0" w:rsidRDefault="001B30D2" w:rsidP="00D8385F">
            <w:pPr>
              <w:jc w:val="center"/>
              <w:rPr>
                <w:rFonts w:cs="Arial"/>
                <w:sz w:val="24"/>
                <w:szCs w:val="24"/>
              </w:rPr>
            </w:pPr>
            <w:r w:rsidRPr="00FC66F0">
              <w:rPr>
                <w:rFonts w:cs="Arial"/>
                <w:sz w:val="24"/>
                <w:szCs w:val="24"/>
              </w:rPr>
              <w:t>Ratio wetted surface area</w:t>
            </w:r>
          </w:p>
        </w:tc>
        <w:tc>
          <w:tcPr>
            <w:tcW w:w="1209" w:type="dxa"/>
            <w:shd w:val="clear" w:color="auto" w:fill="002060"/>
            <w:hideMark/>
          </w:tcPr>
          <w:p w14:paraId="0D84257E" w14:textId="77777777" w:rsidR="001B30D2" w:rsidRPr="00FC66F0" w:rsidRDefault="001B30D2" w:rsidP="00D8385F">
            <w:pPr>
              <w:jc w:val="center"/>
              <w:rPr>
                <w:rFonts w:cs="Arial"/>
                <w:sz w:val="24"/>
                <w:szCs w:val="24"/>
              </w:rPr>
            </w:pPr>
            <w:r w:rsidRPr="00FC66F0">
              <w:rPr>
                <w:rFonts w:cs="Arial"/>
                <w:sz w:val="24"/>
                <w:szCs w:val="24"/>
              </w:rPr>
              <w:t>% lead content</w:t>
            </w:r>
          </w:p>
        </w:tc>
        <w:tc>
          <w:tcPr>
            <w:tcW w:w="1728" w:type="dxa"/>
            <w:shd w:val="clear" w:color="auto" w:fill="002060"/>
            <w:hideMark/>
          </w:tcPr>
          <w:p w14:paraId="219EFAF0" w14:textId="77777777" w:rsidR="001B30D2" w:rsidRPr="00FC66F0" w:rsidRDefault="001B30D2" w:rsidP="00D8385F">
            <w:pPr>
              <w:jc w:val="center"/>
              <w:rPr>
                <w:rFonts w:cs="Arial"/>
                <w:sz w:val="24"/>
                <w:szCs w:val="24"/>
              </w:rPr>
            </w:pPr>
            <w:r w:rsidRPr="00FC66F0">
              <w:rPr>
                <w:rFonts w:cs="Arial"/>
                <w:sz w:val="24"/>
                <w:szCs w:val="24"/>
              </w:rPr>
              <w:t>% lead contribution</w:t>
            </w:r>
          </w:p>
        </w:tc>
      </w:tr>
      <w:tr w:rsidR="001B30D2" w:rsidRPr="00FC66F0" w14:paraId="2C47D352" w14:textId="77777777" w:rsidTr="001B30D2">
        <w:trPr>
          <w:trHeight w:val="299"/>
        </w:trPr>
        <w:tc>
          <w:tcPr>
            <w:tcW w:w="1550" w:type="dxa"/>
            <w:noWrap/>
            <w:hideMark/>
          </w:tcPr>
          <w:p w14:paraId="01853FA3" w14:textId="77777777" w:rsidR="001B30D2" w:rsidRPr="00FC66F0" w:rsidRDefault="001B30D2" w:rsidP="00D8385F">
            <w:pPr>
              <w:jc w:val="center"/>
              <w:rPr>
                <w:rFonts w:cs="Arial"/>
                <w:sz w:val="24"/>
                <w:szCs w:val="24"/>
              </w:rPr>
            </w:pPr>
            <w:r w:rsidRPr="00FC66F0">
              <w:rPr>
                <w:rFonts w:cs="Arial"/>
                <w:sz w:val="24"/>
                <w:szCs w:val="24"/>
              </w:rPr>
              <w:t>1</w:t>
            </w:r>
          </w:p>
        </w:tc>
        <w:tc>
          <w:tcPr>
            <w:tcW w:w="2385" w:type="dxa"/>
            <w:noWrap/>
            <w:hideMark/>
          </w:tcPr>
          <w:p w14:paraId="6FE70C61" w14:textId="77777777" w:rsidR="001B30D2" w:rsidRPr="00FC66F0" w:rsidRDefault="001B30D2" w:rsidP="00D8385F">
            <w:pPr>
              <w:jc w:val="center"/>
              <w:rPr>
                <w:rFonts w:cs="Arial"/>
                <w:sz w:val="24"/>
                <w:szCs w:val="24"/>
              </w:rPr>
            </w:pPr>
            <w:r w:rsidRPr="00FC66F0">
              <w:rPr>
                <w:rFonts w:cs="Arial"/>
                <w:sz w:val="24"/>
                <w:szCs w:val="24"/>
              </w:rPr>
              <w:t>1,142.27</w:t>
            </w:r>
          </w:p>
        </w:tc>
        <w:tc>
          <w:tcPr>
            <w:tcW w:w="1556" w:type="dxa"/>
            <w:noWrap/>
            <w:hideMark/>
          </w:tcPr>
          <w:p w14:paraId="0DD2DFFA" w14:textId="77777777" w:rsidR="001B30D2" w:rsidRPr="00FC66F0" w:rsidRDefault="001B30D2" w:rsidP="00D8385F">
            <w:pPr>
              <w:jc w:val="center"/>
              <w:rPr>
                <w:rFonts w:cs="Arial"/>
                <w:sz w:val="24"/>
                <w:szCs w:val="24"/>
              </w:rPr>
            </w:pPr>
            <w:r w:rsidRPr="00FC66F0">
              <w:rPr>
                <w:rFonts w:cs="Arial"/>
                <w:sz w:val="24"/>
                <w:szCs w:val="24"/>
              </w:rPr>
              <w:t>0.0453</w:t>
            </w:r>
          </w:p>
        </w:tc>
        <w:tc>
          <w:tcPr>
            <w:tcW w:w="1209" w:type="dxa"/>
            <w:noWrap/>
            <w:hideMark/>
          </w:tcPr>
          <w:p w14:paraId="6DE726B3" w14:textId="77777777" w:rsidR="001B30D2" w:rsidRPr="00FC66F0" w:rsidRDefault="001B30D2" w:rsidP="00D8385F">
            <w:pPr>
              <w:jc w:val="center"/>
              <w:rPr>
                <w:rFonts w:cs="Arial"/>
                <w:sz w:val="24"/>
                <w:szCs w:val="24"/>
              </w:rPr>
            </w:pPr>
            <w:r w:rsidRPr="00FC66F0">
              <w:rPr>
                <w:rFonts w:cs="Arial"/>
                <w:sz w:val="24"/>
                <w:szCs w:val="24"/>
              </w:rPr>
              <w:t>0</w:t>
            </w:r>
          </w:p>
        </w:tc>
        <w:tc>
          <w:tcPr>
            <w:tcW w:w="1728" w:type="dxa"/>
            <w:noWrap/>
            <w:hideMark/>
          </w:tcPr>
          <w:p w14:paraId="57C499A9" w14:textId="77777777" w:rsidR="001B30D2" w:rsidRPr="00FC66F0" w:rsidRDefault="001B30D2" w:rsidP="00D8385F">
            <w:pPr>
              <w:jc w:val="center"/>
              <w:rPr>
                <w:rFonts w:cs="Arial"/>
                <w:sz w:val="24"/>
                <w:szCs w:val="24"/>
              </w:rPr>
            </w:pPr>
            <w:r w:rsidRPr="00FC66F0">
              <w:rPr>
                <w:rFonts w:cs="Arial"/>
                <w:sz w:val="24"/>
                <w:szCs w:val="24"/>
              </w:rPr>
              <w:t>0.0000</w:t>
            </w:r>
          </w:p>
        </w:tc>
      </w:tr>
      <w:tr w:rsidR="001B30D2" w:rsidRPr="00FC66F0" w14:paraId="244CE353" w14:textId="77777777" w:rsidTr="001B30D2">
        <w:trPr>
          <w:trHeight w:val="299"/>
        </w:trPr>
        <w:tc>
          <w:tcPr>
            <w:tcW w:w="1550" w:type="dxa"/>
            <w:noWrap/>
            <w:hideMark/>
          </w:tcPr>
          <w:p w14:paraId="5A82ABFB" w14:textId="77777777" w:rsidR="001B30D2" w:rsidRPr="00FC66F0" w:rsidRDefault="001B30D2" w:rsidP="00D8385F">
            <w:pPr>
              <w:jc w:val="center"/>
              <w:rPr>
                <w:rFonts w:cs="Arial"/>
                <w:sz w:val="24"/>
                <w:szCs w:val="24"/>
              </w:rPr>
            </w:pPr>
            <w:r w:rsidRPr="00FC66F0">
              <w:rPr>
                <w:rFonts w:cs="Arial"/>
                <w:sz w:val="24"/>
                <w:szCs w:val="24"/>
              </w:rPr>
              <w:t>2</w:t>
            </w:r>
          </w:p>
        </w:tc>
        <w:tc>
          <w:tcPr>
            <w:tcW w:w="2385" w:type="dxa"/>
            <w:noWrap/>
            <w:hideMark/>
          </w:tcPr>
          <w:p w14:paraId="620CA90D" w14:textId="77777777" w:rsidR="001B30D2" w:rsidRPr="00FC66F0" w:rsidRDefault="001B30D2" w:rsidP="00D8385F">
            <w:pPr>
              <w:jc w:val="center"/>
              <w:rPr>
                <w:rFonts w:cs="Arial"/>
                <w:sz w:val="24"/>
                <w:szCs w:val="24"/>
              </w:rPr>
            </w:pPr>
            <w:r w:rsidRPr="00FC66F0">
              <w:rPr>
                <w:rFonts w:cs="Arial"/>
                <w:sz w:val="24"/>
                <w:szCs w:val="24"/>
              </w:rPr>
              <w:t>4,472.17</w:t>
            </w:r>
          </w:p>
        </w:tc>
        <w:tc>
          <w:tcPr>
            <w:tcW w:w="1556" w:type="dxa"/>
            <w:noWrap/>
            <w:hideMark/>
          </w:tcPr>
          <w:p w14:paraId="1ABE5501" w14:textId="77777777" w:rsidR="001B30D2" w:rsidRPr="00FC66F0" w:rsidRDefault="001B30D2" w:rsidP="00D8385F">
            <w:pPr>
              <w:jc w:val="center"/>
              <w:rPr>
                <w:rFonts w:cs="Arial"/>
                <w:sz w:val="24"/>
                <w:szCs w:val="24"/>
              </w:rPr>
            </w:pPr>
            <w:r w:rsidRPr="00FC66F0">
              <w:rPr>
                <w:rFonts w:cs="Arial"/>
                <w:sz w:val="24"/>
                <w:szCs w:val="24"/>
              </w:rPr>
              <w:t>0.1774</w:t>
            </w:r>
          </w:p>
        </w:tc>
        <w:tc>
          <w:tcPr>
            <w:tcW w:w="1209" w:type="dxa"/>
            <w:noWrap/>
            <w:hideMark/>
          </w:tcPr>
          <w:p w14:paraId="12CFD5D1" w14:textId="77777777" w:rsidR="001B30D2" w:rsidRPr="00FC66F0" w:rsidRDefault="001B30D2" w:rsidP="00D8385F">
            <w:pPr>
              <w:jc w:val="center"/>
              <w:rPr>
                <w:rFonts w:cs="Arial"/>
                <w:sz w:val="24"/>
                <w:szCs w:val="24"/>
              </w:rPr>
            </w:pPr>
            <w:r w:rsidRPr="00FC66F0">
              <w:rPr>
                <w:rFonts w:cs="Arial"/>
                <w:sz w:val="24"/>
                <w:szCs w:val="24"/>
              </w:rPr>
              <w:t>0.25</w:t>
            </w:r>
          </w:p>
        </w:tc>
        <w:tc>
          <w:tcPr>
            <w:tcW w:w="1728" w:type="dxa"/>
            <w:noWrap/>
            <w:hideMark/>
          </w:tcPr>
          <w:p w14:paraId="4A4A6D38" w14:textId="77777777" w:rsidR="001B30D2" w:rsidRPr="00FC66F0" w:rsidRDefault="001B30D2" w:rsidP="00D8385F">
            <w:pPr>
              <w:jc w:val="center"/>
              <w:rPr>
                <w:rFonts w:cs="Arial"/>
                <w:sz w:val="24"/>
                <w:szCs w:val="24"/>
              </w:rPr>
            </w:pPr>
            <w:r w:rsidRPr="00FC66F0">
              <w:rPr>
                <w:rFonts w:cs="Arial"/>
                <w:sz w:val="24"/>
                <w:szCs w:val="24"/>
              </w:rPr>
              <w:t>0.0444</w:t>
            </w:r>
          </w:p>
        </w:tc>
      </w:tr>
      <w:tr w:rsidR="001B30D2" w:rsidRPr="00FC66F0" w14:paraId="48B6D4DB" w14:textId="77777777" w:rsidTr="001B30D2">
        <w:trPr>
          <w:trHeight w:val="299"/>
        </w:trPr>
        <w:tc>
          <w:tcPr>
            <w:tcW w:w="1550" w:type="dxa"/>
            <w:noWrap/>
            <w:hideMark/>
          </w:tcPr>
          <w:p w14:paraId="34B9A2CC" w14:textId="77777777" w:rsidR="001B30D2" w:rsidRPr="00FC66F0" w:rsidRDefault="001B30D2" w:rsidP="00D8385F">
            <w:pPr>
              <w:jc w:val="center"/>
              <w:rPr>
                <w:rFonts w:cs="Arial"/>
                <w:sz w:val="24"/>
                <w:szCs w:val="24"/>
              </w:rPr>
            </w:pPr>
            <w:r w:rsidRPr="00FC66F0">
              <w:rPr>
                <w:rFonts w:cs="Arial"/>
                <w:sz w:val="24"/>
                <w:szCs w:val="24"/>
              </w:rPr>
              <w:t>3</w:t>
            </w:r>
          </w:p>
        </w:tc>
        <w:tc>
          <w:tcPr>
            <w:tcW w:w="2385" w:type="dxa"/>
            <w:noWrap/>
            <w:hideMark/>
          </w:tcPr>
          <w:p w14:paraId="50A73610" w14:textId="77777777" w:rsidR="001B30D2" w:rsidRPr="00FC66F0" w:rsidRDefault="001B30D2" w:rsidP="00D8385F">
            <w:pPr>
              <w:jc w:val="center"/>
              <w:rPr>
                <w:rFonts w:cs="Arial"/>
                <w:sz w:val="24"/>
                <w:szCs w:val="24"/>
              </w:rPr>
            </w:pPr>
            <w:r w:rsidRPr="00FC66F0">
              <w:rPr>
                <w:rFonts w:cs="Arial"/>
                <w:sz w:val="24"/>
                <w:szCs w:val="24"/>
              </w:rPr>
              <w:t>157.58</w:t>
            </w:r>
          </w:p>
        </w:tc>
        <w:tc>
          <w:tcPr>
            <w:tcW w:w="1556" w:type="dxa"/>
            <w:noWrap/>
            <w:hideMark/>
          </w:tcPr>
          <w:p w14:paraId="39D1E85E" w14:textId="77777777" w:rsidR="001B30D2" w:rsidRPr="00FC66F0" w:rsidRDefault="001B30D2" w:rsidP="00D8385F">
            <w:pPr>
              <w:jc w:val="center"/>
              <w:rPr>
                <w:rFonts w:cs="Arial"/>
                <w:sz w:val="24"/>
                <w:szCs w:val="24"/>
              </w:rPr>
            </w:pPr>
            <w:r w:rsidRPr="00FC66F0">
              <w:rPr>
                <w:rFonts w:cs="Arial"/>
                <w:sz w:val="24"/>
                <w:szCs w:val="24"/>
              </w:rPr>
              <w:t>0.0063</w:t>
            </w:r>
          </w:p>
        </w:tc>
        <w:tc>
          <w:tcPr>
            <w:tcW w:w="1209" w:type="dxa"/>
            <w:noWrap/>
            <w:hideMark/>
          </w:tcPr>
          <w:p w14:paraId="44CC2ED9" w14:textId="77777777" w:rsidR="001B30D2" w:rsidRPr="00FC66F0" w:rsidRDefault="001B30D2" w:rsidP="00D8385F">
            <w:pPr>
              <w:jc w:val="center"/>
              <w:rPr>
                <w:rFonts w:cs="Arial"/>
                <w:sz w:val="24"/>
                <w:szCs w:val="24"/>
              </w:rPr>
            </w:pPr>
            <w:r w:rsidRPr="00FC66F0">
              <w:rPr>
                <w:rFonts w:cs="Arial"/>
                <w:sz w:val="24"/>
                <w:szCs w:val="24"/>
              </w:rPr>
              <w:t>0.55</w:t>
            </w:r>
          </w:p>
        </w:tc>
        <w:tc>
          <w:tcPr>
            <w:tcW w:w="1728" w:type="dxa"/>
            <w:noWrap/>
            <w:hideMark/>
          </w:tcPr>
          <w:p w14:paraId="682E065C" w14:textId="77777777" w:rsidR="001B30D2" w:rsidRPr="00FC66F0" w:rsidRDefault="001B30D2" w:rsidP="00D8385F">
            <w:pPr>
              <w:jc w:val="center"/>
              <w:rPr>
                <w:rFonts w:cs="Arial"/>
                <w:sz w:val="24"/>
                <w:szCs w:val="24"/>
              </w:rPr>
            </w:pPr>
            <w:r w:rsidRPr="00FC66F0">
              <w:rPr>
                <w:rFonts w:cs="Arial"/>
                <w:sz w:val="24"/>
                <w:szCs w:val="24"/>
              </w:rPr>
              <w:t>0.0034</w:t>
            </w:r>
          </w:p>
        </w:tc>
      </w:tr>
      <w:tr w:rsidR="001B30D2" w:rsidRPr="00FC66F0" w14:paraId="02D96781" w14:textId="77777777" w:rsidTr="001B30D2">
        <w:trPr>
          <w:trHeight w:val="299"/>
        </w:trPr>
        <w:tc>
          <w:tcPr>
            <w:tcW w:w="1550" w:type="dxa"/>
            <w:noWrap/>
            <w:hideMark/>
          </w:tcPr>
          <w:p w14:paraId="2910C2CE" w14:textId="77777777" w:rsidR="001B30D2" w:rsidRPr="00FC66F0" w:rsidRDefault="001B30D2" w:rsidP="00D8385F">
            <w:pPr>
              <w:jc w:val="center"/>
              <w:rPr>
                <w:rFonts w:cs="Arial"/>
                <w:sz w:val="24"/>
                <w:szCs w:val="24"/>
              </w:rPr>
            </w:pPr>
            <w:r w:rsidRPr="00FC66F0">
              <w:rPr>
                <w:rFonts w:cs="Arial"/>
                <w:sz w:val="24"/>
                <w:szCs w:val="24"/>
              </w:rPr>
              <w:t>4</w:t>
            </w:r>
          </w:p>
        </w:tc>
        <w:tc>
          <w:tcPr>
            <w:tcW w:w="2385" w:type="dxa"/>
            <w:noWrap/>
            <w:hideMark/>
          </w:tcPr>
          <w:p w14:paraId="030E2C3C" w14:textId="77777777" w:rsidR="001B30D2" w:rsidRPr="00FC66F0" w:rsidRDefault="001B30D2" w:rsidP="00D8385F">
            <w:pPr>
              <w:jc w:val="center"/>
              <w:rPr>
                <w:rFonts w:cs="Arial"/>
                <w:sz w:val="24"/>
                <w:szCs w:val="24"/>
              </w:rPr>
            </w:pPr>
            <w:r w:rsidRPr="00FC66F0">
              <w:rPr>
                <w:rFonts w:cs="Arial"/>
                <w:sz w:val="24"/>
                <w:szCs w:val="24"/>
              </w:rPr>
              <w:t>1,013.50</w:t>
            </w:r>
          </w:p>
        </w:tc>
        <w:tc>
          <w:tcPr>
            <w:tcW w:w="1556" w:type="dxa"/>
            <w:noWrap/>
            <w:hideMark/>
          </w:tcPr>
          <w:p w14:paraId="51C3B3A4" w14:textId="77777777" w:rsidR="001B30D2" w:rsidRPr="00FC66F0" w:rsidRDefault="001B30D2" w:rsidP="00D8385F">
            <w:pPr>
              <w:jc w:val="center"/>
              <w:rPr>
                <w:rFonts w:cs="Arial"/>
                <w:sz w:val="24"/>
                <w:szCs w:val="24"/>
              </w:rPr>
            </w:pPr>
            <w:r w:rsidRPr="00FC66F0">
              <w:rPr>
                <w:rFonts w:cs="Arial"/>
                <w:sz w:val="24"/>
                <w:szCs w:val="24"/>
              </w:rPr>
              <w:t>0.0402</w:t>
            </w:r>
          </w:p>
        </w:tc>
        <w:tc>
          <w:tcPr>
            <w:tcW w:w="1209" w:type="dxa"/>
            <w:noWrap/>
            <w:hideMark/>
          </w:tcPr>
          <w:p w14:paraId="5BCF7D1C" w14:textId="77777777" w:rsidR="001B30D2" w:rsidRPr="00FC66F0" w:rsidRDefault="001B30D2" w:rsidP="00D8385F">
            <w:pPr>
              <w:jc w:val="center"/>
              <w:rPr>
                <w:rFonts w:cs="Arial"/>
                <w:sz w:val="24"/>
                <w:szCs w:val="24"/>
              </w:rPr>
            </w:pPr>
            <w:r w:rsidRPr="00FC66F0">
              <w:rPr>
                <w:rFonts w:cs="Arial"/>
                <w:sz w:val="24"/>
                <w:szCs w:val="24"/>
              </w:rPr>
              <w:t>0.25</w:t>
            </w:r>
          </w:p>
        </w:tc>
        <w:tc>
          <w:tcPr>
            <w:tcW w:w="1728" w:type="dxa"/>
            <w:noWrap/>
            <w:hideMark/>
          </w:tcPr>
          <w:p w14:paraId="41FF868B" w14:textId="77777777" w:rsidR="001B30D2" w:rsidRPr="00FC66F0" w:rsidRDefault="001B30D2" w:rsidP="00D8385F">
            <w:pPr>
              <w:jc w:val="center"/>
              <w:rPr>
                <w:rFonts w:cs="Arial"/>
                <w:sz w:val="24"/>
                <w:szCs w:val="24"/>
              </w:rPr>
            </w:pPr>
            <w:r w:rsidRPr="00FC66F0">
              <w:rPr>
                <w:rFonts w:cs="Arial"/>
                <w:sz w:val="24"/>
                <w:szCs w:val="24"/>
              </w:rPr>
              <w:t>0.0101</w:t>
            </w:r>
          </w:p>
        </w:tc>
      </w:tr>
      <w:tr w:rsidR="001B30D2" w:rsidRPr="00FC66F0" w14:paraId="2658F1E9" w14:textId="77777777" w:rsidTr="001B30D2">
        <w:trPr>
          <w:trHeight w:val="299"/>
        </w:trPr>
        <w:tc>
          <w:tcPr>
            <w:tcW w:w="1550" w:type="dxa"/>
            <w:noWrap/>
            <w:hideMark/>
          </w:tcPr>
          <w:p w14:paraId="69646DA4" w14:textId="77777777" w:rsidR="001B30D2" w:rsidRPr="00FC66F0" w:rsidRDefault="001B30D2" w:rsidP="00D8385F">
            <w:pPr>
              <w:jc w:val="center"/>
              <w:rPr>
                <w:rFonts w:cs="Arial"/>
                <w:sz w:val="24"/>
                <w:szCs w:val="24"/>
              </w:rPr>
            </w:pPr>
            <w:r w:rsidRPr="00FC66F0">
              <w:rPr>
                <w:rFonts w:cs="Arial"/>
                <w:sz w:val="24"/>
                <w:szCs w:val="24"/>
              </w:rPr>
              <w:t>5</w:t>
            </w:r>
          </w:p>
        </w:tc>
        <w:tc>
          <w:tcPr>
            <w:tcW w:w="2385" w:type="dxa"/>
            <w:noWrap/>
            <w:hideMark/>
          </w:tcPr>
          <w:p w14:paraId="4CCF2C1C" w14:textId="77777777" w:rsidR="001B30D2" w:rsidRPr="00FC66F0" w:rsidRDefault="001B30D2" w:rsidP="00D8385F">
            <w:pPr>
              <w:jc w:val="center"/>
              <w:rPr>
                <w:rFonts w:cs="Arial"/>
                <w:sz w:val="24"/>
                <w:szCs w:val="24"/>
              </w:rPr>
            </w:pPr>
            <w:r w:rsidRPr="00FC66F0">
              <w:rPr>
                <w:rFonts w:cs="Arial"/>
                <w:sz w:val="24"/>
                <w:szCs w:val="24"/>
              </w:rPr>
              <w:t>382.60</w:t>
            </w:r>
          </w:p>
        </w:tc>
        <w:tc>
          <w:tcPr>
            <w:tcW w:w="1556" w:type="dxa"/>
            <w:noWrap/>
            <w:hideMark/>
          </w:tcPr>
          <w:p w14:paraId="42DBFE7F" w14:textId="77777777" w:rsidR="001B30D2" w:rsidRPr="00FC66F0" w:rsidRDefault="001B30D2" w:rsidP="00D8385F">
            <w:pPr>
              <w:jc w:val="center"/>
              <w:rPr>
                <w:rFonts w:cs="Arial"/>
                <w:sz w:val="24"/>
                <w:szCs w:val="24"/>
              </w:rPr>
            </w:pPr>
            <w:r w:rsidRPr="00FC66F0">
              <w:rPr>
                <w:rFonts w:cs="Arial"/>
                <w:sz w:val="24"/>
                <w:szCs w:val="24"/>
              </w:rPr>
              <w:t>0.0152</w:t>
            </w:r>
          </w:p>
        </w:tc>
        <w:tc>
          <w:tcPr>
            <w:tcW w:w="1209" w:type="dxa"/>
            <w:noWrap/>
            <w:hideMark/>
          </w:tcPr>
          <w:p w14:paraId="0CBF1D31" w14:textId="77777777" w:rsidR="001B30D2" w:rsidRPr="00FC66F0" w:rsidRDefault="001B30D2" w:rsidP="00D8385F">
            <w:pPr>
              <w:jc w:val="center"/>
              <w:rPr>
                <w:rFonts w:cs="Arial"/>
                <w:sz w:val="24"/>
                <w:szCs w:val="24"/>
              </w:rPr>
            </w:pPr>
            <w:r w:rsidRPr="00FC66F0">
              <w:rPr>
                <w:rFonts w:cs="Arial"/>
                <w:sz w:val="24"/>
                <w:szCs w:val="24"/>
              </w:rPr>
              <w:t>0</w:t>
            </w:r>
          </w:p>
        </w:tc>
        <w:tc>
          <w:tcPr>
            <w:tcW w:w="1728" w:type="dxa"/>
            <w:noWrap/>
            <w:hideMark/>
          </w:tcPr>
          <w:p w14:paraId="1ACF861E" w14:textId="77777777" w:rsidR="001B30D2" w:rsidRPr="00FC66F0" w:rsidRDefault="001B30D2" w:rsidP="00D8385F">
            <w:pPr>
              <w:jc w:val="center"/>
              <w:rPr>
                <w:rFonts w:cs="Arial"/>
                <w:sz w:val="24"/>
                <w:szCs w:val="24"/>
              </w:rPr>
            </w:pPr>
            <w:r w:rsidRPr="00FC66F0">
              <w:rPr>
                <w:rFonts w:cs="Arial"/>
                <w:sz w:val="24"/>
                <w:szCs w:val="24"/>
              </w:rPr>
              <w:t>0.0000</w:t>
            </w:r>
          </w:p>
        </w:tc>
      </w:tr>
      <w:tr w:rsidR="001B30D2" w:rsidRPr="00FC66F0" w14:paraId="33A975B6" w14:textId="77777777" w:rsidTr="001B30D2">
        <w:trPr>
          <w:trHeight w:val="299"/>
        </w:trPr>
        <w:tc>
          <w:tcPr>
            <w:tcW w:w="1550" w:type="dxa"/>
            <w:noWrap/>
            <w:hideMark/>
          </w:tcPr>
          <w:p w14:paraId="3D453649" w14:textId="77777777" w:rsidR="001B30D2" w:rsidRPr="00FC66F0" w:rsidRDefault="001B30D2" w:rsidP="00D8385F">
            <w:pPr>
              <w:jc w:val="center"/>
              <w:rPr>
                <w:rFonts w:cs="Arial"/>
                <w:sz w:val="24"/>
                <w:szCs w:val="24"/>
              </w:rPr>
            </w:pPr>
            <w:r w:rsidRPr="00FC66F0">
              <w:rPr>
                <w:rFonts w:cs="Arial"/>
                <w:sz w:val="24"/>
                <w:szCs w:val="24"/>
              </w:rPr>
              <w:t>6</w:t>
            </w:r>
          </w:p>
        </w:tc>
        <w:tc>
          <w:tcPr>
            <w:tcW w:w="2385" w:type="dxa"/>
            <w:noWrap/>
            <w:hideMark/>
          </w:tcPr>
          <w:p w14:paraId="234062AB" w14:textId="77777777" w:rsidR="001B30D2" w:rsidRPr="00FC66F0" w:rsidRDefault="001B30D2" w:rsidP="00D8385F">
            <w:pPr>
              <w:jc w:val="center"/>
              <w:rPr>
                <w:rFonts w:cs="Arial"/>
                <w:sz w:val="24"/>
                <w:szCs w:val="24"/>
              </w:rPr>
            </w:pPr>
            <w:r w:rsidRPr="00FC66F0">
              <w:rPr>
                <w:rFonts w:cs="Arial"/>
                <w:sz w:val="24"/>
                <w:szCs w:val="24"/>
              </w:rPr>
              <w:t>695.74</w:t>
            </w:r>
          </w:p>
        </w:tc>
        <w:tc>
          <w:tcPr>
            <w:tcW w:w="1556" w:type="dxa"/>
            <w:noWrap/>
            <w:hideMark/>
          </w:tcPr>
          <w:p w14:paraId="7815ECEB" w14:textId="77777777" w:rsidR="001B30D2" w:rsidRPr="00FC66F0" w:rsidRDefault="001B30D2" w:rsidP="00D8385F">
            <w:pPr>
              <w:jc w:val="center"/>
              <w:rPr>
                <w:rFonts w:cs="Arial"/>
                <w:sz w:val="24"/>
                <w:szCs w:val="24"/>
              </w:rPr>
            </w:pPr>
            <w:r w:rsidRPr="00FC66F0">
              <w:rPr>
                <w:rFonts w:cs="Arial"/>
                <w:sz w:val="24"/>
                <w:szCs w:val="24"/>
              </w:rPr>
              <w:t>0.0276</w:t>
            </w:r>
          </w:p>
        </w:tc>
        <w:tc>
          <w:tcPr>
            <w:tcW w:w="1209" w:type="dxa"/>
            <w:noWrap/>
            <w:hideMark/>
          </w:tcPr>
          <w:p w14:paraId="7C2EF96A" w14:textId="77777777" w:rsidR="001B30D2" w:rsidRPr="00FC66F0" w:rsidRDefault="001B30D2" w:rsidP="00D8385F">
            <w:pPr>
              <w:jc w:val="center"/>
              <w:rPr>
                <w:rFonts w:cs="Arial"/>
                <w:sz w:val="24"/>
                <w:szCs w:val="24"/>
              </w:rPr>
            </w:pPr>
            <w:r w:rsidRPr="00FC66F0">
              <w:rPr>
                <w:rFonts w:cs="Arial"/>
                <w:sz w:val="24"/>
                <w:szCs w:val="24"/>
              </w:rPr>
              <w:t>0</w:t>
            </w:r>
          </w:p>
        </w:tc>
        <w:tc>
          <w:tcPr>
            <w:tcW w:w="1728" w:type="dxa"/>
            <w:noWrap/>
            <w:hideMark/>
          </w:tcPr>
          <w:p w14:paraId="31235610" w14:textId="77777777" w:rsidR="001B30D2" w:rsidRPr="00FC66F0" w:rsidRDefault="001B30D2" w:rsidP="00D8385F">
            <w:pPr>
              <w:jc w:val="center"/>
              <w:rPr>
                <w:rFonts w:cs="Arial"/>
                <w:sz w:val="24"/>
                <w:szCs w:val="24"/>
              </w:rPr>
            </w:pPr>
            <w:r w:rsidRPr="00FC66F0">
              <w:rPr>
                <w:rFonts w:cs="Arial"/>
                <w:sz w:val="24"/>
                <w:szCs w:val="24"/>
              </w:rPr>
              <w:t>0.0000</w:t>
            </w:r>
          </w:p>
        </w:tc>
      </w:tr>
      <w:tr w:rsidR="001B30D2" w:rsidRPr="00FC66F0" w14:paraId="52A36D2E" w14:textId="77777777" w:rsidTr="001B30D2">
        <w:trPr>
          <w:trHeight w:val="299"/>
        </w:trPr>
        <w:tc>
          <w:tcPr>
            <w:tcW w:w="1550" w:type="dxa"/>
            <w:noWrap/>
            <w:hideMark/>
          </w:tcPr>
          <w:p w14:paraId="07158F0D" w14:textId="77777777" w:rsidR="001B30D2" w:rsidRPr="00FC66F0" w:rsidRDefault="001B30D2" w:rsidP="00D8385F">
            <w:pPr>
              <w:jc w:val="center"/>
              <w:rPr>
                <w:rFonts w:cs="Arial"/>
                <w:sz w:val="24"/>
                <w:szCs w:val="24"/>
              </w:rPr>
            </w:pPr>
            <w:r w:rsidRPr="00FC66F0">
              <w:rPr>
                <w:rFonts w:cs="Arial"/>
                <w:sz w:val="24"/>
                <w:szCs w:val="24"/>
              </w:rPr>
              <w:t>7</w:t>
            </w:r>
          </w:p>
        </w:tc>
        <w:tc>
          <w:tcPr>
            <w:tcW w:w="2385" w:type="dxa"/>
            <w:noWrap/>
            <w:hideMark/>
          </w:tcPr>
          <w:p w14:paraId="611DA795" w14:textId="77777777" w:rsidR="001B30D2" w:rsidRPr="00FC66F0" w:rsidRDefault="001B30D2" w:rsidP="00D8385F">
            <w:pPr>
              <w:jc w:val="center"/>
              <w:rPr>
                <w:rFonts w:cs="Arial"/>
                <w:sz w:val="24"/>
                <w:szCs w:val="24"/>
              </w:rPr>
            </w:pPr>
            <w:r w:rsidRPr="00FC66F0">
              <w:rPr>
                <w:rFonts w:cs="Arial"/>
                <w:sz w:val="24"/>
                <w:szCs w:val="24"/>
              </w:rPr>
              <w:t>425.85</w:t>
            </w:r>
          </w:p>
        </w:tc>
        <w:tc>
          <w:tcPr>
            <w:tcW w:w="1556" w:type="dxa"/>
            <w:noWrap/>
            <w:hideMark/>
          </w:tcPr>
          <w:p w14:paraId="49B2F25E" w14:textId="77777777" w:rsidR="001B30D2" w:rsidRPr="00FC66F0" w:rsidRDefault="001B30D2" w:rsidP="00D8385F">
            <w:pPr>
              <w:jc w:val="center"/>
              <w:rPr>
                <w:rFonts w:cs="Arial"/>
                <w:sz w:val="24"/>
                <w:szCs w:val="24"/>
              </w:rPr>
            </w:pPr>
            <w:r w:rsidRPr="00FC66F0">
              <w:rPr>
                <w:rFonts w:cs="Arial"/>
                <w:sz w:val="24"/>
                <w:szCs w:val="24"/>
              </w:rPr>
              <w:t>0.0169</w:t>
            </w:r>
          </w:p>
        </w:tc>
        <w:tc>
          <w:tcPr>
            <w:tcW w:w="1209" w:type="dxa"/>
            <w:noWrap/>
            <w:hideMark/>
          </w:tcPr>
          <w:p w14:paraId="7108E7EC" w14:textId="77777777" w:rsidR="001B30D2" w:rsidRPr="00FC66F0" w:rsidRDefault="001B30D2" w:rsidP="00D8385F">
            <w:pPr>
              <w:jc w:val="center"/>
              <w:rPr>
                <w:rFonts w:cs="Arial"/>
                <w:sz w:val="24"/>
                <w:szCs w:val="24"/>
              </w:rPr>
            </w:pPr>
            <w:r w:rsidRPr="00FC66F0">
              <w:rPr>
                <w:rFonts w:cs="Arial"/>
                <w:sz w:val="24"/>
                <w:szCs w:val="24"/>
              </w:rPr>
              <w:t>0</w:t>
            </w:r>
          </w:p>
        </w:tc>
        <w:tc>
          <w:tcPr>
            <w:tcW w:w="1728" w:type="dxa"/>
            <w:noWrap/>
            <w:hideMark/>
          </w:tcPr>
          <w:p w14:paraId="7DB63886" w14:textId="77777777" w:rsidR="001B30D2" w:rsidRPr="00FC66F0" w:rsidRDefault="001B30D2" w:rsidP="00D8385F">
            <w:pPr>
              <w:jc w:val="center"/>
              <w:rPr>
                <w:rFonts w:cs="Arial"/>
                <w:sz w:val="24"/>
                <w:szCs w:val="24"/>
              </w:rPr>
            </w:pPr>
            <w:r w:rsidRPr="00FC66F0">
              <w:rPr>
                <w:rFonts w:cs="Arial"/>
                <w:sz w:val="24"/>
                <w:szCs w:val="24"/>
              </w:rPr>
              <w:t>0.0000</w:t>
            </w:r>
          </w:p>
        </w:tc>
      </w:tr>
      <w:tr w:rsidR="001B30D2" w:rsidRPr="00FC66F0" w14:paraId="64638DD7" w14:textId="77777777" w:rsidTr="00C21D51">
        <w:trPr>
          <w:trHeight w:val="299"/>
        </w:trPr>
        <w:tc>
          <w:tcPr>
            <w:tcW w:w="1550" w:type="dxa"/>
            <w:tcBorders>
              <w:bottom w:val="single" w:sz="12" w:space="0" w:color="auto"/>
            </w:tcBorders>
            <w:noWrap/>
            <w:hideMark/>
          </w:tcPr>
          <w:p w14:paraId="62A06B54" w14:textId="77777777" w:rsidR="001B30D2" w:rsidRPr="00FC66F0" w:rsidRDefault="001B30D2" w:rsidP="00D8385F">
            <w:pPr>
              <w:jc w:val="center"/>
              <w:rPr>
                <w:rFonts w:cs="Arial"/>
                <w:sz w:val="24"/>
                <w:szCs w:val="24"/>
              </w:rPr>
            </w:pPr>
            <w:r w:rsidRPr="00FC66F0">
              <w:rPr>
                <w:rFonts w:cs="Arial"/>
                <w:sz w:val="24"/>
                <w:szCs w:val="24"/>
              </w:rPr>
              <w:lastRenderedPageBreak/>
              <w:t>8</w:t>
            </w:r>
          </w:p>
        </w:tc>
        <w:tc>
          <w:tcPr>
            <w:tcW w:w="2385" w:type="dxa"/>
            <w:tcBorders>
              <w:bottom w:val="single" w:sz="12" w:space="0" w:color="auto"/>
            </w:tcBorders>
            <w:noWrap/>
            <w:hideMark/>
          </w:tcPr>
          <w:p w14:paraId="3F426BC1" w14:textId="77777777" w:rsidR="001B30D2" w:rsidRPr="00FC66F0" w:rsidRDefault="001B30D2" w:rsidP="00D8385F">
            <w:pPr>
              <w:jc w:val="center"/>
              <w:rPr>
                <w:rFonts w:cs="Arial"/>
                <w:sz w:val="24"/>
                <w:szCs w:val="24"/>
              </w:rPr>
            </w:pPr>
            <w:r w:rsidRPr="00FC66F0">
              <w:rPr>
                <w:rFonts w:cs="Arial"/>
                <w:sz w:val="24"/>
                <w:szCs w:val="24"/>
              </w:rPr>
              <w:t>16,915.63</w:t>
            </w:r>
          </w:p>
        </w:tc>
        <w:tc>
          <w:tcPr>
            <w:tcW w:w="1556" w:type="dxa"/>
            <w:tcBorders>
              <w:bottom w:val="single" w:sz="12" w:space="0" w:color="auto"/>
            </w:tcBorders>
            <w:noWrap/>
            <w:hideMark/>
          </w:tcPr>
          <w:p w14:paraId="722C96B7" w14:textId="77777777" w:rsidR="001B30D2" w:rsidRPr="00FC66F0" w:rsidRDefault="001B30D2" w:rsidP="00D8385F">
            <w:pPr>
              <w:jc w:val="center"/>
              <w:rPr>
                <w:rFonts w:cs="Arial"/>
                <w:sz w:val="24"/>
                <w:szCs w:val="24"/>
              </w:rPr>
            </w:pPr>
            <w:r w:rsidRPr="00FC66F0">
              <w:rPr>
                <w:rFonts w:cs="Arial"/>
                <w:sz w:val="24"/>
                <w:szCs w:val="24"/>
              </w:rPr>
              <w:t>0.6711</w:t>
            </w:r>
          </w:p>
        </w:tc>
        <w:tc>
          <w:tcPr>
            <w:tcW w:w="1209" w:type="dxa"/>
            <w:tcBorders>
              <w:bottom w:val="single" w:sz="12" w:space="0" w:color="auto"/>
            </w:tcBorders>
            <w:noWrap/>
            <w:hideMark/>
          </w:tcPr>
          <w:p w14:paraId="339ECEE3" w14:textId="77777777" w:rsidR="001B30D2" w:rsidRPr="00FC66F0" w:rsidRDefault="001B30D2" w:rsidP="00D8385F">
            <w:pPr>
              <w:jc w:val="center"/>
              <w:rPr>
                <w:rFonts w:cs="Arial"/>
                <w:sz w:val="24"/>
                <w:szCs w:val="24"/>
              </w:rPr>
            </w:pPr>
            <w:r w:rsidRPr="00FC66F0">
              <w:rPr>
                <w:rFonts w:cs="Arial"/>
                <w:sz w:val="24"/>
                <w:szCs w:val="24"/>
              </w:rPr>
              <w:t>0.02</w:t>
            </w:r>
          </w:p>
        </w:tc>
        <w:tc>
          <w:tcPr>
            <w:tcW w:w="1728" w:type="dxa"/>
            <w:tcBorders>
              <w:bottom w:val="single" w:sz="12" w:space="0" w:color="auto"/>
            </w:tcBorders>
            <w:noWrap/>
            <w:hideMark/>
          </w:tcPr>
          <w:p w14:paraId="6E739D39" w14:textId="77777777" w:rsidR="001B30D2" w:rsidRPr="00FC66F0" w:rsidRDefault="001B30D2" w:rsidP="00D8385F">
            <w:pPr>
              <w:jc w:val="center"/>
              <w:rPr>
                <w:rFonts w:cs="Arial"/>
                <w:sz w:val="24"/>
                <w:szCs w:val="24"/>
              </w:rPr>
            </w:pPr>
            <w:r w:rsidRPr="00FC66F0">
              <w:rPr>
                <w:rFonts w:cs="Arial"/>
                <w:sz w:val="24"/>
                <w:szCs w:val="24"/>
              </w:rPr>
              <w:t>0.0134</w:t>
            </w:r>
          </w:p>
        </w:tc>
      </w:tr>
      <w:tr w:rsidR="001B30D2" w:rsidRPr="00FC66F0" w14:paraId="0502834E" w14:textId="77777777" w:rsidTr="00C21D51">
        <w:trPr>
          <w:trHeight w:val="299"/>
        </w:trPr>
        <w:tc>
          <w:tcPr>
            <w:tcW w:w="1550" w:type="dxa"/>
            <w:tcBorders>
              <w:top w:val="single" w:sz="12" w:space="0" w:color="auto"/>
            </w:tcBorders>
            <w:noWrap/>
            <w:hideMark/>
          </w:tcPr>
          <w:p w14:paraId="5A454DF1" w14:textId="77777777" w:rsidR="001B30D2" w:rsidRPr="00FC66F0" w:rsidRDefault="001B30D2" w:rsidP="00D8385F">
            <w:pPr>
              <w:jc w:val="center"/>
              <w:rPr>
                <w:rFonts w:cs="Arial"/>
                <w:sz w:val="24"/>
                <w:szCs w:val="24"/>
              </w:rPr>
            </w:pPr>
          </w:p>
        </w:tc>
        <w:tc>
          <w:tcPr>
            <w:tcW w:w="2385" w:type="dxa"/>
            <w:tcBorders>
              <w:top w:val="single" w:sz="12" w:space="0" w:color="auto"/>
            </w:tcBorders>
            <w:noWrap/>
            <w:hideMark/>
          </w:tcPr>
          <w:p w14:paraId="2FCBF26A" w14:textId="77777777" w:rsidR="001B30D2" w:rsidRPr="00FC66F0" w:rsidRDefault="001B30D2" w:rsidP="00D8385F">
            <w:pPr>
              <w:jc w:val="center"/>
              <w:rPr>
                <w:rFonts w:cs="Arial"/>
                <w:sz w:val="24"/>
                <w:szCs w:val="24"/>
              </w:rPr>
            </w:pPr>
            <w:r w:rsidRPr="00FC66F0">
              <w:rPr>
                <w:rFonts w:cs="Arial"/>
                <w:sz w:val="24"/>
                <w:szCs w:val="24"/>
              </w:rPr>
              <w:t>25,205.34</w:t>
            </w:r>
          </w:p>
        </w:tc>
        <w:tc>
          <w:tcPr>
            <w:tcW w:w="1556" w:type="dxa"/>
            <w:tcBorders>
              <w:top w:val="single" w:sz="12" w:space="0" w:color="auto"/>
            </w:tcBorders>
            <w:noWrap/>
            <w:hideMark/>
          </w:tcPr>
          <w:p w14:paraId="3E1F9A82" w14:textId="77777777" w:rsidR="001B30D2" w:rsidRPr="00FC66F0" w:rsidRDefault="001B30D2" w:rsidP="00D8385F">
            <w:pPr>
              <w:jc w:val="center"/>
              <w:rPr>
                <w:rFonts w:cs="Arial"/>
                <w:sz w:val="24"/>
                <w:szCs w:val="24"/>
              </w:rPr>
            </w:pPr>
          </w:p>
        </w:tc>
        <w:tc>
          <w:tcPr>
            <w:tcW w:w="1209" w:type="dxa"/>
            <w:tcBorders>
              <w:top w:val="single" w:sz="12" w:space="0" w:color="auto"/>
            </w:tcBorders>
            <w:noWrap/>
            <w:hideMark/>
          </w:tcPr>
          <w:p w14:paraId="5D774A70" w14:textId="77777777" w:rsidR="001B30D2" w:rsidRPr="00FC66F0" w:rsidRDefault="001B30D2" w:rsidP="00D8385F">
            <w:pPr>
              <w:jc w:val="center"/>
              <w:rPr>
                <w:rFonts w:cs="Arial"/>
                <w:sz w:val="24"/>
                <w:szCs w:val="24"/>
              </w:rPr>
            </w:pPr>
          </w:p>
        </w:tc>
        <w:tc>
          <w:tcPr>
            <w:tcW w:w="1728" w:type="dxa"/>
            <w:tcBorders>
              <w:top w:val="single" w:sz="12" w:space="0" w:color="auto"/>
            </w:tcBorders>
            <w:noWrap/>
            <w:hideMark/>
          </w:tcPr>
          <w:p w14:paraId="446F8307" w14:textId="77777777" w:rsidR="001B30D2" w:rsidRPr="00FC66F0" w:rsidRDefault="001B30D2" w:rsidP="00D8385F">
            <w:pPr>
              <w:jc w:val="center"/>
              <w:rPr>
                <w:rFonts w:cs="Arial"/>
                <w:b/>
                <w:bCs/>
                <w:sz w:val="24"/>
                <w:szCs w:val="24"/>
                <w:u w:val="single"/>
              </w:rPr>
            </w:pPr>
            <w:r w:rsidRPr="00FC66F0">
              <w:rPr>
                <w:rFonts w:cs="Arial"/>
                <w:b/>
                <w:bCs/>
                <w:sz w:val="24"/>
                <w:szCs w:val="24"/>
                <w:u w:val="single"/>
              </w:rPr>
              <w:t>0.0713%</w:t>
            </w:r>
          </w:p>
        </w:tc>
      </w:tr>
    </w:tbl>
    <w:p w14:paraId="4C74000E" w14:textId="77777777" w:rsidR="001B30D2" w:rsidRPr="0037510E" w:rsidRDefault="001B30D2" w:rsidP="00D8385F">
      <w:pPr>
        <w:rPr>
          <w:sz w:val="20"/>
          <w:szCs w:val="20"/>
        </w:rPr>
      </w:pPr>
      <w:r w:rsidRPr="0037510E">
        <w:rPr>
          <w:sz w:val="20"/>
          <w:szCs w:val="20"/>
        </w:rPr>
        <w:t xml:space="preserve">Notes: </w:t>
      </w:r>
    </w:p>
    <w:p w14:paraId="1933062F" w14:textId="77777777" w:rsidR="001B30D2" w:rsidRPr="0037510E" w:rsidRDefault="001B30D2" w:rsidP="00D8385F">
      <w:pPr>
        <w:numPr>
          <w:ilvl w:val="0"/>
          <w:numId w:val="13"/>
        </w:numPr>
        <w:spacing w:after="0"/>
        <w:rPr>
          <w:sz w:val="20"/>
          <w:szCs w:val="20"/>
        </w:rPr>
      </w:pPr>
      <w:r w:rsidRPr="0037510E">
        <w:rPr>
          <w:sz w:val="20"/>
          <w:szCs w:val="20"/>
        </w:rPr>
        <w:t xml:space="preserve">This example assumes that there </w:t>
      </w:r>
      <w:r w:rsidR="006A34BA" w:rsidRPr="0037510E">
        <w:rPr>
          <w:sz w:val="20"/>
          <w:szCs w:val="20"/>
        </w:rPr>
        <w:t>are</w:t>
      </w:r>
      <w:r w:rsidRPr="0037510E">
        <w:rPr>
          <w:sz w:val="20"/>
          <w:szCs w:val="20"/>
        </w:rPr>
        <w:t xml:space="preserve"> eight components in the one product with varying degrees of wetted surface area. </w:t>
      </w:r>
    </w:p>
    <w:p w14:paraId="5580FE88" w14:textId="77777777" w:rsidR="001B30D2" w:rsidRPr="0037510E" w:rsidRDefault="001B30D2" w:rsidP="00D8385F">
      <w:pPr>
        <w:numPr>
          <w:ilvl w:val="0"/>
          <w:numId w:val="13"/>
        </w:numPr>
        <w:spacing w:after="0"/>
        <w:rPr>
          <w:sz w:val="20"/>
          <w:szCs w:val="20"/>
        </w:rPr>
      </w:pPr>
      <w:r w:rsidRPr="0037510E">
        <w:rPr>
          <w:sz w:val="20"/>
          <w:szCs w:val="20"/>
        </w:rPr>
        <w:t xml:space="preserve">The wetted surface area is </w:t>
      </w:r>
      <w:bookmarkStart w:id="331" w:name="_Hlk35787465"/>
      <w:r w:rsidRPr="0037510E">
        <w:rPr>
          <w:sz w:val="20"/>
          <w:szCs w:val="20"/>
        </w:rPr>
        <w:t>measured by the total sum of diameter (D) in contact with drinking water. That is, the length of the pipe or fitting in contact with drinking water multiplied by its diameter</w:t>
      </w:r>
      <w:r w:rsidR="006A34BA" w:rsidRPr="0037510E">
        <w:rPr>
          <w:sz w:val="20"/>
          <w:szCs w:val="20"/>
        </w:rPr>
        <w:t>.</w:t>
      </w:r>
    </w:p>
    <w:bookmarkEnd w:id="331"/>
    <w:p w14:paraId="50B18FDB" w14:textId="77777777" w:rsidR="001B30D2" w:rsidRPr="0037510E" w:rsidRDefault="001B30D2" w:rsidP="00D8385F">
      <w:pPr>
        <w:numPr>
          <w:ilvl w:val="0"/>
          <w:numId w:val="13"/>
        </w:numPr>
        <w:spacing w:after="0"/>
        <w:rPr>
          <w:sz w:val="20"/>
          <w:szCs w:val="20"/>
        </w:rPr>
      </w:pPr>
      <w:r w:rsidRPr="0037510E">
        <w:rPr>
          <w:sz w:val="20"/>
          <w:szCs w:val="20"/>
        </w:rPr>
        <w:t>The ratio wetted surface area is the wetted surface area of the component divided by the total wetted surface are</w:t>
      </w:r>
      <w:r w:rsidR="006A34BA" w:rsidRPr="0037510E">
        <w:rPr>
          <w:sz w:val="20"/>
          <w:szCs w:val="20"/>
        </w:rPr>
        <w:t>a</w:t>
      </w:r>
      <w:r w:rsidRPr="0037510E">
        <w:rPr>
          <w:sz w:val="20"/>
          <w:szCs w:val="20"/>
        </w:rPr>
        <w:t xml:space="preserve"> of all components.</w:t>
      </w:r>
    </w:p>
    <w:p w14:paraId="46E8A657" w14:textId="77777777" w:rsidR="001B30D2" w:rsidRPr="0037510E" w:rsidRDefault="001B30D2" w:rsidP="00D8385F">
      <w:pPr>
        <w:numPr>
          <w:ilvl w:val="0"/>
          <w:numId w:val="13"/>
        </w:numPr>
        <w:rPr>
          <w:sz w:val="20"/>
          <w:szCs w:val="20"/>
        </w:rPr>
      </w:pPr>
      <w:r w:rsidRPr="0037510E">
        <w:rPr>
          <w:sz w:val="20"/>
          <w:szCs w:val="20"/>
        </w:rPr>
        <w:t xml:space="preserve">The percentage of lead contribution is calculated by multiplying the ratio of wetted surface area by the percentage of lead content (e.g. 0.1774 x 0.25 = 0.0444). </w:t>
      </w:r>
    </w:p>
    <w:p w14:paraId="66423304" w14:textId="77777777" w:rsidR="001B30D2" w:rsidRPr="00FC66F0" w:rsidRDefault="001B30D2" w:rsidP="00D8385F">
      <w:r w:rsidRPr="00FC66F0">
        <w:t>From NSF</w:t>
      </w:r>
      <w:r w:rsidR="004B7258">
        <w:t>/ANSI</w:t>
      </w:r>
      <w:r w:rsidRPr="00FC66F0">
        <w:t xml:space="preserve"> 372:</w:t>
      </w:r>
    </w:p>
    <w:p w14:paraId="14AC115F" w14:textId="77777777" w:rsidR="003C3171" w:rsidRPr="00601AF0" w:rsidRDefault="001B30D2" w:rsidP="00D8385F">
      <w:pPr>
        <w:spacing w:after="0"/>
        <w:jc w:val="both"/>
        <w:rPr>
          <w:rFonts w:cs="Arial"/>
          <w:sz w:val="24"/>
          <w:szCs w:val="24"/>
        </w:rPr>
      </w:pPr>
      <w:r w:rsidRPr="00FC66F0">
        <w:rPr>
          <w:noProof/>
          <w:lang w:eastAsia="en-AU"/>
        </w:rPr>
        <w:drawing>
          <wp:inline distT="0" distB="0" distL="0" distR="0" wp14:anchorId="41A1BDB8" wp14:editId="74F81561">
            <wp:extent cx="5731510" cy="2185670"/>
            <wp:effectExtent l="0" t="0" r="2540" b="5080"/>
            <wp:docPr id="6" name="Picture 6" descr="Formula for determining weighted average lead content. This equation is used to calculate the lead content of copper alloy plumbing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ormula for determining weighted average lead content. This equation is used to calculate the lead content of copper alloy plumbing products."/>
                    <pic:cNvPicPr/>
                  </pic:nvPicPr>
                  <pic:blipFill>
                    <a:blip r:embed="rId31"/>
                    <a:stretch>
                      <a:fillRect/>
                    </a:stretch>
                  </pic:blipFill>
                  <pic:spPr>
                    <a:xfrm>
                      <a:off x="0" y="0"/>
                      <a:ext cx="5731510" cy="2185670"/>
                    </a:xfrm>
                    <a:prstGeom prst="rect">
                      <a:avLst/>
                    </a:prstGeom>
                  </pic:spPr>
                </pic:pic>
              </a:graphicData>
            </a:graphic>
          </wp:inline>
        </w:drawing>
      </w:r>
    </w:p>
    <w:p w14:paraId="28233916" w14:textId="77777777" w:rsidR="004E77EA" w:rsidRDefault="004E77EA" w:rsidP="00D8385F">
      <w:pPr>
        <w:rPr>
          <w:rFonts w:eastAsiaTheme="majorEastAsia" w:cs="Arial"/>
          <w:color w:val="002060"/>
          <w:sz w:val="40"/>
          <w:szCs w:val="28"/>
        </w:rPr>
      </w:pPr>
      <w:r>
        <w:rPr>
          <w:rFonts w:cs="Arial"/>
          <w:b/>
          <w:bCs/>
        </w:rPr>
        <w:br w:type="page"/>
      </w:r>
    </w:p>
    <w:p w14:paraId="6A51D715" w14:textId="77777777" w:rsidR="000407A6" w:rsidRDefault="003C3171" w:rsidP="000407A6">
      <w:pPr>
        <w:pStyle w:val="Heading1"/>
        <w:spacing w:after="240"/>
        <w:rPr>
          <w:rFonts w:ascii="Arial" w:hAnsi="Arial" w:cs="Arial"/>
          <w:b w:val="0"/>
          <w:bCs w:val="0"/>
        </w:rPr>
      </w:pPr>
      <w:bookmarkStart w:id="332" w:name="_Toc71195759"/>
      <w:bookmarkStart w:id="333" w:name="_Toc71789302"/>
      <w:bookmarkStart w:id="334" w:name="_Hlk50633560"/>
      <w:r w:rsidRPr="000B675B">
        <w:rPr>
          <w:rFonts w:ascii="Arial" w:hAnsi="Arial" w:cs="Arial"/>
          <w:b w:val="0"/>
          <w:bCs w:val="0"/>
        </w:rPr>
        <w:lastRenderedPageBreak/>
        <w:t>Attachment B</w:t>
      </w:r>
      <w:bookmarkEnd w:id="332"/>
      <w:bookmarkEnd w:id="333"/>
    </w:p>
    <w:bookmarkEnd w:id="334"/>
    <w:p w14:paraId="60B53584" w14:textId="77777777" w:rsidR="000407A6" w:rsidRPr="00D8385F" w:rsidRDefault="00064661" w:rsidP="00064661">
      <w:pPr>
        <w:rPr>
          <w:sz w:val="24"/>
          <w:szCs w:val="24"/>
        </w:rPr>
      </w:pPr>
      <w:r w:rsidRPr="00D8385F">
        <w:rPr>
          <w:sz w:val="24"/>
          <w:szCs w:val="24"/>
        </w:rPr>
        <w:t xml:space="preserve">Table B1: </w:t>
      </w:r>
      <w:r w:rsidR="000407A6" w:rsidRPr="00D8385F">
        <w:rPr>
          <w:sz w:val="24"/>
          <w:szCs w:val="24"/>
        </w:rPr>
        <w:t>Representative Product Types and Categories</w:t>
      </w:r>
    </w:p>
    <w:tbl>
      <w:tblPr>
        <w:tblStyle w:val="TableGrid"/>
        <w:tblW w:w="0" w:type="auto"/>
        <w:tblLook w:val="04A0" w:firstRow="1" w:lastRow="0" w:firstColumn="1" w:lastColumn="0" w:noHBand="0" w:noVBand="1"/>
        <w:tblCaption w:val="Representative Product Types and Categories"/>
        <w:tblDescription w:val="This table presents the categories of product types considered in the analysis"/>
      </w:tblPr>
      <w:tblGrid>
        <w:gridCol w:w="9016"/>
      </w:tblGrid>
      <w:tr w:rsidR="00C00497" w14:paraId="11643FA0" w14:textId="77777777" w:rsidTr="00C21D51">
        <w:trPr>
          <w:tblHeader/>
        </w:trPr>
        <w:tc>
          <w:tcPr>
            <w:tcW w:w="9016" w:type="dxa"/>
            <w:shd w:val="clear" w:color="auto" w:fill="002060"/>
          </w:tcPr>
          <w:p w14:paraId="22D2F095" w14:textId="77777777" w:rsidR="00C00497" w:rsidRPr="000F187D" w:rsidRDefault="000407A6" w:rsidP="000407A6">
            <w:pPr>
              <w:jc w:val="center"/>
              <w:rPr>
                <w:b/>
                <w:bCs/>
                <w:sz w:val="24"/>
                <w:szCs w:val="24"/>
              </w:rPr>
            </w:pPr>
            <w:r w:rsidRPr="000F187D">
              <w:rPr>
                <w:b/>
                <w:bCs/>
                <w:color w:val="FFFFFF" w:themeColor="background1"/>
                <w:sz w:val="24"/>
                <w:szCs w:val="24"/>
              </w:rPr>
              <w:t>Product Type</w:t>
            </w:r>
          </w:p>
        </w:tc>
      </w:tr>
      <w:tr w:rsidR="00C00497" w14:paraId="15A4E6E0" w14:textId="77777777" w:rsidTr="000F187D">
        <w:tc>
          <w:tcPr>
            <w:tcW w:w="9016" w:type="dxa"/>
            <w:shd w:val="clear" w:color="auto" w:fill="D9D9D9" w:themeFill="background1" w:themeFillShade="D9"/>
          </w:tcPr>
          <w:p w14:paraId="4DE99924" w14:textId="77777777" w:rsidR="00C00497" w:rsidRPr="000407A6" w:rsidRDefault="000407A6" w:rsidP="001B30D2">
            <w:pPr>
              <w:rPr>
                <w:b/>
                <w:bCs/>
                <w:sz w:val="24"/>
                <w:szCs w:val="24"/>
              </w:rPr>
            </w:pPr>
            <w:r w:rsidRPr="000407A6">
              <w:rPr>
                <w:b/>
                <w:bCs/>
                <w:sz w:val="24"/>
                <w:szCs w:val="24"/>
              </w:rPr>
              <w:t>Fittings</w:t>
            </w:r>
          </w:p>
        </w:tc>
      </w:tr>
      <w:tr w:rsidR="000407A6" w:rsidRPr="000407A6" w14:paraId="339F15B9" w14:textId="77777777" w:rsidTr="000F187D">
        <w:trPr>
          <w:trHeight w:val="308"/>
        </w:trPr>
        <w:tc>
          <w:tcPr>
            <w:tcW w:w="9016" w:type="dxa"/>
            <w:noWrap/>
            <w:hideMark/>
          </w:tcPr>
          <w:p w14:paraId="7239EF52"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Extension M &amp; F 15mm x 50mm brass</w:t>
            </w:r>
          </w:p>
        </w:tc>
      </w:tr>
      <w:tr w:rsidR="000407A6" w:rsidRPr="000407A6" w14:paraId="250376A7" w14:textId="77777777" w:rsidTr="000F187D">
        <w:trPr>
          <w:trHeight w:val="308"/>
        </w:trPr>
        <w:tc>
          <w:tcPr>
            <w:tcW w:w="9016" w:type="dxa"/>
            <w:noWrap/>
            <w:hideMark/>
          </w:tcPr>
          <w:p w14:paraId="79113AA3"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 xml:space="preserve">Socket </w:t>
            </w:r>
            <w:r>
              <w:rPr>
                <w:rFonts w:eastAsia="Times New Roman" w:cs="Arial"/>
                <w:color w:val="000000"/>
                <w:sz w:val="24"/>
                <w:szCs w:val="24"/>
                <w:lang w:eastAsia="en-AU"/>
              </w:rPr>
              <w:t>h</w:t>
            </w:r>
            <w:r w:rsidRPr="000407A6">
              <w:rPr>
                <w:rFonts w:eastAsia="Times New Roman" w:cs="Arial"/>
                <w:color w:val="000000"/>
                <w:sz w:val="24"/>
                <w:szCs w:val="24"/>
                <w:lang w:eastAsia="en-AU"/>
              </w:rPr>
              <w:t xml:space="preserve">ex </w:t>
            </w:r>
            <w:r>
              <w:rPr>
                <w:rFonts w:eastAsia="Times New Roman" w:cs="Arial"/>
                <w:color w:val="000000"/>
                <w:sz w:val="24"/>
                <w:szCs w:val="24"/>
                <w:lang w:eastAsia="en-AU"/>
              </w:rPr>
              <w:t>b</w:t>
            </w:r>
            <w:r w:rsidRPr="000407A6">
              <w:rPr>
                <w:rFonts w:eastAsia="Times New Roman" w:cs="Arial"/>
                <w:color w:val="000000"/>
                <w:sz w:val="24"/>
                <w:szCs w:val="24"/>
                <w:lang w:eastAsia="en-AU"/>
              </w:rPr>
              <w:t>rass 20mm</w:t>
            </w:r>
          </w:p>
        </w:tc>
      </w:tr>
      <w:tr w:rsidR="000407A6" w:rsidRPr="000407A6" w14:paraId="3C51F16B" w14:textId="77777777" w:rsidTr="000F187D">
        <w:trPr>
          <w:trHeight w:val="308"/>
        </w:trPr>
        <w:tc>
          <w:tcPr>
            <w:tcW w:w="9016" w:type="dxa"/>
            <w:noWrap/>
            <w:hideMark/>
          </w:tcPr>
          <w:p w14:paraId="10EBACD4"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Socket M &amp; F red brass hex 20mm x 15mm</w:t>
            </w:r>
          </w:p>
        </w:tc>
      </w:tr>
      <w:tr w:rsidR="000407A6" w:rsidRPr="000407A6" w14:paraId="6A699449" w14:textId="77777777" w:rsidTr="000F187D">
        <w:trPr>
          <w:trHeight w:val="308"/>
        </w:trPr>
        <w:tc>
          <w:tcPr>
            <w:tcW w:w="9016" w:type="dxa"/>
            <w:noWrap/>
            <w:hideMark/>
          </w:tcPr>
          <w:p w14:paraId="2EA77CC0"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Elbow F &amp; F brass 15mm</w:t>
            </w:r>
          </w:p>
        </w:tc>
      </w:tr>
      <w:tr w:rsidR="000407A6" w:rsidRPr="000407A6" w14:paraId="67991D6F" w14:textId="77777777" w:rsidTr="000F187D">
        <w:trPr>
          <w:trHeight w:val="308"/>
        </w:trPr>
        <w:tc>
          <w:tcPr>
            <w:tcW w:w="9016" w:type="dxa"/>
            <w:noWrap/>
            <w:hideMark/>
          </w:tcPr>
          <w:p w14:paraId="6F6A99BF"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Cap brass 20mm</w:t>
            </w:r>
          </w:p>
        </w:tc>
      </w:tr>
      <w:tr w:rsidR="000407A6" w:rsidRPr="000407A6" w14:paraId="5DA341F5" w14:textId="77777777" w:rsidTr="000F187D">
        <w:trPr>
          <w:trHeight w:val="308"/>
        </w:trPr>
        <w:tc>
          <w:tcPr>
            <w:tcW w:w="9016" w:type="dxa"/>
            <w:noWrap/>
            <w:hideMark/>
          </w:tcPr>
          <w:p w14:paraId="780B1EA3"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All</w:t>
            </w:r>
            <w:r>
              <w:rPr>
                <w:rFonts w:eastAsia="Times New Roman" w:cs="Arial"/>
                <w:color w:val="000000"/>
                <w:sz w:val="24"/>
                <w:szCs w:val="24"/>
                <w:lang w:eastAsia="en-AU"/>
              </w:rPr>
              <w:t xml:space="preserve"> </w:t>
            </w:r>
            <w:r w:rsidRPr="000407A6">
              <w:rPr>
                <w:rFonts w:eastAsia="Times New Roman" w:cs="Arial"/>
                <w:color w:val="000000"/>
                <w:sz w:val="24"/>
                <w:szCs w:val="24"/>
                <w:lang w:eastAsia="en-AU"/>
              </w:rPr>
              <w:t>thread nipple brass 15mm x 150mm</w:t>
            </w:r>
          </w:p>
        </w:tc>
      </w:tr>
      <w:tr w:rsidR="000407A6" w:rsidRPr="000407A6" w14:paraId="656B6A1A" w14:textId="77777777" w:rsidTr="000F187D">
        <w:trPr>
          <w:trHeight w:val="308"/>
        </w:trPr>
        <w:tc>
          <w:tcPr>
            <w:tcW w:w="9016" w:type="dxa"/>
            <w:noWrap/>
            <w:hideMark/>
          </w:tcPr>
          <w:p w14:paraId="5B263FD3"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Elbow F &amp; F brass 20mm</w:t>
            </w:r>
          </w:p>
        </w:tc>
      </w:tr>
      <w:tr w:rsidR="000407A6" w:rsidRPr="000407A6" w14:paraId="7250117B" w14:textId="77777777" w:rsidTr="000F187D">
        <w:trPr>
          <w:trHeight w:val="308"/>
        </w:trPr>
        <w:tc>
          <w:tcPr>
            <w:tcW w:w="9016" w:type="dxa"/>
            <w:noWrap/>
            <w:hideMark/>
          </w:tcPr>
          <w:p w14:paraId="64D2493A"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Plug hex square brass 15mm</w:t>
            </w:r>
          </w:p>
        </w:tc>
      </w:tr>
      <w:tr w:rsidR="000407A6" w:rsidRPr="000407A6" w14:paraId="2A0DBF99" w14:textId="77777777" w:rsidTr="000F187D">
        <w:trPr>
          <w:trHeight w:val="300"/>
        </w:trPr>
        <w:tc>
          <w:tcPr>
            <w:tcW w:w="9016" w:type="dxa"/>
            <w:noWrap/>
            <w:hideMark/>
          </w:tcPr>
          <w:p w14:paraId="04BB8C9B"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All</w:t>
            </w:r>
            <w:r>
              <w:rPr>
                <w:rFonts w:eastAsia="Times New Roman" w:cs="Arial"/>
                <w:color w:val="000000"/>
                <w:sz w:val="24"/>
                <w:szCs w:val="24"/>
                <w:lang w:eastAsia="en-AU"/>
              </w:rPr>
              <w:t xml:space="preserve"> </w:t>
            </w:r>
            <w:r w:rsidRPr="000407A6">
              <w:rPr>
                <w:rFonts w:eastAsia="Times New Roman" w:cs="Arial"/>
                <w:color w:val="000000"/>
                <w:sz w:val="24"/>
                <w:szCs w:val="24"/>
                <w:lang w:eastAsia="en-AU"/>
              </w:rPr>
              <w:t>thread nipple brass 20mm x 300mm</w:t>
            </w:r>
          </w:p>
        </w:tc>
      </w:tr>
      <w:tr w:rsidR="000407A6" w:rsidRPr="000407A6" w14:paraId="6D301F8F" w14:textId="77777777" w:rsidTr="000F187D">
        <w:trPr>
          <w:trHeight w:val="308"/>
        </w:trPr>
        <w:tc>
          <w:tcPr>
            <w:tcW w:w="9016" w:type="dxa"/>
            <w:noWrap/>
            <w:hideMark/>
          </w:tcPr>
          <w:p w14:paraId="6C7C0747"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Union barrel M &amp; F brass 20mm</w:t>
            </w:r>
          </w:p>
        </w:tc>
      </w:tr>
      <w:tr w:rsidR="000407A6" w:rsidRPr="000407A6" w14:paraId="71F6608E" w14:textId="77777777" w:rsidTr="000F187D">
        <w:trPr>
          <w:trHeight w:val="323"/>
        </w:trPr>
        <w:tc>
          <w:tcPr>
            <w:tcW w:w="9016" w:type="dxa"/>
            <w:noWrap/>
            <w:hideMark/>
          </w:tcPr>
          <w:p w14:paraId="6A379906"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Elbow M &amp; F brass 25mm</w:t>
            </w:r>
          </w:p>
        </w:tc>
      </w:tr>
      <w:tr w:rsidR="000407A6" w:rsidRPr="000407A6" w14:paraId="0B18B1F7" w14:textId="77777777" w:rsidTr="000F187D">
        <w:trPr>
          <w:trHeight w:val="323"/>
        </w:trPr>
        <w:tc>
          <w:tcPr>
            <w:tcW w:w="9016" w:type="dxa"/>
            <w:noWrap/>
            <w:hideMark/>
          </w:tcPr>
          <w:p w14:paraId="13E31E93"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Elbow F &amp; F brass 20mm</w:t>
            </w:r>
          </w:p>
        </w:tc>
      </w:tr>
      <w:tr w:rsidR="000407A6" w:rsidRPr="000407A6" w14:paraId="5E86499B" w14:textId="77777777" w:rsidTr="000F187D">
        <w:trPr>
          <w:trHeight w:val="300"/>
        </w:trPr>
        <w:tc>
          <w:tcPr>
            <w:tcW w:w="9016" w:type="dxa"/>
            <w:noWrap/>
            <w:hideMark/>
          </w:tcPr>
          <w:p w14:paraId="4D700BEC"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Plug hex square brass 20mm</w:t>
            </w:r>
          </w:p>
        </w:tc>
      </w:tr>
      <w:tr w:rsidR="000407A6" w:rsidRPr="000407A6" w14:paraId="2409FD86" w14:textId="77777777" w:rsidTr="000F187D">
        <w:trPr>
          <w:trHeight w:val="330"/>
        </w:trPr>
        <w:tc>
          <w:tcPr>
            <w:tcW w:w="9016" w:type="dxa"/>
            <w:noWrap/>
            <w:hideMark/>
          </w:tcPr>
          <w:p w14:paraId="60C29639"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Brass screwed tube 15mm x 600mm</w:t>
            </w:r>
          </w:p>
        </w:tc>
      </w:tr>
      <w:tr w:rsidR="000407A6" w:rsidRPr="000407A6" w14:paraId="4351B16F" w14:textId="77777777" w:rsidTr="000F187D">
        <w:trPr>
          <w:trHeight w:val="330"/>
        </w:trPr>
        <w:tc>
          <w:tcPr>
            <w:tcW w:w="9016" w:type="dxa"/>
            <w:noWrap/>
            <w:hideMark/>
          </w:tcPr>
          <w:p w14:paraId="2E4FB7FA"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Bush reducing brass 15mm x 25mm</w:t>
            </w:r>
          </w:p>
        </w:tc>
      </w:tr>
      <w:tr w:rsidR="00C00497" w14:paraId="103B73D6" w14:textId="77777777" w:rsidTr="000F187D">
        <w:tc>
          <w:tcPr>
            <w:tcW w:w="9016" w:type="dxa"/>
            <w:shd w:val="clear" w:color="auto" w:fill="D9D9D9" w:themeFill="background1" w:themeFillShade="D9"/>
          </w:tcPr>
          <w:p w14:paraId="3010D155" w14:textId="77777777" w:rsidR="00C00497" w:rsidRDefault="000407A6" w:rsidP="001B30D2">
            <w:r w:rsidRPr="000407A6">
              <w:rPr>
                <w:b/>
                <w:bCs/>
                <w:sz w:val="24"/>
                <w:szCs w:val="24"/>
              </w:rPr>
              <w:t>Valves</w:t>
            </w:r>
          </w:p>
        </w:tc>
      </w:tr>
      <w:tr w:rsidR="000407A6" w:rsidRPr="000407A6" w14:paraId="10C61F86" w14:textId="77777777" w:rsidTr="000F187D">
        <w:trPr>
          <w:trHeight w:val="308"/>
        </w:trPr>
        <w:tc>
          <w:tcPr>
            <w:tcW w:w="9016" w:type="dxa"/>
            <w:noWrap/>
            <w:hideMark/>
          </w:tcPr>
          <w:p w14:paraId="53D796EF"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Water meter inc</w:t>
            </w:r>
            <w:r>
              <w:rPr>
                <w:rFonts w:eastAsia="Times New Roman" w:cs="Arial"/>
                <w:color w:val="000000"/>
                <w:sz w:val="24"/>
                <w:szCs w:val="24"/>
                <w:lang w:eastAsia="en-AU"/>
              </w:rPr>
              <w:t>luding</w:t>
            </w:r>
            <w:r w:rsidRPr="000407A6">
              <w:rPr>
                <w:rFonts w:eastAsia="Times New Roman" w:cs="Arial"/>
                <w:color w:val="000000"/>
                <w:sz w:val="24"/>
                <w:szCs w:val="24"/>
                <w:lang w:eastAsia="en-AU"/>
              </w:rPr>
              <w:t xml:space="preserve"> kit</w:t>
            </w:r>
            <w:r w:rsidR="000F187D">
              <w:rPr>
                <w:rFonts w:eastAsia="Times New Roman" w:cs="Arial"/>
                <w:color w:val="000000"/>
                <w:sz w:val="24"/>
                <w:szCs w:val="24"/>
                <w:lang w:eastAsia="en-AU"/>
              </w:rPr>
              <w:t xml:space="preserve"> 20mm</w:t>
            </w:r>
          </w:p>
        </w:tc>
      </w:tr>
      <w:tr w:rsidR="000407A6" w:rsidRPr="000407A6" w14:paraId="68B785B0" w14:textId="77777777" w:rsidTr="000F187D">
        <w:trPr>
          <w:trHeight w:val="308"/>
        </w:trPr>
        <w:tc>
          <w:tcPr>
            <w:tcW w:w="9016" w:type="dxa"/>
            <w:noWrap/>
            <w:hideMark/>
          </w:tcPr>
          <w:p w14:paraId="1BB42336"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M</w:t>
            </w:r>
            <w:r w:rsidR="004B7258">
              <w:rPr>
                <w:rFonts w:eastAsia="Times New Roman" w:cs="Arial"/>
                <w:color w:val="000000"/>
                <w:sz w:val="24"/>
                <w:szCs w:val="24"/>
                <w:lang w:eastAsia="en-AU"/>
              </w:rPr>
              <w:t xml:space="preserve"> </w:t>
            </w:r>
            <w:r w:rsidRPr="000407A6">
              <w:rPr>
                <w:rFonts w:eastAsia="Times New Roman" w:cs="Arial"/>
                <w:color w:val="000000"/>
                <w:sz w:val="24"/>
                <w:szCs w:val="24"/>
                <w:lang w:eastAsia="en-AU"/>
              </w:rPr>
              <w:t>&amp;</w:t>
            </w:r>
            <w:r w:rsidR="004B7258">
              <w:rPr>
                <w:rFonts w:eastAsia="Times New Roman" w:cs="Arial"/>
                <w:color w:val="000000"/>
                <w:sz w:val="24"/>
                <w:szCs w:val="24"/>
                <w:lang w:eastAsia="en-AU"/>
              </w:rPr>
              <w:t xml:space="preserve"> </w:t>
            </w:r>
            <w:r w:rsidRPr="000407A6">
              <w:rPr>
                <w:rFonts w:eastAsia="Times New Roman" w:cs="Arial"/>
                <w:color w:val="000000"/>
                <w:sz w:val="24"/>
                <w:szCs w:val="24"/>
                <w:lang w:eastAsia="en-AU"/>
              </w:rPr>
              <w:t xml:space="preserve">F right angle ball </w:t>
            </w:r>
            <w:r w:rsidR="000F187D">
              <w:rPr>
                <w:rFonts w:eastAsia="Times New Roman" w:cs="Arial"/>
                <w:color w:val="000000"/>
                <w:sz w:val="24"/>
                <w:szCs w:val="24"/>
                <w:lang w:eastAsia="en-AU"/>
              </w:rPr>
              <w:t>v</w:t>
            </w:r>
            <w:r w:rsidRPr="000407A6">
              <w:rPr>
                <w:rFonts w:eastAsia="Times New Roman" w:cs="Arial"/>
                <w:color w:val="000000"/>
                <w:sz w:val="24"/>
                <w:szCs w:val="24"/>
                <w:lang w:eastAsia="en-AU"/>
              </w:rPr>
              <w:t>alve</w:t>
            </w:r>
            <w:r w:rsidR="000F187D">
              <w:rPr>
                <w:rFonts w:eastAsia="Times New Roman" w:cs="Arial"/>
                <w:color w:val="000000"/>
                <w:sz w:val="24"/>
                <w:szCs w:val="24"/>
                <w:lang w:eastAsia="en-AU"/>
              </w:rPr>
              <w:t xml:space="preserve"> 20mm</w:t>
            </w:r>
          </w:p>
        </w:tc>
      </w:tr>
      <w:tr w:rsidR="000407A6" w:rsidRPr="000407A6" w14:paraId="3E114478" w14:textId="77777777" w:rsidTr="000F187D">
        <w:trPr>
          <w:trHeight w:val="308"/>
        </w:trPr>
        <w:tc>
          <w:tcPr>
            <w:tcW w:w="9016" w:type="dxa"/>
            <w:noWrap/>
            <w:hideMark/>
          </w:tcPr>
          <w:p w14:paraId="63909E2E"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Y strainer</w:t>
            </w:r>
            <w:r w:rsidR="000F187D">
              <w:rPr>
                <w:rFonts w:eastAsia="Times New Roman" w:cs="Arial"/>
                <w:color w:val="000000"/>
                <w:sz w:val="24"/>
                <w:szCs w:val="24"/>
                <w:lang w:eastAsia="en-AU"/>
              </w:rPr>
              <w:t xml:space="preserve"> 50mm</w:t>
            </w:r>
          </w:p>
        </w:tc>
      </w:tr>
      <w:tr w:rsidR="000407A6" w:rsidRPr="000407A6" w14:paraId="40A58E01" w14:textId="77777777" w:rsidTr="000F187D">
        <w:trPr>
          <w:trHeight w:val="308"/>
        </w:trPr>
        <w:tc>
          <w:tcPr>
            <w:tcW w:w="9016" w:type="dxa"/>
            <w:noWrap/>
            <w:hideMark/>
          </w:tcPr>
          <w:p w14:paraId="377C8FCD"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Brass Inline M</w:t>
            </w:r>
            <w:r w:rsidR="00192759">
              <w:rPr>
                <w:rFonts w:eastAsia="Times New Roman" w:cs="Arial"/>
                <w:color w:val="000000"/>
                <w:sz w:val="24"/>
                <w:szCs w:val="24"/>
                <w:lang w:eastAsia="en-AU"/>
              </w:rPr>
              <w:t xml:space="preserve"> </w:t>
            </w:r>
            <w:r w:rsidRPr="000407A6">
              <w:rPr>
                <w:rFonts w:eastAsia="Times New Roman" w:cs="Arial"/>
                <w:color w:val="000000"/>
                <w:sz w:val="24"/>
                <w:szCs w:val="24"/>
                <w:lang w:eastAsia="en-AU"/>
              </w:rPr>
              <w:t>&amp;</w:t>
            </w:r>
            <w:r w:rsidR="00192759">
              <w:rPr>
                <w:rFonts w:eastAsia="Times New Roman" w:cs="Arial"/>
                <w:color w:val="000000"/>
                <w:sz w:val="24"/>
                <w:szCs w:val="24"/>
                <w:lang w:eastAsia="en-AU"/>
              </w:rPr>
              <w:t xml:space="preserve"> </w:t>
            </w:r>
            <w:r w:rsidRPr="000407A6">
              <w:rPr>
                <w:rFonts w:eastAsia="Times New Roman" w:cs="Arial"/>
                <w:color w:val="000000"/>
                <w:sz w:val="24"/>
                <w:szCs w:val="24"/>
                <w:lang w:eastAsia="en-AU"/>
              </w:rPr>
              <w:t xml:space="preserve">F </w:t>
            </w:r>
            <w:r>
              <w:rPr>
                <w:rFonts w:eastAsia="Times New Roman" w:cs="Arial"/>
                <w:color w:val="000000"/>
                <w:sz w:val="24"/>
                <w:szCs w:val="24"/>
                <w:lang w:eastAsia="en-AU"/>
              </w:rPr>
              <w:t>c</w:t>
            </w:r>
            <w:r w:rsidRPr="000407A6">
              <w:rPr>
                <w:rFonts w:eastAsia="Times New Roman" w:cs="Arial"/>
                <w:color w:val="000000"/>
                <w:sz w:val="24"/>
                <w:szCs w:val="24"/>
                <w:lang w:eastAsia="en-AU"/>
              </w:rPr>
              <w:t xml:space="preserve">istern </w:t>
            </w:r>
            <w:r>
              <w:rPr>
                <w:rFonts w:eastAsia="Times New Roman" w:cs="Arial"/>
                <w:color w:val="000000"/>
                <w:sz w:val="24"/>
                <w:szCs w:val="24"/>
                <w:lang w:eastAsia="en-AU"/>
              </w:rPr>
              <w:t>c</w:t>
            </w:r>
            <w:r w:rsidRPr="000407A6">
              <w:rPr>
                <w:rFonts w:eastAsia="Times New Roman" w:cs="Arial"/>
                <w:color w:val="000000"/>
                <w:sz w:val="24"/>
                <w:szCs w:val="24"/>
                <w:lang w:eastAsia="en-AU"/>
              </w:rPr>
              <w:t>ock 15mm</w:t>
            </w:r>
          </w:p>
        </w:tc>
      </w:tr>
      <w:tr w:rsidR="000407A6" w:rsidRPr="000407A6" w14:paraId="49CE4401" w14:textId="77777777" w:rsidTr="000F187D">
        <w:trPr>
          <w:trHeight w:val="308"/>
        </w:trPr>
        <w:tc>
          <w:tcPr>
            <w:tcW w:w="9016" w:type="dxa"/>
            <w:noWrap/>
            <w:hideMark/>
          </w:tcPr>
          <w:p w14:paraId="2A4590BC"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 xml:space="preserve">Expansion </w:t>
            </w:r>
            <w:r>
              <w:rPr>
                <w:rFonts w:eastAsia="Times New Roman" w:cs="Arial"/>
                <w:color w:val="000000"/>
                <w:sz w:val="24"/>
                <w:szCs w:val="24"/>
                <w:lang w:eastAsia="en-AU"/>
              </w:rPr>
              <w:t>c</w:t>
            </w:r>
            <w:r w:rsidRPr="000407A6">
              <w:rPr>
                <w:rFonts w:eastAsia="Times New Roman" w:cs="Arial"/>
                <w:color w:val="000000"/>
                <w:sz w:val="24"/>
                <w:szCs w:val="24"/>
                <w:lang w:eastAsia="en-AU"/>
              </w:rPr>
              <w:t xml:space="preserve">ontrol </w:t>
            </w:r>
            <w:r>
              <w:rPr>
                <w:rFonts w:eastAsia="Times New Roman" w:cs="Arial"/>
                <w:color w:val="000000"/>
                <w:sz w:val="24"/>
                <w:szCs w:val="24"/>
                <w:lang w:eastAsia="en-AU"/>
              </w:rPr>
              <w:t>v</w:t>
            </w:r>
            <w:r w:rsidRPr="000407A6">
              <w:rPr>
                <w:rFonts w:eastAsia="Times New Roman" w:cs="Arial"/>
                <w:color w:val="000000"/>
                <w:sz w:val="24"/>
                <w:szCs w:val="24"/>
                <w:lang w:eastAsia="en-AU"/>
              </w:rPr>
              <w:t>alve</w:t>
            </w:r>
            <w:r w:rsidR="000F187D">
              <w:rPr>
                <w:rFonts w:eastAsia="Times New Roman" w:cs="Arial"/>
                <w:color w:val="000000"/>
                <w:sz w:val="24"/>
                <w:szCs w:val="24"/>
                <w:lang w:eastAsia="en-AU"/>
              </w:rPr>
              <w:t xml:space="preserve"> 15mm</w:t>
            </w:r>
          </w:p>
        </w:tc>
      </w:tr>
      <w:tr w:rsidR="000407A6" w:rsidRPr="000407A6" w14:paraId="52FAEBD0" w14:textId="77777777" w:rsidTr="000F187D">
        <w:trPr>
          <w:trHeight w:val="308"/>
        </w:trPr>
        <w:tc>
          <w:tcPr>
            <w:tcW w:w="9016" w:type="dxa"/>
            <w:noWrap/>
            <w:hideMark/>
          </w:tcPr>
          <w:p w14:paraId="0913ADB0"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Spring check valve</w:t>
            </w:r>
            <w:r w:rsidR="000F187D">
              <w:rPr>
                <w:rFonts w:eastAsia="Times New Roman" w:cs="Arial"/>
                <w:color w:val="000000"/>
                <w:sz w:val="24"/>
                <w:szCs w:val="24"/>
                <w:lang w:eastAsia="en-AU"/>
              </w:rPr>
              <w:t xml:space="preserve"> 25mm</w:t>
            </w:r>
          </w:p>
        </w:tc>
      </w:tr>
      <w:tr w:rsidR="000407A6" w:rsidRPr="000407A6" w14:paraId="40451EFA" w14:textId="77777777" w:rsidTr="000F187D">
        <w:trPr>
          <w:trHeight w:val="308"/>
        </w:trPr>
        <w:tc>
          <w:tcPr>
            <w:tcW w:w="9016" w:type="dxa"/>
            <w:noWrap/>
            <w:hideMark/>
          </w:tcPr>
          <w:p w14:paraId="7F357136"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TMV</w:t>
            </w:r>
            <w:r w:rsidR="000F187D">
              <w:rPr>
                <w:rFonts w:eastAsia="Times New Roman" w:cs="Arial"/>
                <w:color w:val="000000"/>
                <w:sz w:val="24"/>
                <w:szCs w:val="24"/>
                <w:lang w:eastAsia="en-AU"/>
              </w:rPr>
              <w:t xml:space="preserve"> 20mm</w:t>
            </w:r>
          </w:p>
        </w:tc>
      </w:tr>
      <w:tr w:rsidR="000407A6" w:rsidRPr="000407A6" w14:paraId="518A1C28" w14:textId="77777777" w:rsidTr="000F187D">
        <w:trPr>
          <w:trHeight w:val="308"/>
        </w:trPr>
        <w:tc>
          <w:tcPr>
            <w:tcW w:w="9016" w:type="dxa"/>
            <w:noWrap/>
            <w:hideMark/>
          </w:tcPr>
          <w:p w14:paraId="36C22820"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 xml:space="preserve">Brass </w:t>
            </w:r>
            <w:r w:rsidR="000F187D">
              <w:rPr>
                <w:rFonts w:eastAsia="Times New Roman" w:cs="Arial"/>
                <w:color w:val="000000"/>
                <w:sz w:val="24"/>
                <w:szCs w:val="24"/>
                <w:lang w:eastAsia="en-AU"/>
              </w:rPr>
              <w:t>b</w:t>
            </w:r>
            <w:r w:rsidRPr="000407A6">
              <w:rPr>
                <w:rFonts w:eastAsia="Times New Roman" w:cs="Arial"/>
                <w:color w:val="000000"/>
                <w:sz w:val="24"/>
                <w:szCs w:val="24"/>
                <w:lang w:eastAsia="en-AU"/>
              </w:rPr>
              <w:t xml:space="preserve">all </w:t>
            </w:r>
            <w:r>
              <w:rPr>
                <w:rFonts w:eastAsia="Times New Roman" w:cs="Arial"/>
                <w:color w:val="000000"/>
                <w:sz w:val="24"/>
                <w:szCs w:val="24"/>
                <w:lang w:eastAsia="en-AU"/>
              </w:rPr>
              <w:t>v</w:t>
            </w:r>
            <w:r w:rsidRPr="000407A6">
              <w:rPr>
                <w:rFonts w:eastAsia="Times New Roman" w:cs="Arial"/>
                <w:color w:val="000000"/>
                <w:sz w:val="24"/>
                <w:szCs w:val="24"/>
                <w:lang w:eastAsia="en-AU"/>
              </w:rPr>
              <w:t>alve 50mm F</w:t>
            </w:r>
            <w:r w:rsidR="004B7258">
              <w:rPr>
                <w:rFonts w:eastAsia="Times New Roman" w:cs="Arial"/>
                <w:color w:val="000000"/>
                <w:sz w:val="24"/>
                <w:szCs w:val="24"/>
                <w:lang w:eastAsia="en-AU"/>
              </w:rPr>
              <w:t xml:space="preserve"> </w:t>
            </w:r>
            <w:r w:rsidRPr="000407A6">
              <w:rPr>
                <w:rFonts w:eastAsia="Times New Roman" w:cs="Arial"/>
                <w:color w:val="000000"/>
                <w:sz w:val="24"/>
                <w:szCs w:val="24"/>
                <w:lang w:eastAsia="en-AU"/>
              </w:rPr>
              <w:t>&amp;</w:t>
            </w:r>
            <w:r w:rsidR="004B7258">
              <w:rPr>
                <w:rFonts w:eastAsia="Times New Roman" w:cs="Arial"/>
                <w:color w:val="000000"/>
                <w:sz w:val="24"/>
                <w:szCs w:val="24"/>
                <w:lang w:eastAsia="en-AU"/>
              </w:rPr>
              <w:t xml:space="preserve"> </w:t>
            </w:r>
            <w:r w:rsidRPr="000407A6">
              <w:rPr>
                <w:rFonts w:eastAsia="Times New Roman" w:cs="Arial"/>
                <w:color w:val="000000"/>
                <w:sz w:val="24"/>
                <w:szCs w:val="24"/>
                <w:lang w:eastAsia="en-AU"/>
              </w:rPr>
              <w:t>F</w:t>
            </w:r>
          </w:p>
        </w:tc>
      </w:tr>
      <w:tr w:rsidR="000407A6" w:rsidRPr="000407A6" w14:paraId="1C228D91" w14:textId="77777777" w:rsidTr="000F187D">
        <w:trPr>
          <w:trHeight w:val="308"/>
        </w:trPr>
        <w:tc>
          <w:tcPr>
            <w:tcW w:w="9016" w:type="dxa"/>
            <w:noWrap/>
            <w:hideMark/>
          </w:tcPr>
          <w:p w14:paraId="3A66FDC7"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 xml:space="preserve">Brass </w:t>
            </w:r>
            <w:r w:rsidR="000F187D">
              <w:rPr>
                <w:rFonts w:eastAsia="Times New Roman" w:cs="Arial"/>
                <w:color w:val="000000"/>
                <w:sz w:val="24"/>
                <w:szCs w:val="24"/>
                <w:lang w:eastAsia="en-AU"/>
              </w:rPr>
              <w:t>b</w:t>
            </w:r>
            <w:r w:rsidRPr="000407A6">
              <w:rPr>
                <w:rFonts w:eastAsia="Times New Roman" w:cs="Arial"/>
                <w:color w:val="000000"/>
                <w:sz w:val="24"/>
                <w:szCs w:val="24"/>
                <w:lang w:eastAsia="en-AU"/>
              </w:rPr>
              <w:t xml:space="preserve">all </w:t>
            </w:r>
            <w:r>
              <w:rPr>
                <w:rFonts w:eastAsia="Times New Roman" w:cs="Arial"/>
                <w:color w:val="000000"/>
                <w:sz w:val="24"/>
                <w:szCs w:val="24"/>
                <w:lang w:eastAsia="en-AU"/>
              </w:rPr>
              <w:t>v</w:t>
            </w:r>
            <w:r w:rsidRPr="000407A6">
              <w:rPr>
                <w:rFonts w:eastAsia="Times New Roman" w:cs="Arial"/>
                <w:color w:val="000000"/>
                <w:sz w:val="24"/>
                <w:szCs w:val="24"/>
                <w:lang w:eastAsia="en-AU"/>
              </w:rPr>
              <w:t xml:space="preserve">alve 20mm </w:t>
            </w:r>
            <w:r w:rsidR="000F187D">
              <w:rPr>
                <w:rFonts w:eastAsia="Times New Roman" w:cs="Arial"/>
                <w:color w:val="000000"/>
                <w:sz w:val="24"/>
                <w:szCs w:val="24"/>
                <w:lang w:eastAsia="en-AU"/>
              </w:rPr>
              <w:t>p</w:t>
            </w:r>
            <w:r w:rsidRPr="000407A6">
              <w:rPr>
                <w:rFonts w:eastAsia="Times New Roman" w:cs="Arial"/>
                <w:color w:val="000000"/>
                <w:sz w:val="24"/>
                <w:szCs w:val="24"/>
                <w:lang w:eastAsia="en-AU"/>
              </w:rPr>
              <w:t>lain</w:t>
            </w:r>
          </w:p>
        </w:tc>
      </w:tr>
      <w:tr w:rsidR="000407A6" w:rsidRPr="000407A6" w14:paraId="61ABF79C" w14:textId="77777777" w:rsidTr="000F187D">
        <w:trPr>
          <w:trHeight w:val="308"/>
        </w:trPr>
        <w:tc>
          <w:tcPr>
            <w:tcW w:w="9016" w:type="dxa"/>
            <w:noWrap/>
            <w:hideMark/>
          </w:tcPr>
          <w:p w14:paraId="749DB815"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 xml:space="preserve">Brass </w:t>
            </w:r>
            <w:r>
              <w:rPr>
                <w:rFonts w:eastAsia="Times New Roman" w:cs="Arial"/>
                <w:color w:val="000000"/>
                <w:sz w:val="24"/>
                <w:szCs w:val="24"/>
                <w:lang w:eastAsia="en-AU"/>
              </w:rPr>
              <w:t>t</w:t>
            </w:r>
            <w:r w:rsidRPr="000407A6">
              <w:rPr>
                <w:rFonts w:eastAsia="Times New Roman" w:cs="Arial"/>
                <w:color w:val="000000"/>
                <w:sz w:val="24"/>
                <w:szCs w:val="24"/>
                <w:lang w:eastAsia="en-AU"/>
              </w:rPr>
              <w:t xml:space="preserve">empering </w:t>
            </w:r>
            <w:r>
              <w:rPr>
                <w:rFonts w:eastAsia="Times New Roman" w:cs="Arial"/>
                <w:color w:val="000000"/>
                <w:sz w:val="24"/>
                <w:szCs w:val="24"/>
                <w:lang w:eastAsia="en-AU"/>
              </w:rPr>
              <w:t>v</w:t>
            </w:r>
            <w:r w:rsidRPr="000407A6">
              <w:rPr>
                <w:rFonts w:eastAsia="Times New Roman" w:cs="Arial"/>
                <w:color w:val="000000"/>
                <w:sz w:val="24"/>
                <w:szCs w:val="24"/>
                <w:lang w:eastAsia="en-AU"/>
              </w:rPr>
              <w:t>alve</w:t>
            </w:r>
            <w:r w:rsidR="000F187D">
              <w:rPr>
                <w:rFonts w:eastAsia="Times New Roman" w:cs="Arial"/>
                <w:color w:val="000000"/>
                <w:sz w:val="24"/>
                <w:szCs w:val="24"/>
                <w:lang w:eastAsia="en-AU"/>
              </w:rPr>
              <w:t xml:space="preserve"> </w:t>
            </w:r>
            <w:r w:rsidR="000F187D" w:rsidRPr="000407A6">
              <w:rPr>
                <w:rFonts w:eastAsia="Times New Roman" w:cs="Arial"/>
                <w:color w:val="000000"/>
                <w:sz w:val="24"/>
                <w:szCs w:val="24"/>
                <w:lang w:eastAsia="en-AU"/>
              </w:rPr>
              <w:t>15mm</w:t>
            </w:r>
          </w:p>
        </w:tc>
      </w:tr>
      <w:tr w:rsidR="000407A6" w:rsidRPr="000407A6" w14:paraId="4A5BC530" w14:textId="77777777" w:rsidTr="000F187D">
        <w:trPr>
          <w:trHeight w:val="308"/>
        </w:trPr>
        <w:tc>
          <w:tcPr>
            <w:tcW w:w="9016" w:type="dxa"/>
            <w:noWrap/>
            <w:hideMark/>
          </w:tcPr>
          <w:p w14:paraId="1D4710CA"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Compact PRV limiter</w:t>
            </w:r>
            <w:r w:rsidR="000F187D">
              <w:rPr>
                <w:rFonts w:eastAsia="Times New Roman" w:cs="Arial"/>
                <w:color w:val="000000"/>
                <w:sz w:val="24"/>
                <w:szCs w:val="24"/>
                <w:lang w:eastAsia="en-AU"/>
              </w:rPr>
              <w:t xml:space="preserve"> 20mm</w:t>
            </w:r>
          </w:p>
        </w:tc>
      </w:tr>
      <w:tr w:rsidR="000407A6" w:rsidRPr="000407A6" w14:paraId="07D968F8" w14:textId="77777777" w:rsidTr="000F187D">
        <w:trPr>
          <w:trHeight w:val="308"/>
        </w:trPr>
        <w:tc>
          <w:tcPr>
            <w:tcW w:w="9016" w:type="dxa"/>
            <w:noWrap/>
            <w:hideMark/>
          </w:tcPr>
          <w:p w14:paraId="3DA897EE"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 xml:space="preserve">Brass </w:t>
            </w:r>
            <w:r w:rsidR="000F187D">
              <w:rPr>
                <w:rFonts w:eastAsia="Times New Roman" w:cs="Arial"/>
                <w:color w:val="000000"/>
                <w:sz w:val="24"/>
                <w:szCs w:val="24"/>
                <w:lang w:eastAsia="en-AU"/>
              </w:rPr>
              <w:t>d</w:t>
            </w:r>
            <w:r w:rsidRPr="000407A6">
              <w:rPr>
                <w:rFonts w:eastAsia="Times New Roman" w:cs="Arial"/>
                <w:color w:val="000000"/>
                <w:sz w:val="24"/>
                <w:szCs w:val="24"/>
                <w:lang w:eastAsia="en-AU"/>
              </w:rPr>
              <w:t xml:space="preserve">uo </w:t>
            </w:r>
            <w:r w:rsidR="000F187D">
              <w:rPr>
                <w:rFonts w:eastAsia="Times New Roman" w:cs="Arial"/>
                <w:color w:val="000000"/>
                <w:sz w:val="24"/>
                <w:szCs w:val="24"/>
                <w:lang w:eastAsia="en-AU"/>
              </w:rPr>
              <w:t>n</w:t>
            </w:r>
            <w:r w:rsidRPr="000407A6">
              <w:rPr>
                <w:rFonts w:eastAsia="Times New Roman" w:cs="Arial"/>
                <w:color w:val="000000"/>
                <w:sz w:val="24"/>
                <w:szCs w:val="24"/>
                <w:lang w:eastAsia="en-AU"/>
              </w:rPr>
              <w:t>on-</w:t>
            </w:r>
            <w:r w:rsidR="000F187D">
              <w:rPr>
                <w:rFonts w:eastAsia="Times New Roman" w:cs="Arial"/>
                <w:color w:val="000000"/>
                <w:sz w:val="24"/>
                <w:szCs w:val="24"/>
                <w:lang w:eastAsia="en-AU"/>
              </w:rPr>
              <w:t>r</w:t>
            </w:r>
            <w:r w:rsidRPr="000407A6">
              <w:rPr>
                <w:rFonts w:eastAsia="Times New Roman" w:cs="Arial"/>
                <w:color w:val="000000"/>
                <w:sz w:val="24"/>
                <w:szCs w:val="24"/>
                <w:lang w:eastAsia="en-AU"/>
              </w:rPr>
              <w:t xml:space="preserve">eturn </w:t>
            </w:r>
            <w:r w:rsidR="000F187D">
              <w:rPr>
                <w:rFonts w:eastAsia="Times New Roman" w:cs="Arial"/>
                <w:color w:val="000000"/>
                <w:sz w:val="24"/>
                <w:szCs w:val="24"/>
                <w:lang w:eastAsia="en-AU"/>
              </w:rPr>
              <w:t>v</w:t>
            </w:r>
            <w:r w:rsidRPr="000407A6">
              <w:rPr>
                <w:rFonts w:eastAsia="Times New Roman" w:cs="Arial"/>
                <w:color w:val="000000"/>
                <w:sz w:val="24"/>
                <w:szCs w:val="24"/>
                <w:lang w:eastAsia="en-AU"/>
              </w:rPr>
              <w:t>alve</w:t>
            </w:r>
            <w:r w:rsidR="000F187D">
              <w:rPr>
                <w:rFonts w:eastAsia="Times New Roman" w:cs="Arial"/>
                <w:color w:val="000000"/>
                <w:sz w:val="24"/>
                <w:szCs w:val="24"/>
                <w:lang w:eastAsia="en-AU"/>
              </w:rPr>
              <w:t xml:space="preserve"> </w:t>
            </w:r>
            <w:r w:rsidR="000F187D" w:rsidRPr="000407A6">
              <w:rPr>
                <w:rFonts w:eastAsia="Times New Roman" w:cs="Arial"/>
                <w:color w:val="000000"/>
                <w:sz w:val="24"/>
                <w:szCs w:val="24"/>
                <w:lang w:eastAsia="en-AU"/>
              </w:rPr>
              <w:t>15mm</w:t>
            </w:r>
          </w:p>
        </w:tc>
      </w:tr>
      <w:tr w:rsidR="000407A6" w:rsidRPr="000407A6" w14:paraId="27CA953A" w14:textId="77777777" w:rsidTr="000F187D">
        <w:trPr>
          <w:trHeight w:val="308"/>
        </w:trPr>
        <w:tc>
          <w:tcPr>
            <w:tcW w:w="9016" w:type="dxa"/>
            <w:noWrap/>
            <w:hideMark/>
          </w:tcPr>
          <w:p w14:paraId="3A9CADF6"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 xml:space="preserve">Dual </w:t>
            </w:r>
            <w:r w:rsidR="000F187D">
              <w:rPr>
                <w:rFonts w:eastAsia="Times New Roman" w:cs="Arial"/>
                <w:color w:val="000000"/>
                <w:sz w:val="24"/>
                <w:szCs w:val="24"/>
                <w:lang w:eastAsia="en-AU"/>
              </w:rPr>
              <w:t>c</w:t>
            </w:r>
            <w:r w:rsidRPr="000407A6">
              <w:rPr>
                <w:rFonts w:eastAsia="Times New Roman" w:cs="Arial"/>
                <w:color w:val="000000"/>
                <w:sz w:val="24"/>
                <w:szCs w:val="24"/>
                <w:lang w:eastAsia="en-AU"/>
              </w:rPr>
              <w:t xml:space="preserve">heck </w:t>
            </w:r>
            <w:r w:rsidR="000F187D">
              <w:rPr>
                <w:rFonts w:eastAsia="Times New Roman" w:cs="Arial"/>
                <w:color w:val="000000"/>
                <w:sz w:val="24"/>
                <w:szCs w:val="24"/>
                <w:lang w:eastAsia="en-AU"/>
              </w:rPr>
              <w:t>v</w:t>
            </w:r>
            <w:r w:rsidRPr="000407A6">
              <w:rPr>
                <w:rFonts w:eastAsia="Times New Roman" w:cs="Arial"/>
                <w:color w:val="000000"/>
                <w:sz w:val="24"/>
                <w:szCs w:val="24"/>
                <w:lang w:eastAsia="en-AU"/>
              </w:rPr>
              <w:t>alve</w:t>
            </w:r>
            <w:r w:rsidR="000F187D">
              <w:rPr>
                <w:rFonts w:eastAsia="Times New Roman" w:cs="Arial"/>
                <w:color w:val="000000"/>
                <w:sz w:val="24"/>
                <w:szCs w:val="24"/>
                <w:lang w:eastAsia="en-AU"/>
              </w:rPr>
              <w:t xml:space="preserve"> 20mm</w:t>
            </w:r>
          </w:p>
        </w:tc>
      </w:tr>
      <w:tr w:rsidR="000407A6" w:rsidRPr="000407A6" w14:paraId="1D4F9E2A" w14:textId="77777777" w:rsidTr="000F187D">
        <w:trPr>
          <w:trHeight w:val="353"/>
        </w:trPr>
        <w:tc>
          <w:tcPr>
            <w:tcW w:w="9016" w:type="dxa"/>
            <w:noWrap/>
            <w:hideMark/>
          </w:tcPr>
          <w:p w14:paraId="21CBAA43" w14:textId="77777777" w:rsidR="000407A6" w:rsidRPr="000407A6" w:rsidRDefault="000407A6" w:rsidP="000407A6">
            <w:pPr>
              <w:rPr>
                <w:rFonts w:eastAsia="Times New Roman" w:cs="Arial"/>
                <w:color w:val="000000"/>
                <w:sz w:val="24"/>
                <w:szCs w:val="24"/>
                <w:lang w:eastAsia="en-AU"/>
              </w:rPr>
            </w:pPr>
            <w:r w:rsidRPr="000407A6">
              <w:rPr>
                <w:rFonts w:eastAsia="Times New Roman" w:cs="Arial"/>
                <w:color w:val="000000"/>
                <w:sz w:val="24"/>
                <w:szCs w:val="24"/>
                <w:lang w:eastAsia="en-AU"/>
              </w:rPr>
              <w:t xml:space="preserve">Brass RPZ </w:t>
            </w:r>
            <w:r w:rsidR="000F187D">
              <w:rPr>
                <w:rFonts w:eastAsia="Times New Roman" w:cs="Arial"/>
                <w:color w:val="000000"/>
                <w:sz w:val="24"/>
                <w:szCs w:val="24"/>
                <w:lang w:eastAsia="en-AU"/>
              </w:rPr>
              <w:t>v</w:t>
            </w:r>
            <w:r w:rsidRPr="000407A6">
              <w:rPr>
                <w:rFonts w:eastAsia="Times New Roman" w:cs="Arial"/>
                <w:color w:val="000000"/>
                <w:sz w:val="24"/>
                <w:szCs w:val="24"/>
                <w:lang w:eastAsia="en-AU"/>
              </w:rPr>
              <w:t>alve</w:t>
            </w:r>
            <w:r w:rsidR="000F187D">
              <w:rPr>
                <w:rFonts w:eastAsia="Times New Roman" w:cs="Arial"/>
                <w:color w:val="000000"/>
                <w:sz w:val="24"/>
                <w:szCs w:val="24"/>
                <w:lang w:eastAsia="en-AU"/>
              </w:rPr>
              <w:t xml:space="preserve"> </w:t>
            </w:r>
            <w:r w:rsidR="000F187D" w:rsidRPr="000407A6">
              <w:rPr>
                <w:rFonts w:eastAsia="Times New Roman" w:cs="Arial"/>
                <w:color w:val="000000"/>
                <w:sz w:val="24"/>
                <w:szCs w:val="24"/>
                <w:lang w:eastAsia="en-AU"/>
              </w:rPr>
              <w:t>25mm</w:t>
            </w:r>
          </w:p>
        </w:tc>
      </w:tr>
      <w:tr w:rsidR="00C00497" w14:paraId="71F1BAB0" w14:textId="77777777" w:rsidTr="000F187D">
        <w:tc>
          <w:tcPr>
            <w:tcW w:w="9016" w:type="dxa"/>
            <w:shd w:val="clear" w:color="auto" w:fill="D9D9D9" w:themeFill="background1" w:themeFillShade="D9"/>
          </w:tcPr>
          <w:p w14:paraId="12737239" w14:textId="77777777" w:rsidR="00C00497" w:rsidRDefault="000F187D" w:rsidP="001B30D2">
            <w:r w:rsidRPr="000F187D">
              <w:rPr>
                <w:b/>
                <w:bCs/>
                <w:sz w:val="24"/>
                <w:szCs w:val="24"/>
              </w:rPr>
              <w:t>Stainless Steel Hoses</w:t>
            </w:r>
          </w:p>
        </w:tc>
      </w:tr>
      <w:tr w:rsidR="000F187D" w:rsidRPr="000F187D" w14:paraId="01BD77D9" w14:textId="77777777" w:rsidTr="000F187D">
        <w:trPr>
          <w:trHeight w:val="344"/>
        </w:trPr>
        <w:tc>
          <w:tcPr>
            <w:tcW w:w="9016" w:type="dxa"/>
            <w:hideMark/>
          </w:tcPr>
          <w:p w14:paraId="6193E4CD" w14:textId="77777777" w:rsidR="000F187D" w:rsidRPr="000F187D" w:rsidRDefault="000F187D" w:rsidP="000F187D">
            <w:pPr>
              <w:rPr>
                <w:rFonts w:eastAsia="Times New Roman" w:cs="Arial"/>
                <w:color w:val="000000"/>
                <w:sz w:val="24"/>
                <w:szCs w:val="24"/>
                <w:lang w:eastAsia="en-AU"/>
              </w:rPr>
            </w:pPr>
            <w:r w:rsidRPr="000F187D">
              <w:rPr>
                <w:rFonts w:eastAsia="Times New Roman" w:cs="Arial"/>
                <w:color w:val="000000"/>
                <w:sz w:val="24"/>
                <w:szCs w:val="24"/>
                <w:lang w:eastAsia="en-AU"/>
              </w:rPr>
              <w:t>15mm S/S 300mm long</w:t>
            </w:r>
          </w:p>
        </w:tc>
      </w:tr>
      <w:tr w:rsidR="000F187D" w:rsidRPr="000F187D" w14:paraId="3A1FBC1B" w14:textId="77777777" w:rsidTr="000F187D">
        <w:trPr>
          <w:trHeight w:val="308"/>
        </w:trPr>
        <w:tc>
          <w:tcPr>
            <w:tcW w:w="9016" w:type="dxa"/>
            <w:hideMark/>
          </w:tcPr>
          <w:p w14:paraId="5CAB7E78" w14:textId="77777777" w:rsidR="000F187D" w:rsidRPr="000F187D" w:rsidRDefault="000F187D" w:rsidP="000F187D">
            <w:pPr>
              <w:rPr>
                <w:rFonts w:eastAsia="Times New Roman" w:cs="Arial"/>
                <w:color w:val="000000"/>
                <w:sz w:val="24"/>
                <w:szCs w:val="24"/>
                <w:lang w:eastAsia="en-AU"/>
              </w:rPr>
            </w:pPr>
            <w:r w:rsidRPr="000F187D">
              <w:rPr>
                <w:rFonts w:eastAsia="Times New Roman" w:cs="Arial"/>
                <w:color w:val="000000"/>
                <w:sz w:val="24"/>
                <w:szCs w:val="24"/>
                <w:lang w:eastAsia="en-AU"/>
              </w:rPr>
              <w:t>15mm S/S 450mm long</w:t>
            </w:r>
          </w:p>
        </w:tc>
      </w:tr>
      <w:tr w:rsidR="000F187D" w:rsidRPr="000F187D" w14:paraId="44965AA7" w14:textId="77777777" w:rsidTr="000F187D">
        <w:trPr>
          <w:trHeight w:val="308"/>
        </w:trPr>
        <w:tc>
          <w:tcPr>
            <w:tcW w:w="9016" w:type="dxa"/>
            <w:hideMark/>
          </w:tcPr>
          <w:p w14:paraId="6E80219C" w14:textId="77777777" w:rsidR="000F187D" w:rsidRPr="000F187D" w:rsidRDefault="000F187D" w:rsidP="000F187D">
            <w:pPr>
              <w:rPr>
                <w:rFonts w:eastAsia="Times New Roman" w:cs="Arial"/>
                <w:color w:val="000000"/>
                <w:sz w:val="24"/>
                <w:szCs w:val="24"/>
                <w:lang w:eastAsia="en-AU"/>
              </w:rPr>
            </w:pPr>
            <w:r w:rsidRPr="000F187D">
              <w:rPr>
                <w:rFonts w:eastAsia="Times New Roman" w:cs="Arial"/>
                <w:color w:val="000000"/>
                <w:sz w:val="24"/>
                <w:szCs w:val="24"/>
                <w:lang w:eastAsia="en-AU"/>
              </w:rPr>
              <w:t>15mm S/S 600mm long</w:t>
            </w:r>
          </w:p>
        </w:tc>
      </w:tr>
      <w:tr w:rsidR="000F187D" w:rsidRPr="000F187D" w14:paraId="177ED874" w14:textId="77777777" w:rsidTr="000F187D">
        <w:trPr>
          <w:trHeight w:val="308"/>
        </w:trPr>
        <w:tc>
          <w:tcPr>
            <w:tcW w:w="9016" w:type="dxa"/>
            <w:hideMark/>
          </w:tcPr>
          <w:p w14:paraId="5720919B" w14:textId="77777777" w:rsidR="000F187D" w:rsidRPr="000F187D" w:rsidRDefault="000F187D" w:rsidP="000F187D">
            <w:pPr>
              <w:rPr>
                <w:rFonts w:eastAsia="Times New Roman" w:cs="Arial"/>
                <w:color w:val="000000"/>
                <w:sz w:val="24"/>
                <w:szCs w:val="24"/>
                <w:lang w:eastAsia="en-AU"/>
              </w:rPr>
            </w:pPr>
            <w:r w:rsidRPr="000F187D">
              <w:rPr>
                <w:rFonts w:eastAsia="Times New Roman" w:cs="Arial"/>
                <w:color w:val="000000"/>
                <w:sz w:val="24"/>
                <w:szCs w:val="24"/>
                <w:lang w:eastAsia="en-AU"/>
              </w:rPr>
              <w:t>15mm S/S 1000mm long</w:t>
            </w:r>
          </w:p>
        </w:tc>
      </w:tr>
    </w:tbl>
    <w:p w14:paraId="78429841" w14:textId="77777777" w:rsidR="006863CF" w:rsidRDefault="006863CF">
      <w:r>
        <w:br w:type="page"/>
      </w:r>
    </w:p>
    <w:tbl>
      <w:tblPr>
        <w:tblStyle w:val="TableGrid"/>
        <w:tblW w:w="0" w:type="auto"/>
        <w:tblLook w:val="04A0" w:firstRow="1" w:lastRow="0" w:firstColumn="1" w:lastColumn="0" w:noHBand="0" w:noVBand="1"/>
        <w:tblCaption w:val="Representative Product Types and Categories"/>
        <w:tblDescription w:val="This table presents the categories of product types considered in the analysis"/>
      </w:tblPr>
      <w:tblGrid>
        <w:gridCol w:w="9016"/>
      </w:tblGrid>
      <w:tr w:rsidR="000F187D" w14:paraId="4E942067" w14:textId="77777777" w:rsidTr="00C21D51">
        <w:trPr>
          <w:tblHeader/>
        </w:trPr>
        <w:tc>
          <w:tcPr>
            <w:tcW w:w="9016" w:type="dxa"/>
            <w:shd w:val="clear" w:color="auto" w:fill="002060"/>
          </w:tcPr>
          <w:p w14:paraId="2DD7E5B5" w14:textId="77777777" w:rsidR="000F187D" w:rsidRPr="000F187D" w:rsidRDefault="000F187D" w:rsidP="000F187D">
            <w:pPr>
              <w:jc w:val="center"/>
              <w:rPr>
                <w:b/>
                <w:bCs/>
                <w:sz w:val="24"/>
                <w:szCs w:val="24"/>
              </w:rPr>
            </w:pPr>
            <w:r w:rsidRPr="000F187D">
              <w:rPr>
                <w:b/>
                <w:bCs/>
                <w:color w:val="FFFFFF" w:themeColor="background1"/>
                <w:sz w:val="24"/>
                <w:szCs w:val="24"/>
              </w:rPr>
              <w:lastRenderedPageBreak/>
              <w:t>Product Type</w:t>
            </w:r>
          </w:p>
        </w:tc>
      </w:tr>
      <w:tr w:rsidR="000F187D" w14:paraId="159BF517" w14:textId="77777777" w:rsidTr="00567FD4">
        <w:tc>
          <w:tcPr>
            <w:tcW w:w="9016" w:type="dxa"/>
            <w:shd w:val="clear" w:color="auto" w:fill="D9D9D9" w:themeFill="background1" w:themeFillShade="D9"/>
          </w:tcPr>
          <w:p w14:paraId="23ABEC7B" w14:textId="77777777" w:rsidR="000F187D" w:rsidRPr="000F187D" w:rsidRDefault="000F187D" w:rsidP="001B30D2">
            <w:pPr>
              <w:rPr>
                <w:b/>
                <w:bCs/>
                <w:sz w:val="24"/>
                <w:szCs w:val="24"/>
              </w:rPr>
            </w:pPr>
            <w:r w:rsidRPr="000F187D">
              <w:rPr>
                <w:b/>
                <w:bCs/>
                <w:sz w:val="24"/>
                <w:szCs w:val="24"/>
              </w:rPr>
              <w:t>Taps and Combinations</w:t>
            </w:r>
          </w:p>
        </w:tc>
      </w:tr>
      <w:tr w:rsidR="000F187D" w:rsidRPr="000F187D" w14:paraId="3DFBD29C" w14:textId="77777777" w:rsidTr="00567FD4">
        <w:trPr>
          <w:trHeight w:val="308"/>
        </w:trPr>
        <w:tc>
          <w:tcPr>
            <w:tcW w:w="9016" w:type="dxa"/>
            <w:hideMark/>
          </w:tcPr>
          <w:p w14:paraId="1B1634FF" w14:textId="77777777" w:rsidR="000F187D" w:rsidRPr="000F187D" w:rsidRDefault="000F187D" w:rsidP="000F187D">
            <w:pPr>
              <w:rPr>
                <w:rFonts w:eastAsia="Times New Roman" w:cs="Arial"/>
                <w:color w:val="000000"/>
                <w:sz w:val="24"/>
                <w:szCs w:val="24"/>
                <w:lang w:eastAsia="en-AU"/>
              </w:rPr>
            </w:pPr>
            <w:r w:rsidRPr="000F187D">
              <w:rPr>
                <w:rFonts w:eastAsia="Times New Roman" w:cs="Arial"/>
                <w:color w:val="000000"/>
                <w:sz w:val="24"/>
                <w:szCs w:val="24"/>
                <w:lang w:eastAsia="en-AU"/>
              </w:rPr>
              <w:t xml:space="preserve">Hose </w:t>
            </w:r>
            <w:r>
              <w:rPr>
                <w:rFonts w:eastAsia="Times New Roman" w:cs="Arial"/>
                <w:color w:val="000000"/>
                <w:sz w:val="24"/>
                <w:szCs w:val="24"/>
                <w:lang w:eastAsia="en-AU"/>
              </w:rPr>
              <w:t>t</w:t>
            </w:r>
            <w:r w:rsidRPr="000F187D">
              <w:rPr>
                <w:rFonts w:eastAsia="Times New Roman" w:cs="Arial"/>
                <w:color w:val="000000"/>
                <w:sz w:val="24"/>
                <w:szCs w:val="24"/>
                <w:lang w:eastAsia="en-AU"/>
              </w:rPr>
              <w:t xml:space="preserve">ap </w:t>
            </w:r>
            <w:r>
              <w:rPr>
                <w:rFonts w:eastAsia="Times New Roman" w:cs="Arial"/>
                <w:color w:val="000000"/>
                <w:sz w:val="24"/>
                <w:szCs w:val="24"/>
                <w:lang w:eastAsia="en-AU"/>
              </w:rPr>
              <w:t>p</w:t>
            </w:r>
            <w:r w:rsidRPr="000F187D">
              <w:rPr>
                <w:rFonts w:eastAsia="Times New Roman" w:cs="Arial"/>
                <w:color w:val="000000"/>
                <w:sz w:val="24"/>
                <w:szCs w:val="24"/>
                <w:lang w:eastAsia="en-AU"/>
              </w:rPr>
              <w:t>lain</w:t>
            </w:r>
            <w:r>
              <w:rPr>
                <w:rFonts w:eastAsia="Times New Roman" w:cs="Arial"/>
                <w:color w:val="000000"/>
                <w:sz w:val="24"/>
                <w:szCs w:val="24"/>
                <w:lang w:eastAsia="en-AU"/>
              </w:rPr>
              <w:t xml:space="preserve"> 15mm</w:t>
            </w:r>
          </w:p>
        </w:tc>
      </w:tr>
      <w:tr w:rsidR="000F187D" w:rsidRPr="000F187D" w14:paraId="18D89C16" w14:textId="77777777" w:rsidTr="00567FD4">
        <w:trPr>
          <w:trHeight w:val="308"/>
        </w:trPr>
        <w:tc>
          <w:tcPr>
            <w:tcW w:w="9016" w:type="dxa"/>
            <w:hideMark/>
          </w:tcPr>
          <w:p w14:paraId="00CB7874" w14:textId="77777777" w:rsidR="000F187D" w:rsidRPr="000F187D" w:rsidRDefault="000F187D" w:rsidP="000F187D">
            <w:pPr>
              <w:rPr>
                <w:rFonts w:eastAsia="Times New Roman" w:cs="Arial"/>
                <w:color w:val="000000"/>
                <w:sz w:val="24"/>
                <w:szCs w:val="24"/>
                <w:lang w:eastAsia="en-AU"/>
              </w:rPr>
            </w:pPr>
            <w:r w:rsidRPr="000F187D">
              <w:rPr>
                <w:rFonts w:eastAsia="Times New Roman" w:cs="Arial"/>
                <w:color w:val="000000"/>
                <w:sz w:val="24"/>
                <w:szCs w:val="24"/>
                <w:lang w:eastAsia="en-AU"/>
              </w:rPr>
              <w:t xml:space="preserve">Mini </w:t>
            </w:r>
            <w:r w:rsidR="00567FD4">
              <w:rPr>
                <w:rFonts w:eastAsia="Times New Roman" w:cs="Arial"/>
                <w:color w:val="000000"/>
                <w:sz w:val="24"/>
                <w:szCs w:val="24"/>
                <w:lang w:eastAsia="en-AU"/>
              </w:rPr>
              <w:t>i</w:t>
            </w:r>
            <w:r w:rsidRPr="000F187D">
              <w:rPr>
                <w:rFonts w:eastAsia="Times New Roman" w:cs="Arial"/>
                <w:color w:val="000000"/>
                <w:sz w:val="24"/>
                <w:szCs w:val="24"/>
                <w:lang w:eastAsia="en-AU"/>
              </w:rPr>
              <w:t xml:space="preserve">solation </w:t>
            </w:r>
            <w:r w:rsidR="00567FD4">
              <w:rPr>
                <w:rFonts w:eastAsia="Times New Roman" w:cs="Arial"/>
                <w:color w:val="000000"/>
                <w:sz w:val="24"/>
                <w:szCs w:val="24"/>
                <w:lang w:eastAsia="en-AU"/>
              </w:rPr>
              <w:t>c</w:t>
            </w:r>
            <w:r w:rsidRPr="000F187D">
              <w:rPr>
                <w:rFonts w:eastAsia="Times New Roman" w:cs="Arial"/>
                <w:color w:val="000000"/>
                <w:sz w:val="24"/>
                <w:szCs w:val="24"/>
                <w:lang w:eastAsia="en-AU"/>
              </w:rPr>
              <w:t>ock</w:t>
            </w:r>
            <w:r w:rsidR="00567FD4">
              <w:rPr>
                <w:rFonts w:eastAsia="Times New Roman" w:cs="Arial"/>
                <w:color w:val="000000"/>
                <w:sz w:val="24"/>
                <w:szCs w:val="24"/>
                <w:lang w:eastAsia="en-AU"/>
              </w:rPr>
              <w:t xml:space="preserve"> plain</w:t>
            </w:r>
            <w:r w:rsidRPr="000F187D">
              <w:rPr>
                <w:rFonts w:eastAsia="Times New Roman" w:cs="Arial"/>
                <w:color w:val="000000"/>
                <w:sz w:val="24"/>
                <w:szCs w:val="24"/>
                <w:lang w:eastAsia="en-AU"/>
              </w:rPr>
              <w:t xml:space="preserve"> 15mm</w:t>
            </w:r>
          </w:p>
        </w:tc>
      </w:tr>
      <w:tr w:rsidR="000F187D" w:rsidRPr="000F187D" w14:paraId="22A7C504" w14:textId="77777777" w:rsidTr="00567FD4">
        <w:trPr>
          <w:trHeight w:val="308"/>
        </w:trPr>
        <w:tc>
          <w:tcPr>
            <w:tcW w:w="9016" w:type="dxa"/>
            <w:hideMark/>
          </w:tcPr>
          <w:p w14:paraId="48E8B655" w14:textId="77777777" w:rsidR="000F187D" w:rsidRPr="000F187D" w:rsidRDefault="000F187D" w:rsidP="000F187D">
            <w:pPr>
              <w:rPr>
                <w:rFonts w:eastAsia="Times New Roman" w:cs="Arial"/>
                <w:color w:val="000000"/>
                <w:sz w:val="24"/>
                <w:szCs w:val="24"/>
                <w:lang w:eastAsia="en-AU"/>
              </w:rPr>
            </w:pPr>
            <w:r w:rsidRPr="000F187D">
              <w:rPr>
                <w:rFonts w:eastAsia="Times New Roman" w:cs="Arial"/>
                <w:color w:val="000000"/>
                <w:sz w:val="24"/>
                <w:szCs w:val="24"/>
                <w:lang w:eastAsia="en-AU"/>
              </w:rPr>
              <w:t>Taps other</w:t>
            </w:r>
          </w:p>
        </w:tc>
      </w:tr>
      <w:tr w:rsidR="000F187D" w14:paraId="7A09B07E" w14:textId="77777777" w:rsidTr="00567FD4">
        <w:tc>
          <w:tcPr>
            <w:tcW w:w="9016" w:type="dxa"/>
            <w:shd w:val="clear" w:color="auto" w:fill="D9D9D9" w:themeFill="background1" w:themeFillShade="D9"/>
          </w:tcPr>
          <w:p w14:paraId="193DFC6D" w14:textId="77777777" w:rsidR="000F187D" w:rsidRDefault="00567FD4" w:rsidP="001B30D2">
            <w:r w:rsidRPr="00567FD4">
              <w:rPr>
                <w:b/>
                <w:bCs/>
                <w:sz w:val="24"/>
                <w:szCs w:val="24"/>
              </w:rPr>
              <w:t>Mixers</w:t>
            </w:r>
          </w:p>
        </w:tc>
      </w:tr>
      <w:tr w:rsidR="00567FD4" w:rsidRPr="00567FD4" w14:paraId="7B4203C5" w14:textId="77777777" w:rsidTr="00567FD4">
        <w:trPr>
          <w:trHeight w:val="308"/>
        </w:trPr>
        <w:tc>
          <w:tcPr>
            <w:tcW w:w="9016" w:type="dxa"/>
            <w:hideMark/>
          </w:tcPr>
          <w:p w14:paraId="60C4DC3D"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Kitchen mixers</w:t>
            </w:r>
          </w:p>
        </w:tc>
      </w:tr>
      <w:tr w:rsidR="00567FD4" w:rsidRPr="00567FD4" w14:paraId="0AF5916A" w14:textId="77777777" w:rsidTr="00567FD4">
        <w:trPr>
          <w:trHeight w:val="308"/>
        </w:trPr>
        <w:tc>
          <w:tcPr>
            <w:tcW w:w="9016" w:type="dxa"/>
            <w:hideMark/>
          </w:tcPr>
          <w:p w14:paraId="2E97A72F"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Basin mixers</w:t>
            </w:r>
          </w:p>
        </w:tc>
      </w:tr>
      <w:tr w:rsidR="00567FD4" w:rsidRPr="00567FD4" w14:paraId="4AF8936A" w14:textId="77777777" w:rsidTr="00567FD4">
        <w:trPr>
          <w:trHeight w:val="308"/>
        </w:trPr>
        <w:tc>
          <w:tcPr>
            <w:tcW w:w="9016" w:type="dxa"/>
            <w:hideMark/>
          </w:tcPr>
          <w:p w14:paraId="09D85319"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Shower </w:t>
            </w:r>
            <w:r>
              <w:rPr>
                <w:rFonts w:eastAsia="Times New Roman" w:cs="Arial"/>
                <w:color w:val="000000"/>
                <w:sz w:val="24"/>
                <w:szCs w:val="24"/>
                <w:lang w:eastAsia="en-AU"/>
              </w:rPr>
              <w:t>mixer c</w:t>
            </w:r>
            <w:r w:rsidRPr="00567FD4">
              <w:rPr>
                <w:rFonts w:eastAsia="Times New Roman" w:cs="Arial"/>
                <w:color w:val="000000"/>
                <w:sz w:val="24"/>
                <w:szCs w:val="24"/>
                <w:lang w:eastAsia="en-AU"/>
              </w:rPr>
              <w:t>hrome</w:t>
            </w:r>
          </w:p>
        </w:tc>
      </w:tr>
      <w:tr w:rsidR="00567FD4" w:rsidRPr="00567FD4" w14:paraId="4686C61E" w14:textId="77777777" w:rsidTr="00567FD4">
        <w:trPr>
          <w:trHeight w:val="308"/>
        </w:trPr>
        <w:tc>
          <w:tcPr>
            <w:tcW w:w="9016" w:type="dxa"/>
            <w:hideMark/>
          </w:tcPr>
          <w:p w14:paraId="3D3C1F3A"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Shower </w:t>
            </w:r>
            <w:r>
              <w:rPr>
                <w:rFonts w:eastAsia="Times New Roman" w:cs="Arial"/>
                <w:color w:val="000000"/>
                <w:sz w:val="24"/>
                <w:szCs w:val="24"/>
                <w:lang w:eastAsia="en-AU"/>
              </w:rPr>
              <w:t>b</w:t>
            </w:r>
            <w:r w:rsidRPr="00567FD4">
              <w:rPr>
                <w:rFonts w:eastAsia="Times New Roman" w:cs="Arial"/>
                <w:color w:val="000000"/>
                <w:sz w:val="24"/>
                <w:szCs w:val="24"/>
                <w:lang w:eastAsia="en-AU"/>
              </w:rPr>
              <w:t>ath</w:t>
            </w:r>
            <w:r>
              <w:rPr>
                <w:rFonts w:eastAsia="Times New Roman" w:cs="Arial"/>
                <w:color w:val="000000"/>
                <w:sz w:val="24"/>
                <w:szCs w:val="24"/>
                <w:lang w:eastAsia="en-AU"/>
              </w:rPr>
              <w:t xml:space="preserve"> mixer</w:t>
            </w:r>
            <w:r w:rsidRPr="00567FD4">
              <w:rPr>
                <w:rFonts w:eastAsia="Times New Roman" w:cs="Arial"/>
                <w:color w:val="000000"/>
                <w:sz w:val="24"/>
                <w:szCs w:val="24"/>
                <w:lang w:eastAsia="en-AU"/>
              </w:rPr>
              <w:t xml:space="preserve"> </w:t>
            </w:r>
            <w:r>
              <w:rPr>
                <w:rFonts w:eastAsia="Times New Roman" w:cs="Arial"/>
                <w:color w:val="000000"/>
                <w:sz w:val="24"/>
                <w:szCs w:val="24"/>
                <w:lang w:eastAsia="en-AU"/>
              </w:rPr>
              <w:t>c</w:t>
            </w:r>
            <w:r w:rsidRPr="00567FD4">
              <w:rPr>
                <w:rFonts w:eastAsia="Times New Roman" w:cs="Arial"/>
                <w:color w:val="000000"/>
                <w:sz w:val="24"/>
                <w:szCs w:val="24"/>
                <w:lang w:eastAsia="en-AU"/>
              </w:rPr>
              <w:t>hrome</w:t>
            </w:r>
          </w:p>
        </w:tc>
      </w:tr>
      <w:tr w:rsidR="00567FD4" w:rsidRPr="00567FD4" w14:paraId="1CED3930" w14:textId="77777777" w:rsidTr="00567FD4">
        <w:trPr>
          <w:trHeight w:val="308"/>
        </w:trPr>
        <w:tc>
          <w:tcPr>
            <w:tcW w:w="9016" w:type="dxa"/>
            <w:hideMark/>
          </w:tcPr>
          <w:p w14:paraId="3B6B42C4"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Sink with </w:t>
            </w:r>
            <w:r>
              <w:rPr>
                <w:rFonts w:eastAsia="Times New Roman" w:cs="Arial"/>
                <w:color w:val="000000"/>
                <w:sz w:val="24"/>
                <w:szCs w:val="24"/>
                <w:lang w:eastAsia="en-AU"/>
              </w:rPr>
              <w:t>v</w:t>
            </w:r>
            <w:r w:rsidRPr="00567FD4">
              <w:rPr>
                <w:rFonts w:eastAsia="Times New Roman" w:cs="Arial"/>
                <w:color w:val="000000"/>
                <w:sz w:val="24"/>
                <w:szCs w:val="24"/>
                <w:lang w:eastAsia="en-AU"/>
              </w:rPr>
              <w:t>eg</w:t>
            </w:r>
            <w:r>
              <w:rPr>
                <w:rFonts w:eastAsia="Times New Roman" w:cs="Arial"/>
                <w:color w:val="000000"/>
                <w:sz w:val="24"/>
                <w:szCs w:val="24"/>
                <w:lang w:eastAsia="en-AU"/>
              </w:rPr>
              <w:t>etable</w:t>
            </w:r>
            <w:r w:rsidRPr="00567FD4">
              <w:rPr>
                <w:rFonts w:eastAsia="Times New Roman" w:cs="Arial"/>
                <w:color w:val="000000"/>
                <w:sz w:val="24"/>
                <w:szCs w:val="24"/>
                <w:lang w:eastAsia="en-AU"/>
              </w:rPr>
              <w:t xml:space="preserve"> </w:t>
            </w:r>
            <w:r>
              <w:rPr>
                <w:rFonts w:eastAsia="Times New Roman" w:cs="Arial"/>
                <w:color w:val="000000"/>
                <w:sz w:val="24"/>
                <w:szCs w:val="24"/>
                <w:lang w:eastAsia="en-AU"/>
              </w:rPr>
              <w:t>s</w:t>
            </w:r>
            <w:r w:rsidRPr="00567FD4">
              <w:rPr>
                <w:rFonts w:eastAsia="Times New Roman" w:cs="Arial"/>
                <w:color w:val="000000"/>
                <w:sz w:val="24"/>
                <w:szCs w:val="24"/>
                <w:lang w:eastAsia="en-AU"/>
              </w:rPr>
              <w:t xml:space="preserve">pray </w:t>
            </w:r>
            <w:r>
              <w:rPr>
                <w:rFonts w:eastAsia="Times New Roman" w:cs="Arial"/>
                <w:color w:val="000000"/>
                <w:sz w:val="24"/>
                <w:szCs w:val="24"/>
                <w:lang w:eastAsia="en-AU"/>
              </w:rPr>
              <w:t>c</w:t>
            </w:r>
            <w:r w:rsidRPr="00567FD4">
              <w:rPr>
                <w:rFonts w:eastAsia="Times New Roman" w:cs="Arial"/>
                <w:color w:val="000000"/>
                <w:sz w:val="24"/>
                <w:szCs w:val="24"/>
                <w:lang w:eastAsia="en-AU"/>
              </w:rPr>
              <w:t>hrome</w:t>
            </w:r>
          </w:p>
        </w:tc>
      </w:tr>
      <w:tr w:rsidR="000F187D" w14:paraId="4983AA8B" w14:textId="77777777" w:rsidTr="00567FD4">
        <w:tc>
          <w:tcPr>
            <w:tcW w:w="9016" w:type="dxa"/>
            <w:shd w:val="clear" w:color="auto" w:fill="D9D9D9" w:themeFill="background1" w:themeFillShade="D9"/>
          </w:tcPr>
          <w:p w14:paraId="53B7B410" w14:textId="77777777" w:rsidR="000F187D" w:rsidRDefault="00567FD4" w:rsidP="001B30D2">
            <w:r w:rsidRPr="00567FD4">
              <w:rPr>
                <w:b/>
                <w:bCs/>
                <w:sz w:val="24"/>
                <w:szCs w:val="24"/>
              </w:rPr>
              <w:t>Water Heater Systems</w:t>
            </w:r>
          </w:p>
        </w:tc>
      </w:tr>
      <w:tr w:rsidR="00567FD4" w:rsidRPr="00567FD4" w14:paraId="3BE963F0" w14:textId="77777777" w:rsidTr="00567FD4">
        <w:trPr>
          <w:trHeight w:val="308"/>
        </w:trPr>
        <w:tc>
          <w:tcPr>
            <w:tcW w:w="9016" w:type="dxa"/>
            <w:hideMark/>
          </w:tcPr>
          <w:p w14:paraId="5B328371" w14:textId="77777777" w:rsidR="00567FD4" w:rsidRPr="00567FD4" w:rsidRDefault="00567FD4" w:rsidP="00567FD4">
            <w:pPr>
              <w:rPr>
                <w:rFonts w:eastAsia="Times New Roman" w:cs="Arial"/>
                <w:b/>
                <w:bCs/>
                <w:color w:val="000000"/>
                <w:sz w:val="24"/>
                <w:szCs w:val="24"/>
                <w:lang w:eastAsia="en-AU"/>
              </w:rPr>
            </w:pPr>
            <w:r w:rsidRPr="00567FD4">
              <w:rPr>
                <w:rFonts w:eastAsia="Times New Roman" w:cs="Arial"/>
                <w:b/>
                <w:bCs/>
                <w:color w:val="000000"/>
                <w:sz w:val="24"/>
                <w:szCs w:val="24"/>
                <w:lang w:eastAsia="en-AU"/>
              </w:rPr>
              <w:t>Continuous Flow Gas</w:t>
            </w:r>
          </w:p>
        </w:tc>
      </w:tr>
      <w:tr w:rsidR="00567FD4" w:rsidRPr="00567FD4" w14:paraId="6DD280FC" w14:textId="77777777" w:rsidTr="00567FD4">
        <w:trPr>
          <w:trHeight w:val="308"/>
        </w:trPr>
        <w:tc>
          <w:tcPr>
            <w:tcW w:w="9016" w:type="dxa"/>
            <w:hideMark/>
          </w:tcPr>
          <w:p w14:paraId="03ABB885"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17ltr/min Gas </w:t>
            </w:r>
            <w:r>
              <w:rPr>
                <w:rFonts w:eastAsia="Times New Roman" w:cs="Arial"/>
                <w:color w:val="000000"/>
                <w:sz w:val="24"/>
                <w:szCs w:val="24"/>
                <w:lang w:eastAsia="en-AU"/>
              </w:rPr>
              <w:t>w</w:t>
            </w:r>
            <w:r w:rsidRPr="00567FD4">
              <w:rPr>
                <w:rFonts w:eastAsia="Times New Roman" w:cs="Arial"/>
                <w:color w:val="000000"/>
                <w:sz w:val="24"/>
                <w:szCs w:val="24"/>
                <w:lang w:eastAsia="en-AU"/>
              </w:rPr>
              <w:t xml:space="preserve">all </w:t>
            </w:r>
            <w:r>
              <w:rPr>
                <w:rFonts w:eastAsia="Times New Roman" w:cs="Arial"/>
                <w:color w:val="000000"/>
                <w:sz w:val="24"/>
                <w:szCs w:val="24"/>
                <w:lang w:eastAsia="en-AU"/>
              </w:rPr>
              <w:t>i</w:t>
            </w:r>
            <w:r w:rsidRPr="00567FD4">
              <w:rPr>
                <w:rFonts w:eastAsia="Times New Roman" w:cs="Arial"/>
                <w:color w:val="000000"/>
                <w:sz w:val="24"/>
                <w:szCs w:val="24"/>
                <w:lang w:eastAsia="en-AU"/>
              </w:rPr>
              <w:t xml:space="preserve">nstant </w:t>
            </w:r>
          </w:p>
        </w:tc>
      </w:tr>
      <w:tr w:rsidR="00567FD4" w:rsidRPr="00567FD4" w14:paraId="23DDC1EB" w14:textId="77777777" w:rsidTr="00567FD4">
        <w:trPr>
          <w:trHeight w:val="308"/>
        </w:trPr>
        <w:tc>
          <w:tcPr>
            <w:tcW w:w="9016" w:type="dxa"/>
            <w:hideMark/>
          </w:tcPr>
          <w:p w14:paraId="3FAB2601"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20ltr/min Gas </w:t>
            </w:r>
            <w:r>
              <w:rPr>
                <w:rFonts w:eastAsia="Times New Roman" w:cs="Arial"/>
                <w:color w:val="000000"/>
                <w:sz w:val="24"/>
                <w:szCs w:val="24"/>
                <w:lang w:eastAsia="en-AU"/>
              </w:rPr>
              <w:t>w</w:t>
            </w:r>
            <w:r w:rsidRPr="00567FD4">
              <w:rPr>
                <w:rFonts w:eastAsia="Times New Roman" w:cs="Arial"/>
                <w:color w:val="000000"/>
                <w:sz w:val="24"/>
                <w:szCs w:val="24"/>
                <w:lang w:eastAsia="en-AU"/>
              </w:rPr>
              <w:t xml:space="preserve">all </w:t>
            </w:r>
            <w:r>
              <w:rPr>
                <w:rFonts w:eastAsia="Times New Roman" w:cs="Arial"/>
                <w:color w:val="000000"/>
                <w:sz w:val="24"/>
                <w:szCs w:val="24"/>
                <w:lang w:eastAsia="en-AU"/>
              </w:rPr>
              <w:t>i</w:t>
            </w:r>
            <w:r w:rsidRPr="00567FD4">
              <w:rPr>
                <w:rFonts w:eastAsia="Times New Roman" w:cs="Arial"/>
                <w:color w:val="000000"/>
                <w:sz w:val="24"/>
                <w:szCs w:val="24"/>
                <w:lang w:eastAsia="en-AU"/>
              </w:rPr>
              <w:t xml:space="preserve">nstant </w:t>
            </w:r>
          </w:p>
        </w:tc>
      </w:tr>
      <w:tr w:rsidR="00567FD4" w:rsidRPr="00567FD4" w14:paraId="77E801A1" w14:textId="77777777" w:rsidTr="00567FD4">
        <w:trPr>
          <w:trHeight w:val="308"/>
        </w:trPr>
        <w:tc>
          <w:tcPr>
            <w:tcW w:w="9016" w:type="dxa"/>
            <w:hideMark/>
          </w:tcPr>
          <w:p w14:paraId="0D6507C6"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26ltr/min Gas </w:t>
            </w:r>
            <w:r>
              <w:rPr>
                <w:rFonts w:eastAsia="Times New Roman" w:cs="Arial"/>
                <w:color w:val="000000"/>
                <w:sz w:val="24"/>
                <w:szCs w:val="24"/>
                <w:lang w:eastAsia="en-AU"/>
              </w:rPr>
              <w:t>w</w:t>
            </w:r>
            <w:r w:rsidRPr="00567FD4">
              <w:rPr>
                <w:rFonts w:eastAsia="Times New Roman" w:cs="Arial"/>
                <w:color w:val="000000"/>
                <w:sz w:val="24"/>
                <w:szCs w:val="24"/>
                <w:lang w:eastAsia="en-AU"/>
              </w:rPr>
              <w:t xml:space="preserve">all </w:t>
            </w:r>
            <w:r>
              <w:rPr>
                <w:rFonts w:eastAsia="Times New Roman" w:cs="Arial"/>
                <w:color w:val="000000"/>
                <w:sz w:val="24"/>
                <w:szCs w:val="24"/>
                <w:lang w:eastAsia="en-AU"/>
              </w:rPr>
              <w:t>i</w:t>
            </w:r>
            <w:r w:rsidRPr="00567FD4">
              <w:rPr>
                <w:rFonts w:eastAsia="Times New Roman" w:cs="Arial"/>
                <w:color w:val="000000"/>
                <w:sz w:val="24"/>
                <w:szCs w:val="24"/>
                <w:lang w:eastAsia="en-AU"/>
              </w:rPr>
              <w:t xml:space="preserve">nstant </w:t>
            </w:r>
          </w:p>
        </w:tc>
      </w:tr>
      <w:tr w:rsidR="00567FD4" w:rsidRPr="00567FD4" w14:paraId="27D69AA3" w14:textId="77777777" w:rsidTr="00567FD4">
        <w:trPr>
          <w:trHeight w:val="308"/>
        </w:trPr>
        <w:tc>
          <w:tcPr>
            <w:tcW w:w="9016" w:type="dxa"/>
            <w:hideMark/>
          </w:tcPr>
          <w:p w14:paraId="1A93815D" w14:textId="77777777" w:rsidR="00567FD4" w:rsidRPr="00567FD4" w:rsidRDefault="00567FD4" w:rsidP="00567FD4">
            <w:pPr>
              <w:rPr>
                <w:rFonts w:eastAsia="Times New Roman" w:cs="Arial"/>
                <w:b/>
                <w:bCs/>
                <w:color w:val="000000"/>
                <w:sz w:val="24"/>
                <w:szCs w:val="24"/>
                <w:lang w:eastAsia="en-AU"/>
              </w:rPr>
            </w:pPr>
            <w:r w:rsidRPr="00567FD4">
              <w:rPr>
                <w:rFonts w:eastAsia="Times New Roman" w:cs="Arial"/>
                <w:b/>
                <w:bCs/>
                <w:color w:val="000000"/>
                <w:sz w:val="24"/>
                <w:szCs w:val="24"/>
                <w:lang w:eastAsia="en-AU"/>
              </w:rPr>
              <w:t>Gas Storage</w:t>
            </w:r>
          </w:p>
        </w:tc>
      </w:tr>
      <w:tr w:rsidR="00567FD4" w:rsidRPr="00567FD4" w14:paraId="1BBF51FF" w14:textId="77777777" w:rsidTr="00567FD4">
        <w:trPr>
          <w:trHeight w:val="308"/>
        </w:trPr>
        <w:tc>
          <w:tcPr>
            <w:tcW w:w="9016" w:type="dxa"/>
            <w:hideMark/>
          </w:tcPr>
          <w:p w14:paraId="6EF72E7D"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130ltr/min Gas </w:t>
            </w:r>
            <w:r>
              <w:rPr>
                <w:rFonts w:eastAsia="Times New Roman" w:cs="Arial"/>
                <w:color w:val="000000"/>
                <w:sz w:val="24"/>
                <w:szCs w:val="24"/>
                <w:lang w:eastAsia="en-AU"/>
              </w:rPr>
              <w:t>s</w:t>
            </w:r>
            <w:r w:rsidRPr="00567FD4">
              <w:rPr>
                <w:rFonts w:eastAsia="Times New Roman" w:cs="Arial"/>
                <w:color w:val="000000"/>
                <w:sz w:val="24"/>
                <w:szCs w:val="24"/>
                <w:lang w:eastAsia="en-AU"/>
              </w:rPr>
              <w:t>torage</w:t>
            </w:r>
          </w:p>
        </w:tc>
      </w:tr>
      <w:tr w:rsidR="00567FD4" w:rsidRPr="00567FD4" w14:paraId="0318FC29" w14:textId="77777777" w:rsidTr="00567FD4">
        <w:trPr>
          <w:trHeight w:val="308"/>
        </w:trPr>
        <w:tc>
          <w:tcPr>
            <w:tcW w:w="9016" w:type="dxa"/>
            <w:hideMark/>
          </w:tcPr>
          <w:p w14:paraId="15B95C5C"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170ltr/min Gas </w:t>
            </w:r>
            <w:r>
              <w:rPr>
                <w:rFonts w:eastAsia="Times New Roman" w:cs="Arial"/>
                <w:color w:val="000000"/>
                <w:sz w:val="24"/>
                <w:szCs w:val="24"/>
                <w:lang w:eastAsia="en-AU"/>
              </w:rPr>
              <w:t>s</w:t>
            </w:r>
            <w:r w:rsidRPr="00567FD4">
              <w:rPr>
                <w:rFonts w:eastAsia="Times New Roman" w:cs="Arial"/>
                <w:color w:val="000000"/>
                <w:sz w:val="24"/>
                <w:szCs w:val="24"/>
                <w:lang w:eastAsia="en-AU"/>
              </w:rPr>
              <w:t>torage</w:t>
            </w:r>
          </w:p>
        </w:tc>
      </w:tr>
      <w:tr w:rsidR="00567FD4" w:rsidRPr="00567FD4" w14:paraId="1E9F855D" w14:textId="77777777" w:rsidTr="00567FD4">
        <w:trPr>
          <w:trHeight w:val="308"/>
        </w:trPr>
        <w:tc>
          <w:tcPr>
            <w:tcW w:w="9016" w:type="dxa"/>
            <w:hideMark/>
          </w:tcPr>
          <w:p w14:paraId="708E4FFD" w14:textId="77777777" w:rsidR="00567FD4" w:rsidRPr="00567FD4" w:rsidRDefault="00567FD4" w:rsidP="00567FD4">
            <w:pPr>
              <w:rPr>
                <w:rFonts w:eastAsia="Times New Roman" w:cs="Arial"/>
                <w:b/>
                <w:bCs/>
                <w:color w:val="000000"/>
                <w:sz w:val="24"/>
                <w:szCs w:val="24"/>
                <w:lang w:eastAsia="en-AU"/>
              </w:rPr>
            </w:pPr>
            <w:r w:rsidRPr="00567FD4">
              <w:rPr>
                <w:rFonts w:eastAsia="Times New Roman" w:cs="Arial"/>
                <w:b/>
                <w:bCs/>
                <w:color w:val="000000"/>
                <w:sz w:val="24"/>
                <w:szCs w:val="24"/>
                <w:lang w:eastAsia="en-AU"/>
              </w:rPr>
              <w:t>Heat Pump</w:t>
            </w:r>
          </w:p>
        </w:tc>
      </w:tr>
      <w:tr w:rsidR="00567FD4" w:rsidRPr="00567FD4" w14:paraId="780C8A78" w14:textId="77777777" w:rsidTr="00567FD4">
        <w:trPr>
          <w:trHeight w:val="308"/>
        </w:trPr>
        <w:tc>
          <w:tcPr>
            <w:tcW w:w="9016" w:type="dxa"/>
            <w:hideMark/>
          </w:tcPr>
          <w:p w14:paraId="68CC1347"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170ltr Heat </w:t>
            </w:r>
            <w:r>
              <w:rPr>
                <w:rFonts w:eastAsia="Times New Roman" w:cs="Arial"/>
                <w:color w:val="000000"/>
                <w:sz w:val="24"/>
                <w:szCs w:val="24"/>
                <w:lang w:eastAsia="en-AU"/>
              </w:rPr>
              <w:t>p</w:t>
            </w:r>
            <w:r w:rsidRPr="00567FD4">
              <w:rPr>
                <w:rFonts w:eastAsia="Times New Roman" w:cs="Arial"/>
                <w:color w:val="000000"/>
                <w:sz w:val="24"/>
                <w:szCs w:val="24"/>
                <w:lang w:eastAsia="en-AU"/>
              </w:rPr>
              <w:t xml:space="preserve">ump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05A00CEF" w14:textId="77777777" w:rsidTr="00567FD4">
        <w:trPr>
          <w:trHeight w:val="308"/>
        </w:trPr>
        <w:tc>
          <w:tcPr>
            <w:tcW w:w="9016" w:type="dxa"/>
            <w:hideMark/>
          </w:tcPr>
          <w:p w14:paraId="14290B38"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280ltr Heat </w:t>
            </w:r>
            <w:r>
              <w:rPr>
                <w:rFonts w:eastAsia="Times New Roman" w:cs="Arial"/>
                <w:color w:val="000000"/>
                <w:sz w:val="24"/>
                <w:szCs w:val="24"/>
                <w:lang w:eastAsia="en-AU"/>
              </w:rPr>
              <w:t>p</w:t>
            </w:r>
            <w:r w:rsidRPr="00567FD4">
              <w:rPr>
                <w:rFonts w:eastAsia="Times New Roman" w:cs="Arial"/>
                <w:color w:val="000000"/>
                <w:sz w:val="24"/>
                <w:szCs w:val="24"/>
                <w:lang w:eastAsia="en-AU"/>
              </w:rPr>
              <w:t xml:space="preserve">ump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35BEE831" w14:textId="77777777" w:rsidTr="00567FD4">
        <w:trPr>
          <w:trHeight w:val="308"/>
        </w:trPr>
        <w:tc>
          <w:tcPr>
            <w:tcW w:w="9016" w:type="dxa"/>
            <w:hideMark/>
          </w:tcPr>
          <w:p w14:paraId="681CD908" w14:textId="77777777" w:rsidR="00567FD4" w:rsidRPr="00567FD4" w:rsidRDefault="00567FD4" w:rsidP="00567FD4">
            <w:pPr>
              <w:rPr>
                <w:rFonts w:eastAsia="Times New Roman" w:cs="Arial"/>
                <w:b/>
                <w:bCs/>
                <w:color w:val="000000"/>
                <w:sz w:val="24"/>
                <w:szCs w:val="24"/>
                <w:lang w:eastAsia="en-AU"/>
              </w:rPr>
            </w:pPr>
            <w:r w:rsidRPr="00567FD4">
              <w:rPr>
                <w:rFonts w:eastAsia="Times New Roman" w:cs="Arial"/>
                <w:b/>
                <w:bCs/>
                <w:color w:val="000000"/>
                <w:sz w:val="24"/>
                <w:szCs w:val="24"/>
                <w:lang w:eastAsia="en-AU"/>
              </w:rPr>
              <w:t>Solar</w:t>
            </w:r>
          </w:p>
        </w:tc>
      </w:tr>
      <w:tr w:rsidR="00567FD4" w:rsidRPr="00567FD4" w14:paraId="29866170" w14:textId="77777777" w:rsidTr="00567FD4">
        <w:trPr>
          <w:trHeight w:val="308"/>
        </w:trPr>
        <w:tc>
          <w:tcPr>
            <w:tcW w:w="9016" w:type="dxa"/>
            <w:hideMark/>
          </w:tcPr>
          <w:p w14:paraId="77DE62EF"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315ltr Solar H/W </w:t>
            </w:r>
            <w:r>
              <w:rPr>
                <w:rFonts w:eastAsia="Times New Roman" w:cs="Arial"/>
                <w:color w:val="000000"/>
                <w:sz w:val="24"/>
                <w:szCs w:val="24"/>
                <w:lang w:eastAsia="en-AU"/>
              </w:rPr>
              <w:t>s</w:t>
            </w:r>
            <w:r w:rsidRPr="00567FD4">
              <w:rPr>
                <w:rFonts w:eastAsia="Times New Roman" w:cs="Arial"/>
                <w:color w:val="000000"/>
                <w:sz w:val="24"/>
                <w:szCs w:val="24"/>
                <w:lang w:eastAsia="en-AU"/>
              </w:rPr>
              <w:t xml:space="preserve">plit </w:t>
            </w:r>
            <w:r>
              <w:rPr>
                <w:rFonts w:eastAsia="Times New Roman" w:cs="Arial"/>
                <w:color w:val="000000"/>
                <w:sz w:val="24"/>
                <w:szCs w:val="24"/>
                <w:lang w:eastAsia="en-AU"/>
              </w:rPr>
              <w:t>s</w:t>
            </w:r>
            <w:r w:rsidRPr="00567FD4">
              <w:rPr>
                <w:rFonts w:eastAsia="Times New Roman" w:cs="Arial"/>
                <w:color w:val="000000"/>
                <w:sz w:val="24"/>
                <w:szCs w:val="24"/>
                <w:lang w:eastAsia="en-AU"/>
              </w:rPr>
              <w:t xml:space="preserve">ystem </w:t>
            </w:r>
          </w:p>
        </w:tc>
      </w:tr>
      <w:tr w:rsidR="00567FD4" w:rsidRPr="00567FD4" w14:paraId="0769AE3D" w14:textId="77777777" w:rsidTr="00567FD4">
        <w:trPr>
          <w:trHeight w:val="308"/>
        </w:trPr>
        <w:tc>
          <w:tcPr>
            <w:tcW w:w="9016" w:type="dxa"/>
            <w:hideMark/>
          </w:tcPr>
          <w:p w14:paraId="2354CDD8" w14:textId="77777777" w:rsidR="00567FD4" w:rsidRPr="00567FD4" w:rsidRDefault="00567FD4" w:rsidP="00567FD4">
            <w:pPr>
              <w:rPr>
                <w:rFonts w:eastAsia="Times New Roman" w:cs="Arial"/>
                <w:b/>
                <w:bCs/>
                <w:color w:val="000000"/>
                <w:sz w:val="24"/>
                <w:szCs w:val="24"/>
                <w:lang w:eastAsia="en-AU"/>
              </w:rPr>
            </w:pPr>
            <w:r w:rsidRPr="00567FD4">
              <w:rPr>
                <w:rFonts w:eastAsia="Times New Roman" w:cs="Arial"/>
                <w:b/>
                <w:bCs/>
                <w:color w:val="000000"/>
                <w:sz w:val="24"/>
                <w:szCs w:val="24"/>
                <w:lang w:eastAsia="en-AU"/>
              </w:rPr>
              <w:t>Electric Storage</w:t>
            </w:r>
          </w:p>
        </w:tc>
      </w:tr>
      <w:tr w:rsidR="00567FD4" w:rsidRPr="00567FD4" w14:paraId="5B622162" w14:textId="77777777" w:rsidTr="00567FD4">
        <w:trPr>
          <w:trHeight w:val="308"/>
        </w:trPr>
        <w:tc>
          <w:tcPr>
            <w:tcW w:w="9016" w:type="dxa"/>
            <w:hideMark/>
          </w:tcPr>
          <w:p w14:paraId="7C4E1AAC"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20ltr HWS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5D925B10" w14:textId="77777777" w:rsidTr="00567FD4">
        <w:trPr>
          <w:trHeight w:val="308"/>
        </w:trPr>
        <w:tc>
          <w:tcPr>
            <w:tcW w:w="9016" w:type="dxa"/>
            <w:hideMark/>
          </w:tcPr>
          <w:p w14:paraId="5EA791D4"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50ltr HWS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20EDC2A1" w14:textId="77777777" w:rsidTr="00567FD4">
        <w:trPr>
          <w:trHeight w:val="308"/>
        </w:trPr>
        <w:tc>
          <w:tcPr>
            <w:tcW w:w="9016" w:type="dxa"/>
            <w:hideMark/>
          </w:tcPr>
          <w:p w14:paraId="52BC67FA"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80ltr HWS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13B42166" w14:textId="77777777" w:rsidTr="00567FD4">
        <w:trPr>
          <w:trHeight w:val="308"/>
        </w:trPr>
        <w:tc>
          <w:tcPr>
            <w:tcW w:w="9016" w:type="dxa"/>
            <w:hideMark/>
          </w:tcPr>
          <w:p w14:paraId="5C50680A"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125ltr HWS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32F9BFFD" w14:textId="77777777" w:rsidTr="00567FD4">
        <w:trPr>
          <w:trHeight w:val="308"/>
        </w:trPr>
        <w:tc>
          <w:tcPr>
            <w:tcW w:w="9016" w:type="dxa"/>
            <w:hideMark/>
          </w:tcPr>
          <w:p w14:paraId="007210C3"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160ltr HWS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6CDA859D" w14:textId="77777777" w:rsidTr="00567FD4">
        <w:trPr>
          <w:trHeight w:val="308"/>
        </w:trPr>
        <w:tc>
          <w:tcPr>
            <w:tcW w:w="9016" w:type="dxa"/>
            <w:hideMark/>
          </w:tcPr>
          <w:p w14:paraId="32471AC3"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250ltr HWS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679D5B3C" w14:textId="77777777" w:rsidTr="00567FD4">
        <w:trPr>
          <w:trHeight w:val="308"/>
        </w:trPr>
        <w:tc>
          <w:tcPr>
            <w:tcW w:w="9016" w:type="dxa"/>
            <w:hideMark/>
          </w:tcPr>
          <w:p w14:paraId="1644C745"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315ltr HWS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1F20C5B4" w14:textId="77777777" w:rsidTr="00567FD4">
        <w:trPr>
          <w:trHeight w:val="308"/>
        </w:trPr>
        <w:tc>
          <w:tcPr>
            <w:tcW w:w="9016" w:type="dxa"/>
            <w:hideMark/>
          </w:tcPr>
          <w:p w14:paraId="1AC1FD57"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400ltr HWS </w:t>
            </w:r>
            <w:r>
              <w:rPr>
                <w:rFonts w:eastAsia="Times New Roman" w:cs="Arial"/>
                <w:color w:val="000000"/>
                <w:sz w:val="24"/>
                <w:szCs w:val="24"/>
                <w:lang w:eastAsia="en-AU"/>
              </w:rPr>
              <w:t>e</w:t>
            </w:r>
            <w:r w:rsidRPr="00567FD4">
              <w:rPr>
                <w:rFonts w:eastAsia="Times New Roman" w:cs="Arial"/>
                <w:color w:val="000000"/>
                <w:sz w:val="24"/>
                <w:szCs w:val="24"/>
                <w:lang w:eastAsia="en-AU"/>
              </w:rPr>
              <w:t>lectric</w:t>
            </w:r>
          </w:p>
        </w:tc>
      </w:tr>
      <w:tr w:rsidR="00567FD4" w:rsidRPr="00567FD4" w14:paraId="7BD20238" w14:textId="77777777" w:rsidTr="00567FD4">
        <w:trPr>
          <w:trHeight w:val="308"/>
        </w:trPr>
        <w:tc>
          <w:tcPr>
            <w:tcW w:w="9016" w:type="dxa"/>
            <w:hideMark/>
          </w:tcPr>
          <w:p w14:paraId="474D4EBA" w14:textId="77777777" w:rsidR="00567FD4" w:rsidRPr="00567FD4" w:rsidRDefault="00567FD4" w:rsidP="00567FD4">
            <w:pPr>
              <w:rPr>
                <w:rFonts w:eastAsia="Times New Roman" w:cs="Arial"/>
                <w:b/>
                <w:bCs/>
                <w:i/>
                <w:iCs/>
                <w:color w:val="000000"/>
                <w:sz w:val="24"/>
                <w:szCs w:val="24"/>
                <w:lang w:eastAsia="en-AU"/>
              </w:rPr>
            </w:pPr>
            <w:r w:rsidRPr="00567FD4">
              <w:rPr>
                <w:rFonts w:eastAsia="Times New Roman" w:cs="Arial"/>
                <w:b/>
                <w:bCs/>
                <w:i/>
                <w:iCs/>
                <w:color w:val="000000"/>
                <w:sz w:val="24"/>
                <w:szCs w:val="24"/>
                <w:lang w:eastAsia="en-AU"/>
              </w:rPr>
              <w:t>Mechanical Continuous Flow</w:t>
            </w:r>
          </w:p>
        </w:tc>
      </w:tr>
      <w:tr w:rsidR="000F187D" w14:paraId="5F115EB5" w14:textId="77777777" w:rsidTr="00567FD4">
        <w:tc>
          <w:tcPr>
            <w:tcW w:w="9016" w:type="dxa"/>
            <w:shd w:val="clear" w:color="auto" w:fill="D9D9D9" w:themeFill="background1" w:themeFillShade="D9"/>
          </w:tcPr>
          <w:p w14:paraId="42AC1794" w14:textId="77777777" w:rsidR="000F187D" w:rsidRPr="00567FD4" w:rsidRDefault="00567FD4" w:rsidP="001B30D2">
            <w:pPr>
              <w:rPr>
                <w:b/>
                <w:bCs/>
                <w:sz w:val="24"/>
                <w:szCs w:val="24"/>
              </w:rPr>
            </w:pPr>
            <w:r w:rsidRPr="00567FD4">
              <w:rPr>
                <w:b/>
                <w:bCs/>
                <w:sz w:val="24"/>
                <w:szCs w:val="24"/>
              </w:rPr>
              <w:t xml:space="preserve">Residential Water Filtration </w:t>
            </w:r>
          </w:p>
        </w:tc>
      </w:tr>
      <w:tr w:rsidR="00567FD4" w:rsidRPr="00567FD4" w14:paraId="029EE543" w14:textId="77777777" w:rsidTr="00567FD4">
        <w:trPr>
          <w:trHeight w:val="358"/>
        </w:trPr>
        <w:tc>
          <w:tcPr>
            <w:tcW w:w="9016" w:type="dxa"/>
            <w:hideMark/>
          </w:tcPr>
          <w:p w14:paraId="386B2CB5"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Above </w:t>
            </w:r>
            <w:r>
              <w:rPr>
                <w:rFonts w:eastAsia="Times New Roman" w:cs="Arial"/>
                <w:color w:val="000000"/>
                <w:sz w:val="24"/>
                <w:szCs w:val="24"/>
                <w:lang w:eastAsia="en-AU"/>
              </w:rPr>
              <w:t>s</w:t>
            </w:r>
            <w:r w:rsidRPr="00567FD4">
              <w:rPr>
                <w:rFonts w:eastAsia="Times New Roman" w:cs="Arial"/>
                <w:color w:val="000000"/>
                <w:sz w:val="24"/>
                <w:szCs w:val="24"/>
                <w:lang w:eastAsia="en-AU"/>
              </w:rPr>
              <w:t xml:space="preserve">ink or </w:t>
            </w:r>
            <w:r>
              <w:rPr>
                <w:rFonts w:eastAsia="Times New Roman" w:cs="Arial"/>
                <w:color w:val="000000"/>
                <w:sz w:val="24"/>
                <w:szCs w:val="24"/>
                <w:lang w:eastAsia="en-AU"/>
              </w:rPr>
              <w:t>c</w:t>
            </w:r>
            <w:r w:rsidRPr="00567FD4">
              <w:rPr>
                <w:rFonts w:eastAsia="Times New Roman" w:cs="Arial"/>
                <w:color w:val="000000"/>
                <w:sz w:val="24"/>
                <w:szCs w:val="24"/>
                <w:lang w:eastAsia="en-AU"/>
              </w:rPr>
              <w:t>ounter top filtration system</w:t>
            </w:r>
          </w:p>
        </w:tc>
      </w:tr>
      <w:tr w:rsidR="00567FD4" w:rsidRPr="00567FD4" w14:paraId="0C666D0F" w14:textId="77777777" w:rsidTr="00567FD4">
        <w:trPr>
          <w:trHeight w:val="308"/>
        </w:trPr>
        <w:tc>
          <w:tcPr>
            <w:tcW w:w="9016" w:type="dxa"/>
            <w:hideMark/>
          </w:tcPr>
          <w:p w14:paraId="24CDF616"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POU cartridge under sink filtration</w:t>
            </w:r>
          </w:p>
        </w:tc>
      </w:tr>
      <w:tr w:rsidR="00567FD4" w:rsidRPr="00567FD4" w14:paraId="566609A5" w14:textId="77777777" w:rsidTr="00567FD4">
        <w:trPr>
          <w:trHeight w:val="308"/>
        </w:trPr>
        <w:tc>
          <w:tcPr>
            <w:tcW w:w="9016" w:type="dxa"/>
            <w:hideMark/>
          </w:tcPr>
          <w:p w14:paraId="5072925E"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POU twin housing under sink system</w:t>
            </w:r>
          </w:p>
        </w:tc>
      </w:tr>
      <w:tr w:rsidR="00567FD4" w:rsidRPr="00567FD4" w14:paraId="71B510AA" w14:textId="77777777" w:rsidTr="00567FD4">
        <w:trPr>
          <w:trHeight w:val="308"/>
        </w:trPr>
        <w:tc>
          <w:tcPr>
            <w:tcW w:w="9016" w:type="dxa"/>
            <w:hideMark/>
          </w:tcPr>
          <w:p w14:paraId="238CF58E"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POU RO system</w:t>
            </w:r>
          </w:p>
        </w:tc>
      </w:tr>
      <w:tr w:rsidR="00567FD4" w:rsidRPr="00567FD4" w14:paraId="109A0572" w14:textId="77777777" w:rsidTr="00567FD4">
        <w:trPr>
          <w:trHeight w:val="308"/>
        </w:trPr>
        <w:tc>
          <w:tcPr>
            <w:tcW w:w="9016" w:type="dxa"/>
            <w:hideMark/>
          </w:tcPr>
          <w:p w14:paraId="4A4D3FEB"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POE filtration system</w:t>
            </w:r>
          </w:p>
        </w:tc>
      </w:tr>
      <w:tr w:rsidR="00567FD4" w:rsidRPr="00567FD4" w14:paraId="5D8E4C20" w14:textId="77777777" w:rsidTr="00567FD4">
        <w:trPr>
          <w:trHeight w:val="308"/>
        </w:trPr>
        <w:tc>
          <w:tcPr>
            <w:tcW w:w="9016" w:type="dxa"/>
            <w:hideMark/>
          </w:tcPr>
          <w:p w14:paraId="7FCFAF8A"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 xml:space="preserve">POE </w:t>
            </w:r>
            <w:r>
              <w:rPr>
                <w:rFonts w:eastAsia="Times New Roman" w:cs="Arial"/>
                <w:color w:val="000000"/>
                <w:sz w:val="24"/>
                <w:szCs w:val="24"/>
                <w:lang w:eastAsia="en-AU"/>
              </w:rPr>
              <w:t>w</w:t>
            </w:r>
            <w:r w:rsidRPr="00567FD4">
              <w:rPr>
                <w:rFonts w:eastAsia="Times New Roman" w:cs="Arial"/>
                <w:color w:val="000000"/>
                <w:sz w:val="24"/>
                <w:szCs w:val="24"/>
                <w:lang w:eastAsia="en-AU"/>
              </w:rPr>
              <w:t xml:space="preserve">ater </w:t>
            </w:r>
            <w:r>
              <w:rPr>
                <w:rFonts w:eastAsia="Times New Roman" w:cs="Arial"/>
                <w:color w:val="000000"/>
                <w:sz w:val="24"/>
                <w:szCs w:val="24"/>
                <w:lang w:eastAsia="en-AU"/>
              </w:rPr>
              <w:t>s</w:t>
            </w:r>
            <w:r w:rsidRPr="00567FD4">
              <w:rPr>
                <w:rFonts w:eastAsia="Times New Roman" w:cs="Arial"/>
                <w:color w:val="000000"/>
                <w:sz w:val="24"/>
                <w:szCs w:val="24"/>
                <w:lang w:eastAsia="en-AU"/>
              </w:rPr>
              <w:t>oftener</w:t>
            </w:r>
          </w:p>
        </w:tc>
      </w:tr>
      <w:tr w:rsidR="00567FD4" w:rsidRPr="00567FD4" w14:paraId="458AC786" w14:textId="77777777" w:rsidTr="00567FD4">
        <w:trPr>
          <w:trHeight w:val="308"/>
        </w:trPr>
        <w:tc>
          <w:tcPr>
            <w:tcW w:w="9016" w:type="dxa"/>
            <w:shd w:val="clear" w:color="auto" w:fill="D9D9D9" w:themeFill="background1" w:themeFillShade="D9"/>
          </w:tcPr>
          <w:p w14:paraId="370B3F5E" w14:textId="77777777" w:rsidR="00567FD4" w:rsidRPr="00567FD4" w:rsidRDefault="00567FD4" w:rsidP="00567FD4">
            <w:pPr>
              <w:rPr>
                <w:rFonts w:eastAsia="Times New Roman" w:cs="Arial"/>
                <w:color w:val="000000"/>
                <w:sz w:val="24"/>
                <w:szCs w:val="24"/>
                <w:lang w:eastAsia="en-AU"/>
              </w:rPr>
            </w:pPr>
            <w:r w:rsidRPr="00567FD4">
              <w:rPr>
                <w:b/>
                <w:bCs/>
                <w:sz w:val="24"/>
                <w:szCs w:val="24"/>
              </w:rPr>
              <w:t>Water Dispensers</w:t>
            </w:r>
          </w:p>
        </w:tc>
      </w:tr>
      <w:tr w:rsidR="00567FD4" w:rsidRPr="00567FD4" w14:paraId="6146B53F" w14:textId="77777777" w:rsidTr="00567FD4">
        <w:trPr>
          <w:trHeight w:val="308"/>
        </w:trPr>
        <w:tc>
          <w:tcPr>
            <w:tcW w:w="9016" w:type="dxa"/>
            <w:hideMark/>
          </w:tcPr>
          <w:p w14:paraId="7815395E"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Under</w:t>
            </w:r>
            <w:r>
              <w:rPr>
                <w:rFonts w:eastAsia="Times New Roman" w:cs="Arial"/>
                <w:color w:val="000000"/>
                <w:sz w:val="24"/>
                <w:szCs w:val="24"/>
                <w:lang w:eastAsia="en-AU"/>
              </w:rPr>
              <w:t xml:space="preserve"> </w:t>
            </w:r>
            <w:r w:rsidRPr="00567FD4">
              <w:rPr>
                <w:rFonts w:eastAsia="Times New Roman" w:cs="Arial"/>
                <w:color w:val="000000"/>
                <w:sz w:val="24"/>
                <w:szCs w:val="24"/>
                <w:lang w:eastAsia="en-AU"/>
              </w:rPr>
              <w:t>sink cold water (</w:t>
            </w:r>
            <w:r>
              <w:rPr>
                <w:rFonts w:eastAsia="Times New Roman" w:cs="Arial"/>
                <w:color w:val="000000"/>
                <w:sz w:val="24"/>
                <w:szCs w:val="24"/>
                <w:lang w:eastAsia="en-AU"/>
              </w:rPr>
              <w:t>u</w:t>
            </w:r>
            <w:r w:rsidRPr="00567FD4">
              <w:rPr>
                <w:rFonts w:eastAsia="Times New Roman" w:cs="Arial"/>
                <w:color w:val="000000"/>
                <w:sz w:val="24"/>
                <w:szCs w:val="24"/>
                <w:lang w:eastAsia="en-AU"/>
              </w:rPr>
              <w:t>nchilled</w:t>
            </w:r>
            <w:r>
              <w:rPr>
                <w:rFonts w:eastAsia="Times New Roman" w:cs="Arial"/>
                <w:color w:val="000000"/>
                <w:sz w:val="24"/>
                <w:szCs w:val="24"/>
                <w:lang w:eastAsia="en-AU"/>
              </w:rPr>
              <w:t>/chilled</w:t>
            </w:r>
            <w:r w:rsidRPr="00567FD4">
              <w:rPr>
                <w:rFonts w:eastAsia="Times New Roman" w:cs="Arial"/>
                <w:color w:val="000000"/>
                <w:sz w:val="24"/>
                <w:szCs w:val="24"/>
                <w:lang w:eastAsia="en-AU"/>
              </w:rPr>
              <w:t>)</w:t>
            </w:r>
          </w:p>
        </w:tc>
      </w:tr>
      <w:tr w:rsidR="00567FD4" w:rsidRPr="00567FD4" w14:paraId="618DA2CA" w14:textId="77777777" w:rsidTr="00567FD4">
        <w:trPr>
          <w:trHeight w:val="308"/>
        </w:trPr>
        <w:tc>
          <w:tcPr>
            <w:tcW w:w="9016" w:type="dxa"/>
            <w:hideMark/>
          </w:tcPr>
          <w:p w14:paraId="70A41384" w14:textId="77777777" w:rsidR="00567FD4" w:rsidRPr="00567FD4" w:rsidRDefault="00567FD4" w:rsidP="00567FD4">
            <w:pPr>
              <w:rPr>
                <w:rFonts w:eastAsia="Times New Roman" w:cs="Arial"/>
                <w:color w:val="000000"/>
                <w:sz w:val="24"/>
                <w:szCs w:val="24"/>
                <w:lang w:eastAsia="en-AU"/>
              </w:rPr>
            </w:pPr>
            <w:r w:rsidRPr="00567FD4">
              <w:rPr>
                <w:rFonts w:eastAsia="Times New Roman" w:cs="Arial"/>
                <w:color w:val="000000"/>
                <w:sz w:val="24"/>
                <w:szCs w:val="24"/>
                <w:lang w:eastAsia="en-AU"/>
              </w:rPr>
              <w:t>Under</w:t>
            </w:r>
            <w:r>
              <w:rPr>
                <w:rFonts w:eastAsia="Times New Roman" w:cs="Arial"/>
                <w:color w:val="000000"/>
                <w:sz w:val="24"/>
                <w:szCs w:val="24"/>
                <w:lang w:eastAsia="en-AU"/>
              </w:rPr>
              <w:t xml:space="preserve"> </w:t>
            </w:r>
            <w:r w:rsidRPr="00567FD4">
              <w:rPr>
                <w:rFonts w:eastAsia="Times New Roman" w:cs="Arial"/>
                <w:color w:val="000000"/>
                <w:sz w:val="24"/>
                <w:szCs w:val="24"/>
                <w:lang w:eastAsia="en-AU"/>
              </w:rPr>
              <w:t xml:space="preserve">sink </w:t>
            </w:r>
            <w:r>
              <w:rPr>
                <w:rFonts w:eastAsia="Times New Roman" w:cs="Arial"/>
                <w:color w:val="000000"/>
                <w:sz w:val="24"/>
                <w:szCs w:val="24"/>
                <w:lang w:eastAsia="en-AU"/>
              </w:rPr>
              <w:t>h</w:t>
            </w:r>
            <w:r w:rsidRPr="00567FD4">
              <w:rPr>
                <w:rFonts w:eastAsia="Times New Roman" w:cs="Arial"/>
                <w:color w:val="000000"/>
                <w:sz w:val="24"/>
                <w:szCs w:val="24"/>
                <w:lang w:eastAsia="en-AU"/>
              </w:rPr>
              <w:t xml:space="preserve">ot and </w:t>
            </w:r>
            <w:r>
              <w:rPr>
                <w:rFonts w:eastAsia="Times New Roman" w:cs="Arial"/>
                <w:color w:val="000000"/>
                <w:sz w:val="24"/>
                <w:szCs w:val="24"/>
                <w:lang w:eastAsia="en-AU"/>
              </w:rPr>
              <w:t>c</w:t>
            </w:r>
            <w:r w:rsidRPr="00567FD4">
              <w:rPr>
                <w:rFonts w:eastAsia="Times New Roman" w:cs="Arial"/>
                <w:color w:val="000000"/>
                <w:sz w:val="24"/>
                <w:szCs w:val="24"/>
                <w:lang w:eastAsia="en-AU"/>
              </w:rPr>
              <w:t>old (</w:t>
            </w:r>
            <w:r>
              <w:rPr>
                <w:rFonts w:eastAsia="Times New Roman" w:cs="Arial"/>
                <w:color w:val="000000"/>
                <w:sz w:val="24"/>
                <w:szCs w:val="24"/>
                <w:lang w:eastAsia="en-AU"/>
              </w:rPr>
              <w:t>e</w:t>
            </w:r>
            <w:r w:rsidRPr="00567FD4">
              <w:rPr>
                <w:rFonts w:eastAsia="Times New Roman" w:cs="Arial"/>
                <w:color w:val="000000"/>
                <w:sz w:val="24"/>
                <w:szCs w:val="24"/>
                <w:lang w:eastAsia="en-AU"/>
              </w:rPr>
              <w:t>ntry level</w:t>
            </w:r>
            <w:r>
              <w:rPr>
                <w:rFonts w:eastAsia="Times New Roman" w:cs="Arial"/>
                <w:color w:val="000000"/>
                <w:sz w:val="24"/>
                <w:szCs w:val="24"/>
                <w:lang w:eastAsia="en-AU"/>
              </w:rPr>
              <w:t>/mid-level</w:t>
            </w:r>
            <w:r w:rsidRPr="00567FD4">
              <w:rPr>
                <w:rFonts w:eastAsia="Times New Roman" w:cs="Arial"/>
                <w:color w:val="000000"/>
                <w:sz w:val="24"/>
                <w:szCs w:val="24"/>
                <w:lang w:eastAsia="en-AU"/>
              </w:rPr>
              <w:t>)</w:t>
            </w:r>
          </w:p>
        </w:tc>
      </w:tr>
    </w:tbl>
    <w:p w14:paraId="11AB18B2" w14:textId="77777777" w:rsidR="0020060B" w:rsidRDefault="0020060B" w:rsidP="0020060B">
      <w:pPr>
        <w:pStyle w:val="Heading1"/>
        <w:spacing w:after="240"/>
        <w:rPr>
          <w:rFonts w:ascii="Arial" w:hAnsi="Arial" w:cs="Arial"/>
          <w:b w:val="0"/>
          <w:bCs w:val="0"/>
        </w:rPr>
      </w:pPr>
      <w:bookmarkStart w:id="335" w:name="_Toc71195760"/>
      <w:bookmarkStart w:id="336" w:name="_Toc71789303"/>
      <w:r w:rsidRPr="000B675B">
        <w:rPr>
          <w:rFonts w:ascii="Arial" w:hAnsi="Arial" w:cs="Arial"/>
          <w:b w:val="0"/>
          <w:bCs w:val="0"/>
        </w:rPr>
        <w:lastRenderedPageBreak/>
        <w:t xml:space="preserve">Attachment </w:t>
      </w:r>
      <w:r>
        <w:rPr>
          <w:rFonts w:ascii="Arial" w:hAnsi="Arial" w:cs="Arial"/>
          <w:b w:val="0"/>
          <w:bCs w:val="0"/>
        </w:rPr>
        <w:t>C</w:t>
      </w:r>
      <w:bookmarkEnd w:id="335"/>
      <w:bookmarkEnd w:id="336"/>
    </w:p>
    <w:p w14:paraId="6BDF1B0F" w14:textId="77777777" w:rsidR="000F187D" w:rsidRPr="0020060B" w:rsidRDefault="0020060B" w:rsidP="006A7248">
      <w:pPr>
        <w:rPr>
          <w:sz w:val="24"/>
          <w:szCs w:val="24"/>
        </w:rPr>
      </w:pPr>
      <w:r w:rsidRPr="0020060B">
        <w:rPr>
          <w:sz w:val="24"/>
          <w:szCs w:val="24"/>
        </w:rPr>
        <w:t>List of material and product standards impacted by the proposed changes</w:t>
      </w:r>
      <w:r w:rsidR="00064661">
        <w:rPr>
          <w:sz w:val="24"/>
          <w:szCs w:val="24"/>
        </w:rPr>
        <w:t xml:space="preserve"> can be found in Table C1</w:t>
      </w:r>
      <w:r w:rsidRPr="0020060B">
        <w:rPr>
          <w:sz w:val="24"/>
          <w:szCs w:val="24"/>
        </w:rPr>
        <w:t xml:space="preserve">. </w:t>
      </w:r>
    </w:p>
    <w:p w14:paraId="691E09B4" w14:textId="77777777" w:rsidR="0020060B" w:rsidRPr="00D8385F" w:rsidRDefault="00064661" w:rsidP="00064661">
      <w:pPr>
        <w:rPr>
          <w:bCs/>
          <w:sz w:val="24"/>
          <w:szCs w:val="24"/>
        </w:rPr>
      </w:pPr>
      <w:r w:rsidRPr="00D8385F">
        <w:rPr>
          <w:bCs/>
          <w:sz w:val="24"/>
          <w:szCs w:val="24"/>
        </w:rPr>
        <w:t xml:space="preserve">Table C1: </w:t>
      </w:r>
      <w:r w:rsidR="0020060B" w:rsidRPr="00D8385F">
        <w:rPr>
          <w:bCs/>
          <w:sz w:val="24"/>
          <w:szCs w:val="24"/>
        </w:rPr>
        <w:t>Current Material Specifications</w:t>
      </w:r>
    </w:p>
    <w:tbl>
      <w:tblPr>
        <w:tblStyle w:val="LightShading"/>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urrent Material Specifications"/>
        <w:tblDescription w:val="This table lists the material product specification and its allowable lead content."/>
      </w:tblPr>
      <w:tblGrid>
        <w:gridCol w:w="5098"/>
        <w:gridCol w:w="3969"/>
      </w:tblGrid>
      <w:tr w:rsidR="0020060B" w:rsidRPr="0020060B" w14:paraId="5B74B95E" w14:textId="77777777" w:rsidTr="00C21D51">
        <w:trPr>
          <w:cnfStyle w:val="100000000000" w:firstRow="1" w:lastRow="0" w:firstColumn="0" w:lastColumn="0" w:oddVBand="0" w:evenVBand="0" w:oddHBand="0" w:evenHBand="0" w:firstRowFirstColumn="0" w:firstRowLastColumn="0" w:lastRowFirstColumn="0" w:lastRowLastColumn="0"/>
          <w:trHeight w:val="241"/>
          <w:tblHeader/>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left w:val="none" w:sz="0" w:space="0" w:color="auto"/>
              <w:bottom w:val="none" w:sz="0" w:space="0" w:color="auto"/>
              <w:right w:val="none" w:sz="0" w:space="0" w:color="auto"/>
            </w:tcBorders>
            <w:shd w:val="clear" w:color="auto" w:fill="002060"/>
          </w:tcPr>
          <w:p w14:paraId="406736F3" w14:textId="77777777" w:rsidR="0020060B" w:rsidRPr="0020060B" w:rsidRDefault="0020060B" w:rsidP="0020060B">
            <w:pPr>
              <w:spacing w:after="200" w:line="276" w:lineRule="auto"/>
              <w:rPr>
                <w:b w:val="0"/>
                <w:bCs w:val="0"/>
                <w:iCs/>
                <w:color w:val="auto"/>
                <w:sz w:val="24"/>
                <w:szCs w:val="24"/>
              </w:rPr>
            </w:pPr>
            <w:r w:rsidRPr="0020060B">
              <w:rPr>
                <w:b w:val="0"/>
                <w:bCs w:val="0"/>
                <w:iCs/>
                <w:color w:val="auto"/>
                <w:sz w:val="24"/>
                <w:szCs w:val="24"/>
              </w:rPr>
              <w:t>Australian Standard</w:t>
            </w:r>
          </w:p>
        </w:tc>
        <w:tc>
          <w:tcPr>
            <w:tcW w:w="3969" w:type="dxa"/>
            <w:tcBorders>
              <w:top w:val="none" w:sz="0" w:space="0" w:color="auto"/>
              <w:left w:val="none" w:sz="0" w:space="0" w:color="auto"/>
              <w:bottom w:val="none" w:sz="0" w:space="0" w:color="auto"/>
              <w:right w:val="none" w:sz="0" w:space="0" w:color="auto"/>
            </w:tcBorders>
            <w:shd w:val="clear" w:color="auto" w:fill="002060"/>
          </w:tcPr>
          <w:p w14:paraId="52B3EC15" w14:textId="77777777" w:rsidR="0020060B" w:rsidRPr="0020060B" w:rsidRDefault="0020060B" w:rsidP="0020060B">
            <w:pPr>
              <w:spacing w:after="200" w:line="276" w:lineRule="auto"/>
              <w:cnfStyle w:val="100000000000" w:firstRow="1" w:lastRow="0" w:firstColumn="0" w:lastColumn="0" w:oddVBand="0" w:evenVBand="0" w:oddHBand="0" w:evenHBand="0" w:firstRowFirstColumn="0" w:firstRowLastColumn="0" w:lastRowFirstColumn="0" w:lastRowLastColumn="0"/>
              <w:rPr>
                <w:b w:val="0"/>
                <w:bCs w:val="0"/>
                <w:iCs/>
                <w:color w:val="auto"/>
                <w:sz w:val="24"/>
                <w:szCs w:val="24"/>
              </w:rPr>
            </w:pPr>
            <w:r w:rsidRPr="0020060B">
              <w:rPr>
                <w:b w:val="0"/>
                <w:bCs w:val="0"/>
                <w:iCs/>
                <w:color w:val="auto"/>
                <w:sz w:val="24"/>
                <w:szCs w:val="24"/>
              </w:rPr>
              <w:t>Maximum allowable lead content</w:t>
            </w:r>
          </w:p>
        </w:tc>
      </w:tr>
      <w:tr w:rsidR="0020060B" w:rsidRPr="0020060B" w14:paraId="1979DF45" w14:textId="77777777" w:rsidTr="005F18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098" w:type="dxa"/>
            <w:tcBorders>
              <w:left w:val="none" w:sz="0" w:space="0" w:color="auto"/>
              <w:right w:val="none" w:sz="0" w:space="0" w:color="auto"/>
            </w:tcBorders>
            <w:shd w:val="clear" w:color="auto" w:fill="auto"/>
          </w:tcPr>
          <w:p w14:paraId="27F83FE3" w14:textId="77777777" w:rsidR="0020060B" w:rsidRPr="0020060B" w:rsidRDefault="0020060B" w:rsidP="0020060B">
            <w:pPr>
              <w:spacing w:after="200" w:line="276" w:lineRule="auto"/>
              <w:rPr>
                <w:b w:val="0"/>
                <w:bCs w:val="0"/>
                <w:iCs/>
                <w:color w:val="auto"/>
                <w:sz w:val="24"/>
                <w:szCs w:val="24"/>
              </w:rPr>
            </w:pPr>
            <w:r w:rsidRPr="0020060B">
              <w:rPr>
                <w:b w:val="0"/>
                <w:bCs w:val="0"/>
                <w:iCs/>
                <w:color w:val="auto"/>
                <w:sz w:val="24"/>
                <w:szCs w:val="24"/>
              </w:rPr>
              <w:t>AS 1565: Copper and copper alloys — Ingots and castings</w:t>
            </w:r>
          </w:p>
        </w:tc>
        <w:tc>
          <w:tcPr>
            <w:tcW w:w="3969" w:type="dxa"/>
            <w:tcBorders>
              <w:left w:val="none" w:sz="0" w:space="0" w:color="auto"/>
              <w:right w:val="none" w:sz="0" w:space="0" w:color="auto"/>
            </w:tcBorders>
            <w:shd w:val="clear" w:color="auto" w:fill="auto"/>
          </w:tcPr>
          <w:p w14:paraId="79B7C127" w14:textId="77777777" w:rsidR="0020060B" w:rsidRPr="0020060B" w:rsidRDefault="0020060B" w:rsidP="0020060B">
            <w:pPr>
              <w:spacing w:after="200" w:line="276" w:lineRule="auto"/>
              <w:cnfStyle w:val="000000100000" w:firstRow="0" w:lastRow="0" w:firstColumn="0" w:lastColumn="0" w:oddVBand="0" w:evenVBand="0" w:oddHBand="1" w:evenHBand="0" w:firstRowFirstColumn="0" w:firstRowLastColumn="0" w:lastRowFirstColumn="0" w:lastRowLastColumn="0"/>
              <w:rPr>
                <w:bCs/>
                <w:iCs/>
                <w:color w:val="auto"/>
                <w:sz w:val="24"/>
                <w:szCs w:val="24"/>
              </w:rPr>
            </w:pPr>
            <w:r w:rsidRPr="0020060B">
              <w:rPr>
                <w:bCs/>
                <w:iCs/>
                <w:color w:val="auto"/>
                <w:sz w:val="24"/>
                <w:szCs w:val="24"/>
              </w:rPr>
              <w:t>Castings comprise less than 4.5%</w:t>
            </w:r>
          </w:p>
        </w:tc>
      </w:tr>
      <w:tr w:rsidR="0020060B" w:rsidRPr="0020060B" w14:paraId="019DD2CB" w14:textId="77777777" w:rsidTr="005F1847">
        <w:trPr>
          <w:trHeight w:val="366"/>
        </w:trPr>
        <w:tc>
          <w:tcPr>
            <w:cnfStyle w:val="001000000000" w:firstRow="0" w:lastRow="0" w:firstColumn="1" w:lastColumn="0" w:oddVBand="0" w:evenVBand="0" w:oddHBand="0" w:evenHBand="0" w:firstRowFirstColumn="0" w:firstRowLastColumn="0" w:lastRowFirstColumn="0" w:lastRowLastColumn="0"/>
            <w:tcW w:w="5098" w:type="dxa"/>
          </w:tcPr>
          <w:p w14:paraId="73771555" w14:textId="77777777" w:rsidR="0020060B" w:rsidRPr="0020060B" w:rsidRDefault="0020060B" w:rsidP="0020060B">
            <w:pPr>
              <w:spacing w:after="200" w:line="276" w:lineRule="auto"/>
              <w:rPr>
                <w:b w:val="0"/>
                <w:bCs w:val="0"/>
                <w:iCs/>
                <w:color w:val="auto"/>
                <w:sz w:val="24"/>
                <w:szCs w:val="24"/>
              </w:rPr>
            </w:pPr>
            <w:r w:rsidRPr="0020060B">
              <w:rPr>
                <w:b w:val="0"/>
                <w:bCs w:val="0"/>
                <w:iCs/>
                <w:color w:val="auto"/>
                <w:sz w:val="24"/>
                <w:szCs w:val="24"/>
              </w:rPr>
              <w:t>AS/NZS 1568: Copper and copper alloys—Forging stock and forgings</w:t>
            </w:r>
          </w:p>
        </w:tc>
        <w:tc>
          <w:tcPr>
            <w:tcW w:w="3969" w:type="dxa"/>
          </w:tcPr>
          <w:p w14:paraId="3A7A51B8" w14:textId="77777777" w:rsidR="0020060B" w:rsidRPr="0020060B" w:rsidRDefault="0020060B" w:rsidP="0020060B">
            <w:pPr>
              <w:spacing w:after="200" w:line="276" w:lineRule="auto"/>
              <w:cnfStyle w:val="000000000000" w:firstRow="0" w:lastRow="0" w:firstColumn="0" w:lastColumn="0" w:oddVBand="0" w:evenVBand="0" w:oddHBand="0" w:evenHBand="0" w:firstRowFirstColumn="0" w:firstRowLastColumn="0" w:lastRowFirstColumn="0" w:lastRowLastColumn="0"/>
              <w:rPr>
                <w:bCs/>
                <w:iCs/>
                <w:color w:val="auto"/>
                <w:sz w:val="24"/>
                <w:szCs w:val="24"/>
              </w:rPr>
            </w:pPr>
            <w:r w:rsidRPr="0020060B">
              <w:rPr>
                <w:bCs/>
                <w:iCs/>
                <w:color w:val="auto"/>
                <w:sz w:val="24"/>
                <w:szCs w:val="24"/>
              </w:rPr>
              <w:t>Hot pressing (forgings) less than 3.5%</w:t>
            </w:r>
          </w:p>
        </w:tc>
      </w:tr>
      <w:tr w:rsidR="0020060B" w:rsidRPr="0020060B" w14:paraId="20236CDE" w14:textId="77777777" w:rsidTr="005F184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5098" w:type="dxa"/>
            <w:tcBorders>
              <w:left w:val="none" w:sz="0" w:space="0" w:color="auto"/>
              <w:right w:val="none" w:sz="0" w:space="0" w:color="auto"/>
            </w:tcBorders>
            <w:shd w:val="clear" w:color="auto" w:fill="auto"/>
          </w:tcPr>
          <w:p w14:paraId="1EAC6C25" w14:textId="77777777" w:rsidR="0020060B" w:rsidRPr="0020060B" w:rsidRDefault="0020060B" w:rsidP="0020060B">
            <w:pPr>
              <w:spacing w:after="200" w:line="276" w:lineRule="auto"/>
              <w:rPr>
                <w:b w:val="0"/>
                <w:bCs w:val="0"/>
                <w:iCs/>
                <w:color w:val="auto"/>
                <w:sz w:val="24"/>
                <w:szCs w:val="24"/>
              </w:rPr>
            </w:pPr>
            <w:r w:rsidRPr="0020060B">
              <w:rPr>
                <w:b w:val="0"/>
                <w:bCs w:val="0"/>
                <w:iCs/>
                <w:color w:val="auto"/>
                <w:sz w:val="24"/>
                <w:szCs w:val="24"/>
              </w:rPr>
              <w:t>AS/NZS 1567: Copper and copper alloys—Wrought rods, bars and sections</w:t>
            </w:r>
          </w:p>
        </w:tc>
        <w:tc>
          <w:tcPr>
            <w:tcW w:w="3969" w:type="dxa"/>
            <w:tcBorders>
              <w:left w:val="none" w:sz="0" w:space="0" w:color="auto"/>
              <w:right w:val="none" w:sz="0" w:space="0" w:color="auto"/>
            </w:tcBorders>
            <w:shd w:val="clear" w:color="auto" w:fill="auto"/>
          </w:tcPr>
          <w:p w14:paraId="57BD9C56" w14:textId="77777777" w:rsidR="0020060B" w:rsidRPr="0020060B" w:rsidRDefault="0020060B" w:rsidP="0020060B">
            <w:pPr>
              <w:spacing w:after="200" w:line="276" w:lineRule="auto"/>
              <w:cnfStyle w:val="000000100000" w:firstRow="0" w:lastRow="0" w:firstColumn="0" w:lastColumn="0" w:oddVBand="0" w:evenVBand="0" w:oddHBand="1" w:evenHBand="0" w:firstRowFirstColumn="0" w:firstRowLastColumn="0" w:lastRowFirstColumn="0" w:lastRowLastColumn="0"/>
              <w:rPr>
                <w:bCs/>
                <w:iCs/>
                <w:color w:val="auto"/>
                <w:sz w:val="24"/>
                <w:szCs w:val="24"/>
              </w:rPr>
            </w:pPr>
            <w:r w:rsidRPr="0020060B">
              <w:rPr>
                <w:bCs/>
                <w:iCs/>
                <w:color w:val="auto"/>
                <w:sz w:val="24"/>
                <w:szCs w:val="24"/>
              </w:rPr>
              <w:t>Rod for machined parts less than 3.5%</w:t>
            </w:r>
          </w:p>
        </w:tc>
      </w:tr>
      <w:tr w:rsidR="0020060B" w:rsidRPr="0020060B" w14:paraId="68B04E4D" w14:textId="77777777" w:rsidTr="005F1847">
        <w:trPr>
          <w:trHeight w:val="162"/>
        </w:trPr>
        <w:tc>
          <w:tcPr>
            <w:cnfStyle w:val="001000000000" w:firstRow="0" w:lastRow="0" w:firstColumn="1" w:lastColumn="0" w:oddVBand="0" w:evenVBand="0" w:oddHBand="0" w:evenHBand="0" w:firstRowFirstColumn="0" w:firstRowLastColumn="0" w:lastRowFirstColumn="0" w:lastRowLastColumn="0"/>
            <w:tcW w:w="5098" w:type="dxa"/>
          </w:tcPr>
          <w:p w14:paraId="0A1445BC" w14:textId="77777777" w:rsidR="0020060B" w:rsidRPr="0020060B" w:rsidRDefault="0020060B" w:rsidP="0020060B">
            <w:pPr>
              <w:spacing w:after="200" w:line="276" w:lineRule="auto"/>
              <w:rPr>
                <w:b w:val="0"/>
                <w:bCs w:val="0"/>
                <w:iCs/>
                <w:color w:val="auto"/>
                <w:sz w:val="24"/>
                <w:szCs w:val="24"/>
              </w:rPr>
            </w:pPr>
            <w:r w:rsidRPr="0020060B">
              <w:rPr>
                <w:b w:val="0"/>
                <w:bCs w:val="0"/>
                <w:iCs/>
                <w:color w:val="auto"/>
                <w:sz w:val="24"/>
                <w:szCs w:val="24"/>
              </w:rPr>
              <w:t>AS/NZS 1572: Copper and copper alloys— Seamless tubes for engineering purposes</w:t>
            </w:r>
          </w:p>
        </w:tc>
        <w:tc>
          <w:tcPr>
            <w:tcW w:w="3969" w:type="dxa"/>
          </w:tcPr>
          <w:p w14:paraId="46C402E8" w14:textId="77777777" w:rsidR="0020060B" w:rsidRPr="0020060B" w:rsidRDefault="0020060B" w:rsidP="0020060B">
            <w:pPr>
              <w:spacing w:after="200" w:line="276" w:lineRule="auto"/>
              <w:cnfStyle w:val="000000000000" w:firstRow="0" w:lastRow="0" w:firstColumn="0" w:lastColumn="0" w:oddVBand="0" w:evenVBand="0" w:oddHBand="0" w:evenHBand="0" w:firstRowFirstColumn="0" w:firstRowLastColumn="0" w:lastRowFirstColumn="0" w:lastRowLastColumn="0"/>
              <w:rPr>
                <w:bCs/>
                <w:iCs/>
                <w:color w:val="auto"/>
                <w:sz w:val="24"/>
                <w:szCs w:val="24"/>
              </w:rPr>
            </w:pPr>
            <w:r w:rsidRPr="0020060B">
              <w:rPr>
                <w:bCs/>
                <w:iCs/>
                <w:color w:val="auto"/>
                <w:sz w:val="24"/>
                <w:szCs w:val="24"/>
              </w:rPr>
              <w:t>Tubular component (typically outlets) 5%</w:t>
            </w:r>
          </w:p>
        </w:tc>
      </w:tr>
    </w:tbl>
    <w:p w14:paraId="4EB8DFE0" w14:textId="77777777" w:rsidR="0020060B" w:rsidRPr="0020060B" w:rsidRDefault="0020060B" w:rsidP="0020060B">
      <w:pPr>
        <w:spacing w:before="240" w:line="360" w:lineRule="auto"/>
        <w:rPr>
          <w:sz w:val="24"/>
          <w:szCs w:val="24"/>
        </w:rPr>
      </w:pPr>
      <w:r w:rsidRPr="0020060B">
        <w:rPr>
          <w:sz w:val="24"/>
          <w:szCs w:val="24"/>
        </w:rPr>
        <w:t xml:space="preserve">The selection of the copper grade used to manufacture plumbing products is set out by each corresponding </w:t>
      </w:r>
      <w:r w:rsidR="004B7258">
        <w:rPr>
          <w:sz w:val="24"/>
          <w:szCs w:val="24"/>
        </w:rPr>
        <w:t>p</w:t>
      </w:r>
      <w:r w:rsidRPr="0020060B">
        <w:rPr>
          <w:sz w:val="24"/>
          <w:szCs w:val="24"/>
        </w:rPr>
        <w:t xml:space="preserve">roduct </w:t>
      </w:r>
      <w:r w:rsidR="004B7258">
        <w:rPr>
          <w:sz w:val="24"/>
          <w:szCs w:val="24"/>
        </w:rPr>
        <w:t>s</w:t>
      </w:r>
      <w:r w:rsidRPr="0020060B">
        <w:rPr>
          <w:sz w:val="24"/>
          <w:szCs w:val="24"/>
        </w:rPr>
        <w:t xml:space="preserve">tandard. This is shown </w:t>
      </w:r>
      <w:r>
        <w:rPr>
          <w:sz w:val="24"/>
          <w:szCs w:val="24"/>
        </w:rPr>
        <w:t>below</w:t>
      </w:r>
      <w:r w:rsidR="00064661">
        <w:rPr>
          <w:sz w:val="24"/>
          <w:szCs w:val="24"/>
        </w:rPr>
        <w:t xml:space="preserve"> in Table C2</w:t>
      </w:r>
      <w:r>
        <w:rPr>
          <w:sz w:val="24"/>
          <w:szCs w:val="24"/>
        </w:rPr>
        <w:t xml:space="preserve">. </w:t>
      </w:r>
    </w:p>
    <w:p w14:paraId="2571708A" w14:textId="08682002" w:rsidR="0020060B" w:rsidRPr="00D8385F" w:rsidRDefault="00064661" w:rsidP="00064661">
      <w:pPr>
        <w:rPr>
          <w:bCs/>
          <w:sz w:val="24"/>
          <w:szCs w:val="24"/>
        </w:rPr>
      </w:pPr>
      <w:r w:rsidRPr="00D8385F">
        <w:rPr>
          <w:bCs/>
          <w:sz w:val="24"/>
          <w:szCs w:val="24"/>
        </w:rPr>
        <w:t xml:space="preserve">Table C2: </w:t>
      </w:r>
      <w:r w:rsidR="0020060B" w:rsidRPr="00D8385F">
        <w:rPr>
          <w:bCs/>
          <w:sz w:val="24"/>
          <w:szCs w:val="24"/>
        </w:rPr>
        <w:t xml:space="preserve">Plumbing </w:t>
      </w:r>
      <w:r w:rsidR="000E5109" w:rsidRPr="00D8385F">
        <w:rPr>
          <w:bCs/>
          <w:sz w:val="24"/>
          <w:szCs w:val="24"/>
        </w:rPr>
        <w:t>p</w:t>
      </w:r>
      <w:r w:rsidR="0020060B" w:rsidRPr="00D8385F">
        <w:rPr>
          <w:bCs/>
          <w:sz w:val="24"/>
          <w:szCs w:val="24"/>
        </w:rPr>
        <w:t xml:space="preserve">roduct </w:t>
      </w:r>
      <w:r w:rsidR="000E5109" w:rsidRPr="00D8385F">
        <w:rPr>
          <w:bCs/>
          <w:sz w:val="24"/>
          <w:szCs w:val="24"/>
        </w:rPr>
        <w:t>s</w:t>
      </w:r>
      <w:r w:rsidR="0020060B" w:rsidRPr="00D8385F">
        <w:rPr>
          <w:bCs/>
          <w:sz w:val="24"/>
          <w:szCs w:val="24"/>
        </w:rPr>
        <w:t>tandards containing maximum lead content levels</w:t>
      </w:r>
    </w:p>
    <w:tbl>
      <w:tblPr>
        <w:tblStyle w:val="TableGrid"/>
        <w:tblW w:w="0" w:type="auto"/>
        <w:jc w:val="center"/>
        <w:tblLook w:val="04A0" w:firstRow="1" w:lastRow="0" w:firstColumn="1" w:lastColumn="0" w:noHBand="0" w:noVBand="1"/>
        <w:tblCaption w:val="Plumbing Product Standards containing maximum lead content levels"/>
        <w:tblDescription w:val="This table presents the Plumbing Product Standards containing maximum lead content levels by copper grade."/>
      </w:tblPr>
      <w:tblGrid>
        <w:gridCol w:w="2372"/>
        <w:gridCol w:w="1876"/>
        <w:gridCol w:w="1950"/>
        <w:gridCol w:w="1447"/>
        <w:gridCol w:w="1371"/>
      </w:tblGrid>
      <w:tr w:rsidR="0020060B" w:rsidRPr="0020060B" w14:paraId="7B89CBE7" w14:textId="77777777" w:rsidTr="005F1847">
        <w:trPr>
          <w:tblHeader/>
          <w:jc w:val="center"/>
        </w:trPr>
        <w:tc>
          <w:tcPr>
            <w:tcW w:w="0" w:type="auto"/>
            <w:shd w:val="clear" w:color="auto" w:fill="002060"/>
          </w:tcPr>
          <w:p w14:paraId="0BF721A6" w14:textId="77777777" w:rsidR="0020060B" w:rsidRPr="0020060B" w:rsidRDefault="0020060B" w:rsidP="0020060B">
            <w:pPr>
              <w:spacing w:after="200" w:line="276" w:lineRule="auto"/>
              <w:rPr>
                <w:rFonts w:cs="Arial"/>
                <w:sz w:val="24"/>
                <w:szCs w:val="24"/>
              </w:rPr>
            </w:pPr>
            <w:r w:rsidRPr="0020060B">
              <w:rPr>
                <w:rFonts w:cs="Arial"/>
                <w:sz w:val="24"/>
                <w:szCs w:val="24"/>
              </w:rPr>
              <w:t>Product</w:t>
            </w:r>
          </w:p>
        </w:tc>
        <w:tc>
          <w:tcPr>
            <w:tcW w:w="1876" w:type="dxa"/>
            <w:shd w:val="clear" w:color="auto" w:fill="002060"/>
          </w:tcPr>
          <w:p w14:paraId="22D283AC" w14:textId="77777777" w:rsidR="0020060B" w:rsidRPr="0020060B" w:rsidRDefault="0020060B" w:rsidP="0020060B">
            <w:pPr>
              <w:spacing w:after="200" w:line="276" w:lineRule="auto"/>
              <w:rPr>
                <w:rFonts w:cs="Arial"/>
                <w:sz w:val="24"/>
                <w:szCs w:val="24"/>
              </w:rPr>
            </w:pPr>
            <w:r w:rsidRPr="0020060B">
              <w:rPr>
                <w:rFonts w:cs="Arial"/>
                <w:sz w:val="24"/>
                <w:szCs w:val="24"/>
              </w:rPr>
              <w:t>Standard</w:t>
            </w:r>
          </w:p>
        </w:tc>
        <w:tc>
          <w:tcPr>
            <w:tcW w:w="1950" w:type="dxa"/>
            <w:shd w:val="clear" w:color="auto" w:fill="002060"/>
          </w:tcPr>
          <w:p w14:paraId="011210F7" w14:textId="77777777" w:rsidR="0020060B" w:rsidRPr="0020060B" w:rsidRDefault="0020060B" w:rsidP="0020060B">
            <w:pPr>
              <w:spacing w:after="200" w:line="276" w:lineRule="auto"/>
              <w:rPr>
                <w:rFonts w:cs="Arial"/>
                <w:sz w:val="24"/>
                <w:szCs w:val="24"/>
              </w:rPr>
            </w:pPr>
            <w:r w:rsidRPr="0020060B">
              <w:rPr>
                <w:rFonts w:cs="Arial"/>
                <w:sz w:val="24"/>
                <w:szCs w:val="24"/>
              </w:rPr>
              <w:t>Component</w:t>
            </w:r>
          </w:p>
        </w:tc>
        <w:tc>
          <w:tcPr>
            <w:tcW w:w="0" w:type="auto"/>
            <w:shd w:val="clear" w:color="auto" w:fill="002060"/>
          </w:tcPr>
          <w:p w14:paraId="2D217F0A" w14:textId="77777777" w:rsidR="0020060B" w:rsidRPr="0020060B" w:rsidRDefault="0020060B" w:rsidP="0020060B">
            <w:pPr>
              <w:spacing w:after="200" w:line="276" w:lineRule="auto"/>
              <w:rPr>
                <w:rFonts w:cs="Arial"/>
                <w:sz w:val="24"/>
                <w:szCs w:val="24"/>
              </w:rPr>
            </w:pPr>
            <w:r w:rsidRPr="0020060B">
              <w:rPr>
                <w:rFonts w:cs="Arial"/>
                <w:sz w:val="24"/>
                <w:szCs w:val="24"/>
              </w:rPr>
              <w:t>Copper Alloy Grade</w:t>
            </w:r>
          </w:p>
        </w:tc>
        <w:tc>
          <w:tcPr>
            <w:tcW w:w="0" w:type="auto"/>
            <w:shd w:val="clear" w:color="auto" w:fill="002060"/>
          </w:tcPr>
          <w:p w14:paraId="79137C05" w14:textId="77777777" w:rsidR="0020060B" w:rsidRPr="0020060B" w:rsidRDefault="0020060B" w:rsidP="0020060B">
            <w:pPr>
              <w:spacing w:after="200" w:line="276" w:lineRule="auto"/>
              <w:rPr>
                <w:rFonts w:cs="Arial"/>
                <w:sz w:val="24"/>
                <w:szCs w:val="24"/>
              </w:rPr>
            </w:pPr>
            <w:r w:rsidRPr="0020060B">
              <w:rPr>
                <w:rFonts w:cs="Arial"/>
                <w:sz w:val="24"/>
                <w:szCs w:val="24"/>
              </w:rPr>
              <w:t>Allowable lead</w:t>
            </w:r>
          </w:p>
        </w:tc>
      </w:tr>
      <w:tr w:rsidR="0020060B" w:rsidRPr="0020060B" w14:paraId="22262D87" w14:textId="77777777" w:rsidTr="005F1847">
        <w:trPr>
          <w:jc w:val="center"/>
        </w:trPr>
        <w:tc>
          <w:tcPr>
            <w:tcW w:w="0" w:type="auto"/>
          </w:tcPr>
          <w:p w14:paraId="70605DB8" w14:textId="77777777" w:rsidR="0020060B" w:rsidRPr="0020060B" w:rsidRDefault="0020060B" w:rsidP="0020060B">
            <w:pPr>
              <w:spacing w:after="200" w:line="276" w:lineRule="auto"/>
              <w:rPr>
                <w:rFonts w:cs="Arial"/>
                <w:sz w:val="24"/>
                <w:szCs w:val="24"/>
              </w:rPr>
            </w:pPr>
            <w:r w:rsidRPr="0020060B">
              <w:rPr>
                <w:rFonts w:cs="Arial"/>
                <w:sz w:val="24"/>
                <w:szCs w:val="24"/>
              </w:rPr>
              <w:t>Gate Valves – Metal Seated</w:t>
            </w:r>
          </w:p>
        </w:tc>
        <w:tc>
          <w:tcPr>
            <w:tcW w:w="1876" w:type="dxa"/>
          </w:tcPr>
          <w:p w14:paraId="3BF83EF9" w14:textId="77777777" w:rsidR="0020060B" w:rsidRPr="0020060B" w:rsidRDefault="0020060B" w:rsidP="0020060B">
            <w:pPr>
              <w:spacing w:after="200" w:line="276" w:lineRule="auto"/>
              <w:rPr>
                <w:rFonts w:cs="Arial"/>
                <w:sz w:val="24"/>
                <w:szCs w:val="24"/>
              </w:rPr>
            </w:pPr>
            <w:r w:rsidRPr="0020060B">
              <w:rPr>
                <w:rFonts w:cs="Arial"/>
                <w:sz w:val="24"/>
                <w:szCs w:val="24"/>
              </w:rPr>
              <w:t>AS/NZS 2638.1</w:t>
            </w:r>
          </w:p>
        </w:tc>
        <w:tc>
          <w:tcPr>
            <w:tcW w:w="1950" w:type="dxa"/>
          </w:tcPr>
          <w:p w14:paraId="3D94BC49" w14:textId="77777777" w:rsidR="0020060B" w:rsidRPr="0020060B" w:rsidRDefault="0020060B" w:rsidP="0020060B">
            <w:pPr>
              <w:spacing w:after="200" w:line="276" w:lineRule="auto"/>
              <w:rPr>
                <w:rFonts w:cs="Arial"/>
                <w:sz w:val="24"/>
                <w:szCs w:val="24"/>
              </w:rPr>
            </w:pPr>
            <w:r w:rsidRPr="0020060B">
              <w:rPr>
                <w:rFonts w:cs="Arial"/>
                <w:sz w:val="24"/>
                <w:szCs w:val="24"/>
              </w:rPr>
              <w:t>Spindle Seal Retainer, Gate, Gate Nut, Seat Rings</w:t>
            </w:r>
          </w:p>
        </w:tc>
        <w:tc>
          <w:tcPr>
            <w:tcW w:w="0" w:type="auto"/>
          </w:tcPr>
          <w:p w14:paraId="0E081098" w14:textId="77777777" w:rsidR="0020060B" w:rsidRPr="0020060B" w:rsidRDefault="0020060B" w:rsidP="0020060B">
            <w:pPr>
              <w:spacing w:after="200" w:line="276" w:lineRule="auto"/>
              <w:rPr>
                <w:rFonts w:cs="Arial"/>
                <w:sz w:val="24"/>
                <w:szCs w:val="24"/>
              </w:rPr>
            </w:pPr>
            <w:r w:rsidRPr="0020060B">
              <w:rPr>
                <w:rFonts w:cs="Arial"/>
                <w:sz w:val="24"/>
                <w:szCs w:val="24"/>
              </w:rPr>
              <w:t>C83600</w:t>
            </w:r>
          </w:p>
        </w:tc>
        <w:tc>
          <w:tcPr>
            <w:tcW w:w="0" w:type="auto"/>
          </w:tcPr>
          <w:p w14:paraId="6671430D" w14:textId="77777777" w:rsidR="0020060B" w:rsidRPr="0020060B" w:rsidRDefault="0020060B" w:rsidP="0020060B">
            <w:pPr>
              <w:spacing w:after="200" w:line="276" w:lineRule="auto"/>
              <w:rPr>
                <w:rFonts w:cs="Arial"/>
                <w:sz w:val="24"/>
                <w:szCs w:val="24"/>
              </w:rPr>
            </w:pPr>
            <w:r w:rsidRPr="0020060B">
              <w:rPr>
                <w:rFonts w:cs="Arial"/>
                <w:bCs/>
                <w:iCs/>
                <w:sz w:val="24"/>
                <w:szCs w:val="24"/>
              </w:rPr>
              <w:t>4% - 6%</w:t>
            </w:r>
          </w:p>
        </w:tc>
      </w:tr>
      <w:tr w:rsidR="0020060B" w:rsidRPr="0020060B" w14:paraId="184FBFBF" w14:textId="77777777" w:rsidTr="005F1847">
        <w:trPr>
          <w:trHeight w:val="1267"/>
          <w:jc w:val="center"/>
        </w:trPr>
        <w:tc>
          <w:tcPr>
            <w:tcW w:w="0" w:type="auto"/>
          </w:tcPr>
          <w:p w14:paraId="2DAD6BC9" w14:textId="77777777" w:rsidR="0020060B" w:rsidRPr="0020060B" w:rsidRDefault="00E0520F" w:rsidP="0020060B">
            <w:pPr>
              <w:spacing w:after="200" w:line="276" w:lineRule="auto"/>
              <w:rPr>
                <w:rFonts w:cs="Arial"/>
                <w:sz w:val="24"/>
                <w:szCs w:val="24"/>
              </w:rPr>
            </w:pPr>
            <w:r w:rsidRPr="0020060B">
              <w:rPr>
                <w:rFonts w:cs="Arial"/>
                <w:sz w:val="24"/>
                <w:szCs w:val="24"/>
              </w:rPr>
              <w:t>Gate Valves</w:t>
            </w:r>
            <w:r w:rsidR="0020060B" w:rsidRPr="0020060B">
              <w:rPr>
                <w:rFonts w:cs="Arial"/>
                <w:sz w:val="24"/>
                <w:szCs w:val="24"/>
              </w:rPr>
              <w:t xml:space="preserve"> – Resilient Seated</w:t>
            </w:r>
          </w:p>
        </w:tc>
        <w:tc>
          <w:tcPr>
            <w:tcW w:w="1876" w:type="dxa"/>
          </w:tcPr>
          <w:p w14:paraId="710CCC64" w14:textId="77777777" w:rsidR="0020060B" w:rsidRPr="0020060B" w:rsidRDefault="0020060B" w:rsidP="0020060B">
            <w:pPr>
              <w:spacing w:after="200" w:line="276" w:lineRule="auto"/>
              <w:rPr>
                <w:rFonts w:cs="Arial"/>
                <w:sz w:val="24"/>
                <w:szCs w:val="24"/>
              </w:rPr>
            </w:pPr>
            <w:r w:rsidRPr="0020060B">
              <w:rPr>
                <w:rFonts w:cs="Arial"/>
                <w:sz w:val="24"/>
                <w:szCs w:val="24"/>
              </w:rPr>
              <w:t>AS/NZS 2638.2</w:t>
            </w:r>
          </w:p>
        </w:tc>
        <w:tc>
          <w:tcPr>
            <w:tcW w:w="1950" w:type="dxa"/>
          </w:tcPr>
          <w:p w14:paraId="130A1862" w14:textId="77777777" w:rsidR="0020060B" w:rsidRPr="0020060B" w:rsidRDefault="0020060B" w:rsidP="0020060B">
            <w:pPr>
              <w:spacing w:after="200" w:line="276" w:lineRule="auto"/>
              <w:rPr>
                <w:rFonts w:cs="Arial"/>
                <w:sz w:val="24"/>
                <w:szCs w:val="24"/>
              </w:rPr>
            </w:pPr>
            <w:r w:rsidRPr="0020060B">
              <w:rPr>
                <w:rFonts w:cs="Arial"/>
                <w:sz w:val="24"/>
                <w:szCs w:val="24"/>
              </w:rPr>
              <w:t>Spindle Seal Retainer, Gate Nut</w:t>
            </w:r>
          </w:p>
        </w:tc>
        <w:tc>
          <w:tcPr>
            <w:tcW w:w="0" w:type="auto"/>
          </w:tcPr>
          <w:p w14:paraId="05562B6A" w14:textId="77777777" w:rsidR="0020060B" w:rsidRPr="0020060B" w:rsidRDefault="0020060B" w:rsidP="0020060B">
            <w:pPr>
              <w:spacing w:after="200" w:line="276" w:lineRule="auto"/>
              <w:rPr>
                <w:rFonts w:cs="Arial"/>
                <w:sz w:val="24"/>
                <w:szCs w:val="24"/>
              </w:rPr>
            </w:pPr>
            <w:r w:rsidRPr="0020060B">
              <w:rPr>
                <w:rFonts w:cs="Arial"/>
                <w:sz w:val="24"/>
                <w:szCs w:val="24"/>
              </w:rPr>
              <w:t>C83600</w:t>
            </w:r>
          </w:p>
        </w:tc>
        <w:tc>
          <w:tcPr>
            <w:tcW w:w="0" w:type="auto"/>
          </w:tcPr>
          <w:p w14:paraId="55CC43BE" w14:textId="77777777" w:rsidR="0020060B" w:rsidRPr="0020060B" w:rsidRDefault="0020060B" w:rsidP="0020060B">
            <w:pPr>
              <w:spacing w:after="200" w:line="276" w:lineRule="auto"/>
              <w:rPr>
                <w:rFonts w:cs="Arial"/>
                <w:sz w:val="24"/>
                <w:szCs w:val="24"/>
              </w:rPr>
            </w:pPr>
            <w:r w:rsidRPr="0020060B">
              <w:rPr>
                <w:rFonts w:cs="Arial"/>
                <w:bCs/>
                <w:iCs/>
                <w:sz w:val="24"/>
                <w:szCs w:val="24"/>
              </w:rPr>
              <w:t>4% - 6%</w:t>
            </w:r>
          </w:p>
        </w:tc>
      </w:tr>
      <w:tr w:rsidR="0020060B" w:rsidRPr="0020060B" w14:paraId="051A5C15" w14:textId="77777777" w:rsidTr="005F1847">
        <w:trPr>
          <w:jc w:val="center"/>
        </w:trPr>
        <w:tc>
          <w:tcPr>
            <w:tcW w:w="0" w:type="auto"/>
          </w:tcPr>
          <w:p w14:paraId="467BAF32" w14:textId="77777777" w:rsidR="0020060B" w:rsidRPr="0020060B" w:rsidRDefault="0020060B" w:rsidP="0020060B">
            <w:pPr>
              <w:spacing w:after="200" w:line="276" w:lineRule="auto"/>
              <w:rPr>
                <w:rFonts w:cs="Arial"/>
                <w:sz w:val="24"/>
                <w:szCs w:val="24"/>
              </w:rPr>
            </w:pPr>
            <w:r w:rsidRPr="0020060B">
              <w:rPr>
                <w:rFonts w:cs="Arial"/>
                <w:sz w:val="24"/>
                <w:szCs w:val="24"/>
              </w:rPr>
              <w:t>Spring Valves</w:t>
            </w:r>
          </w:p>
        </w:tc>
        <w:tc>
          <w:tcPr>
            <w:tcW w:w="1876" w:type="dxa"/>
          </w:tcPr>
          <w:p w14:paraId="11FCDC78" w14:textId="77777777" w:rsidR="0020060B" w:rsidRPr="0020060B" w:rsidRDefault="0020060B" w:rsidP="0020060B">
            <w:pPr>
              <w:spacing w:after="200" w:line="276" w:lineRule="auto"/>
              <w:rPr>
                <w:rFonts w:cs="Arial"/>
                <w:sz w:val="24"/>
                <w:szCs w:val="24"/>
              </w:rPr>
            </w:pPr>
            <w:r w:rsidRPr="0020060B">
              <w:rPr>
                <w:rFonts w:cs="Arial"/>
                <w:sz w:val="24"/>
                <w:szCs w:val="24"/>
              </w:rPr>
              <w:t>AS 3952</w:t>
            </w:r>
          </w:p>
        </w:tc>
        <w:tc>
          <w:tcPr>
            <w:tcW w:w="1950" w:type="dxa"/>
          </w:tcPr>
          <w:p w14:paraId="2CA2B020" w14:textId="77777777" w:rsidR="0020060B" w:rsidRPr="0020060B" w:rsidRDefault="0020060B" w:rsidP="0020060B">
            <w:pPr>
              <w:spacing w:after="200" w:line="276" w:lineRule="auto"/>
              <w:rPr>
                <w:rFonts w:cs="Arial"/>
                <w:sz w:val="24"/>
                <w:szCs w:val="24"/>
              </w:rPr>
            </w:pPr>
            <w:r w:rsidRPr="0020060B">
              <w:rPr>
                <w:rFonts w:cs="Arial"/>
                <w:sz w:val="24"/>
                <w:szCs w:val="24"/>
              </w:rPr>
              <w:t>Dome</w:t>
            </w:r>
          </w:p>
        </w:tc>
        <w:tc>
          <w:tcPr>
            <w:tcW w:w="0" w:type="auto"/>
          </w:tcPr>
          <w:p w14:paraId="784B8EDE" w14:textId="77777777" w:rsidR="0020060B" w:rsidRPr="0020060B" w:rsidRDefault="0020060B" w:rsidP="0020060B">
            <w:pPr>
              <w:spacing w:after="200" w:line="276" w:lineRule="auto"/>
              <w:rPr>
                <w:rFonts w:cs="Arial"/>
                <w:sz w:val="24"/>
                <w:szCs w:val="24"/>
              </w:rPr>
            </w:pPr>
            <w:r w:rsidRPr="0020060B">
              <w:rPr>
                <w:rFonts w:cs="Arial"/>
                <w:sz w:val="24"/>
                <w:szCs w:val="24"/>
              </w:rPr>
              <w:t>C83600</w:t>
            </w:r>
          </w:p>
        </w:tc>
        <w:tc>
          <w:tcPr>
            <w:tcW w:w="0" w:type="auto"/>
          </w:tcPr>
          <w:p w14:paraId="05B4D349" w14:textId="77777777" w:rsidR="0020060B" w:rsidRPr="0020060B" w:rsidRDefault="0020060B" w:rsidP="0020060B">
            <w:pPr>
              <w:spacing w:after="200" w:line="276" w:lineRule="auto"/>
              <w:rPr>
                <w:rFonts w:cs="Arial"/>
                <w:sz w:val="24"/>
                <w:szCs w:val="24"/>
              </w:rPr>
            </w:pPr>
            <w:r w:rsidRPr="0020060B">
              <w:rPr>
                <w:rFonts w:cs="Arial"/>
                <w:bCs/>
                <w:iCs/>
                <w:sz w:val="24"/>
                <w:szCs w:val="24"/>
              </w:rPr>
              <w:t>4% - 6%</w:t>
            </w:r>
          </w:p>
        </w:tc>
      </w:tr>
      <w:tr w:rsidR="0020060B" w:rsidRPr="0020060B" w14:paraId="5149AE5D" w14:textId="77777777" w:rsidTr="005F1847">
        <w:trPr>
          <w:jc w:val="center"/>
        </w:trPr>
        <w:tc>
          <w:tcPr>
            <w:tcW w:w="0" w:type="auto"/>
          </w:tcPr>
          <w:p w14:paraId="5F4B4CD2" w14:textId="77777777" w:rsidR="0020060B" w:rsidRPr="0020060B" w:rsidRDefault="0020060B" w:rsidP="0020060B">
            <w:pPr>
              <w:spacing w:after="200" w:line="276" w:lineRule="auto"/>
              <w:rPr>
                <w:rFonts w:cs="Arial"/>
                <w:sz w:val="24"/>
                <w:szCs w:val="24"/>
              </w:rPr>
            </w:pPr>
            <w:r w:rsidRPr="0020060B">
              <w:rPr>
                <w:rFonts w:cs="Arial"/>
                <w:sz w:val="24"/>
                <w:szCs w:val="24"/>
              </w:rPr>
              <w:t>Non-return Valves</w:t>
            </w:r>
          </w:p>
        </w:tc>
        <w:tc>
          <w:tcPr>
            <w:tcW w:w="1876" w:type="dxa"/>
          </w:tcPr>
          <w:p w14:paraId="66CF0128" w14:textId="77777777" w:rsidR="0020060B" w:rsidRPr="0020060B" w:rsidRDefault="0020060B" w:rsidP="0020060B">
            <w:pPr>
              <w:spacing w:after="200" w:line="276" w:lineRule="auto"/>
              <w:rPr>
                <w:rFonts w:cs="Arial"/>
                <w:sz w:val="24"/>
                <w:szCs w:val="24"/>
              </w:rPr>
            </w:pPr>
            <w:r w:rsidRPr="0020060B">
              <w:rPr>
                <w:rFonts w:cs="Arial"/>
                <w:sz w:val="24"/>
                <w:szCs w:val="24"/>
              </w:rPr>
              <w:t>AS 4794</w:t>
            </w:r>
          </w:p>
        </w:tc>
        <w:tc>
          <w:tcPr>
            <w:tcW w:w="1950" w:type="dxa"/>
          </w:tcPr>
          <w:p w14:paraId="2E6C58D0" w14:textId="77777777" w:rsidR="0020060B" w:rsidRPr="0020060B" w:rsidRDefault="0020060B" w:rsidP="0020060B">
            <w:pPr>
              <w:spacing w:after="200" w:line="276" w:lineRule="auto"/>
              <w:rPr>
                <w:rFonts w:cs="Arial"/>
                <w:sz w:val="24"/>
                <w:szCs w:val="24"/>
              </w:rPr>
            </w:pPr>
            <w:r w:rsidRPr="0020060B">
              <w:rPr>
                <w:rFonts w:cs="Arial"/>
                <w:sz w:val="24"/>
                <w:szCs w:val="24"/>
              </w:rPr>
              <w:t>Disc, Seat Rings</w:t>
            </w:r>
          </w:p>
        </w:tc>
        <w:tc>
          <w:tcPr>
            <w:tcW w:w="0" w:type="auto"/>
          </w:tcPr>
          <w:p w14:paraId="0D97F204" w14:textId="77777777" w:rsidR="0020060B" w:rsidRPr="0020060B" w:rsidRDefault="0020060B" w:rsidP="0020060B">
            <w:pPr>
              <w:spacing w:after="200" w:line="276" w:lineRule="auto"/>
              <w:rPr>
                <w:rFonts w:cs="Arial"/>
                <w:sz w:val="24"/>
                <w:szCs w:val="24"/>
              </w:rPr>
            </w:pPr>
            <w:r w:rsidRPr="0020060B">
              <w:rPr>
                <w:rFonts w:cs="Arial"/>
                <w:sz w:val="24"/>
                <w:szCs w:val="24"/>
              </w:rPr>
              <w:t>C83600</w:t>
            </w:r>
          </w:p>
        </w:tc>
        <w:tc>
          <w:tcPr>
            <w:tcW w:w="0" w:type="auto"/>
          </w:tcPr>
          <w:p w14:paraId="192C3DC0" w14:textId="77777777" w:rsidR="0020060B" w:rsidRPr="0020060B" w:rsidRDefault="0020060B" w:rsidP="0020060B">
            <w:pPr>
              <w:spacing w:after="200" w:line="276" w:lineRule="auto"/>
              <w:rPr>
                <w:rFonts w:cs="Arial"/>
                <w:sz w:val="24"/>
                <w:szCs w:val="24"/>
              </w:rPr>
            </w:pPr>
            <w:r w:rsidRPr="0020060B">
              <w:rPr>
                <w:rFonts w:cs="Arial"/>
                <w:bCs/>
                <w:iCs/>
                <w:sz w:val="24"/>
                <w:szCs w:val="24"/>
              </w:rPr>
              <w:t>4% - 6%</w:t>
            </w:r>
          </w:p>
        </w:tc>
      </w:tr>
      <w:tr w:rsidR="0020060B" w:rsidRPr="0020060B" w14:paraId="1A389809" w14:textId="77777777" w:rsidTr="005F1847">
        <w:trPr>
          <w:jc w:val="center"/>
        </w:trPr>
        <w:tc>
          <w:tcPr>
            <w:tcW w:w="0" w:type="auto"/>
          </w:tcPr>
          <w:p w14:paraId="12B307CB" w14:textId="77777777" w:rsidR="0020060B" w:rsidRPr="0020060B" w:rsidRDefault="0020060B" w:rsidP="0020060B">
            <w:pPr>
              <w:spacing w:after="200" w:line="276" w:lineRule="auto"/>
              <w:rPr>
                <w:rFonts w:cs="Arial"/>
                <w:iCs/>
                <w:sz w:val="24"/>
                <w:szCs w:val="24"/>
              </w:rPr>
            </w:pPr>
            <w:r w:rsidRPr="0020060B">
              <w:rPr>
                <w:rFonts w:cs="Arial"/>
                <w:iCs/>
                <w:sz w:val="24"/>
                <w:szCs w:val="24"/>
              </w:rPr>
              <w:t>Butterfly Valves</w:t>
            </w:r>
          </w:p>
        </w:tc>
        <w:tc>
          <w:tcPr>
            <w:tcW w:w="1876" w:type="dxa"/>
          </w:tcPr>
          <w:p w14:paraId="793EC0B2" w14:textId="77777777" w:rsidR="0020060B" w:rsidRPr="0020060B" w:rsidRDefault="0020060B" w:rsidP="0020060B">
            <w:pPr>
              <w:spacing w:after="200" w:line="276" w:lineRule="auto"/>
              <w:rPr>
                <w:rFonts w:cs="Arial"/>
                <w:iCs/>
                <w:sz w:val="24"/>
                <w:szCs w:val="24"/>
              </w:rPr>
            </w:pPr>
            <w:r w:rsidRPr="0020060B">
              <w:rPr>
                <w:rFonts w:cs="Arial"/>
                <w:iCs/>
                <w:sz w:val="24"/>
                <w:szCs w:val="24"/>
              </w:rPr>
              <w:t>AS 4795.1</w:t>
            </w:r>
          </w:p>
          <w:p w14:paraId="77737794" w14:textId="77777777" w:rsidR="0020060B" w:rsidRPr="0020060B" w:rsidRDefault="0020060B" w:rsidP="0020060B">
            <w:pPr>
              <w:spacing w:after="200" w:line="276" w:lineRule="auto"/>
              <w:rPr>
                <w:rFonts w:cs="Arial"/>
                <w:iCs/>
                <w:sz w:val="24"/>
                <w:szCs w:val="24"/>
              </w:rPr>
            </w:pPr>
            <w:r w:rsidRPr="0020060B">
              <w:rPr>
                <w:rFonts w:cs="Arial"/>
                <w:iCs/>
                <w:sz w:val="24"/>
                <w:szCs w:val="24"/>
              </w:rPr>
              <w:lastRenderedPageBreak/>
              <w:t>AS 4795.2</w:t>
            </w:r>
          </w:p>
          <w:p w14:paraId="23BF5FFB" w14:textId="77777777" w:rsidR="0020060B" w:rsidRPr="0020060B" w:rsidRDefault="0020060B" w:rsidP="0020060B">
            <w:pPr>
              <w:spacing w:after="200" w:line="276" w:lineRule="auto"/>
              <w:rPr>
                <w:rFonts w:cs="Arial"/>
                <w:iCs/>
                <w:sz w:val="24"/>
                <w:szCs w:val="24"/>
              </w:rPr>
            </w:pPr>
            <w:r w:rsidRPr="0020060B">
              <w:rPr>
                <w:rFonts w:cs="Arial"/>
                <w:iCs/>
                <w:sz w:val="24"/>
                <w:szCs w:val="24"/>
              </w:rPr>
              <w:t>AS 5612</w:t>
            </w:r>
          </w:p>
        </w:tc>
        <w:tc>
          <w:tcPr>
            <w:tcW w:w="1950" w:type="dxa"/>
          </w:tcPr>
          <w:p w14:paraId="7FD1D35B" w14:textId="77777777" w:rsidR="0020060B" w:rsidRPr="0020060B" w:rsidRDefault="0020060B" w:rsidP="0020060B">
            <w:pPr>
              <w:spacing w:after="200" w:line="276" w:lineRule="auto"/>
              <w:rPr>
                <w:rFonts w:cs="Arial"/>
                <w:iCs/>
                <w:sz w:val="24"/>
                <w:szCs w:val="24"/>
              </w:rPr>
            </w:pPr>
            <w:r w:rsidRPr="0020060B">
              <w:rPr>
                <w:rFonts w:cs="Arial"/>
                <w:iCs/>
                <w:sz w:val="24"/>
                <w:szCs w:val="24"/>
              </w:rPr>
              <w:lastRenderedPageBreak/>
              <w:t>Disc, Bearings</w:t>
            </w:r>
          </w:p>
        </w:tc>
        <w:tc>
          <w:tcPr>
            <w:tcW w:w="0" w:type="auto"/>
          </w:tcPr>
          <w:p w14:paraId="2FA64C96" w14:textId="77777777" w:rsidR="0020060B" w:rsidRPr="0020060B" w:rsidRDefault="0020060B" w:rsidP="0020060B">
            <w:pPr>
              <w:spacing w:after="200" w:line="276" w:lineRule="auto"/>
              <w:rPr>
                <w:rFonts w:cs="Arial"/>
                <w:iCs/>
                <w:sz w:val="24"/>
                <w:szCs w:val="24"/>
              </w:rPr>
            </w:pPr>
            <w:r w:rsidRPr="0020060B">
              <w:rPr>
                <w:rFonts w:cs="Arial"/>
                <w:iCs/>
                <w:sz w:val="24"/>
                <w:szCs w:val="24"/>
              </w:rPr>
              <w:t>C95810</w:t>
            </w:r>
          </w:p>
          <w:p w14:paraId="19D4DA28" w14:textId="77777777" w:rsidR="0020060B" w:rsidRPr="0020060B" w:rsidRDefault="0020060B" w:rsidP="0020060B">
            <w:pPr>
              <w:spacing w:after="200" w:line="276" w:lineRule="auto"/>
              <w:rPr>
                <w:rFonts w:cs="Arial"/>
                <w:iCs/>
                <w:sz w:val="24"/>
                <w:szCs w:val="24"/>
              </w:rPr>
            </w:pPr>
            <w:r w:rsidRPr="0020060B">
              <w:rPr>
                <w:rFonts w:cs="Arial"/>
                <w:iCs/>
                <w:sz w:val="24"/>
                <w:szCs w:val="24"/>
              </w:rPr>
              <w:lastRenderedPageBreak/>
              <w:t>C92710</w:t>
            </w:r>
          </w:p>
          <w:p w14:paraId="15C1E4D6" w14:textId="77777777" w:rsidR="0020060B" w:rsidRPr="0020060B" w:rsidRDefault="0020060B" w:rsidP="0020060B">
            <w:pPr>
              <w:spacing w:after="200" w:line="276" w:lineRule="auto"/>
              <w:rPr>
                <w:rFonts w:cs="Arial"/>
                <w:iCs/>
                <w:sz w:val="24"/>
                <w:szCs w:val="24"/>
              </w:rPr>
            </w:pPr>
            <w:r w:rsidRPr="0020060B">
              <w:rPr>
                <w:rFonts w:cs="Arial"/>
                <w:iCs/>
                <w:sz w:val="24"/>
                <w:szCs w:val="24"/>
              </w:rPr>
              <w:t>C93500</w:t>
            </w:r>
          </w:p>
          <w:p w14:paraId="4A7490FA" w14:textId="77777777" w:rsidR="0020060B" w:rsidRPr="0020060B" w:rsidRDefault="0020060B" w:rsidP="0020060B">
            <w:pPr>
              <w:spacing w:after="200" w:line="276" w:lineRule="auto"/>
              <w:rPr>
                <w:rFonts w:cs="Arial"/>
                <w:iCs/>
                <w:sz w:val="24"/>
                <w:szCs w:val="24"/>
              </w:rPr>
            </w:pPr>
            <w:r w:rsidRPr="0020060B">
              <w:rPr>
                <w:rFonts w:cs="Arial"/>
                <w:iCs/>
                <w:sz w:val="24"/>
                <w:szCs w:val="24"/>
              </w:rPr>
              <w:t>C93700</w:t>
            </w:r>
          </w:p>
        </w:tc>
        <w:tc>
          <w:tcPr>
            <w:tcW w:w="0" w:type="auto"/>
          </w:tcPr>
          <w:p w14:paraId="74EA993D" w14:textId="77777777" w:rsidR="0020060B" w:rsidRPr="0020060B" w:rsidRDefault="0020060B" w:rsidP="0020060B">
            <w:pPr>
              <w:spacing w:after="200" w:line="276" w:lineRule="auto"/>
              <w:rPr>
                <w:rFonts w:cs="Arial"/>
                <w:bCs/>
                <w:iCs/>
                <w:sz w:val="24"/>
                <w:szCs w:val="24"/>
              </w:rPr>
            </w:pPr>
            <w:r w:rsidRPr="0020060B">
              <w:rPr>
                <w:rFonts w:cs="Arial"/>
                <w:bCs/>
                <w:iCs/>
                <w:sz w:val="24"/>
                <w:szCs w:val="24"/>
              </w:rPr>
              <w:lastRenderedPageBreak/>
              <w:t>0.05%</w:t>
            </w:r>
          </w:p>
          <w:p w14:paraId="6705B1DE" w14:textId="77777777" w:rsidR="0020060B" w:rsidRPr="0020060B" w:rsidRDefault="0020060B" w:rsidP="0020060B">
            <w:pPr>
              <w:spacing w:after="200" w:line="276" w:lineRule="auto"/>
              <w:rPr>
                <w:rFonts w:cs="Arial"/>
                <w:bCs/>
                <w:iCs/>
                <w:sz w:val="24"/>
                <w:szCs w:val="24"/>
              </w:rPr>
            </w:pPr>
            <w:r w:rsidRPr="0020060B">
              <w:rPr>
                <w:rFonts w:cs="Arial"/>
                <w:bCs/>
                <w:iCs/>
                <w:sz w:val="24"/>
                <w:szCs w:val="24"/>
              </w:rPr>
              <w:lastRenderedPageBreak/>
              <w:t>4% - 6%</w:t>
            </w:r>
          </w:p>
          <w:p w14:paraId="60858376" w14:textId="77777777" w:rsidR="0020060B" w:rsidRPr="0020060B" w:rsidRDefault="0020060B" w:rsidP="0020060B">
            <w:pPr>
              <w:spacing w:after="200" w:line="276" w:lineRule="auto"/>
              <w:rPr>
                <w:rFonts w:cs="Arial"/>
                <w:iCs/>
                <w:sz w:val="24"/>
                <w:szCs w:val="24"/>
              </w:rPr>
            </w:pPr>
            <w:r w:rsidRPr="0020060B">
              <w:rPr>
                <w:rFonts w:cs="Arial"/>
                <w:iCs/>
                <w:sz w:val="24"/>
                <w:szCs w:val="24"/>
              </w:rPr>
              <w:t>-</w:t>
            </w:r>
          </w:p>
          <w:p w14:paraId="7D1142B2" w14:textId="77777777" w:rsidR="0020060B" w:rsidRPr="0020060B" w:rsidRDefault="0020060B" w:rsidP="0020060B">
            <w:pPr>
              <w:spacing w:after="200" w:line="276" w:lineRule="auto"/>
              <w:rPr>
                <w:rFonts w:cs="Arial"/>
                <w:iCs/>
                <w:sz w:val="24"/>
                <w:szCs w:val="24"/>
              </w:rPr>
            </w:pPr>
            <w:r w:rsidRPr="0020060B">
              <w:rPr>
                <w:rFonts w:cs="Arial"/>
                <w:iCs/>
                <w:sz w:val="24"/>
                <w:szCs w:val="24"/>
              </w:rPr>
              <w:t>-</w:t>
            </w:r>
          </w:p>
        </w:tc>
      </w:tr>
      <w:tr w:rsidR="0020060B" w:rsidRPr="0020060B" w14:paraId="72A517FD" w14:textId="77777777" w:rsidTr="005F1847">
        <w:trPr>
          <w:jc w:val="center"/>
        </w:trPr>
        <w:tc>
          <w:tcPr>
            <w:tcW w:w="0" w:type="auto"/>
          </w:tcPr>
          <w:p w14:paraId="082D3E01" w14:textId="77777777" w:rsidR="0020060B" w:rsidRPr="0020060B" w:rsidRDefault="0020060B" w:rsidP="0020060B">
            <w:pPr>
              <w:spacing w:after="200" w:line="276" w:lineRule="auto"/>
              <w:rPr>
                <w:rFonts w:cs="Arial"/>
                <w:iCs/>
                <w:sz w:val="24"/>
                <w:szCs w:val="24"/>
              </w:rPr>
            </w:pPr>
            <w:r w:rsidRPr="0020060B">
              <w:rPr>
                <w:rFonts w:cs="Arial"/>
                <w:iCs/>
                <w:sz w:val="24"/>
                <w:szCs w:val="24"/>
              </w:rPr>
              <w:lastRenderedPageBreak/>
              <w:t>Air Valves</w:t>
            </w:r>
          </w:p>
        </w:tc>
        <w:tc>
          <w:tcPr>
            <w:tcW w:w="1876" w:type="dxa"/>
          </w:tcPr>
          <w:p w14:paraId="4AB070B3" w14:textId="77777777" w:rsidR="0020060B" w:rsidRPr="0020060B" w:rsidRDefault="0020060B" w:rsidP="0020060B">
            <w:pPr>
              <w:spacing w:after="200" w:line="276" w:lineRule="auto"/>
              <w:rPr>
                <w:rFonts w:cs="Arial"/>
                <w:iCs/>
                <w:sz w:val="24"/>
                <w:szCs w:val="24"/>
              </w:rPr>
            </w:pPr>
            <w:r w:rsidRPr="0020060B">
              <w:rPr>
                <w:rFonts w:cs="Arial"/>
                <w:iCs/>
                <w:sz w:val="24"/>
                <w:szCs w:val="24"/>
              </w:rPr>
              <w:t>AS 4956</w:t>
            </w:r>
          </w:p>
        </w:tc>
        <w:tc>
          <w:tcPr>
            <w:tcW w:w="1950" w:type="dxa"/>
          </w:tcPr>
          <w:p w14:paraId="6DE04FAD" w14:textId="77777777" w:rsidR="0020060B" w:rsidRPr="0020060B" w:rsidRDefault="0020060B" w:rsidP="0020060B">
            <w:pPr>
              <w:spacing w:after="200" w:line="276" w:lineRule="auto"/>
              <w:rPr>
                <w:rFonts w:cs="Arial"/>
                <w:iCs/>
                <w:sz w:val="24"/>
                <w:szCs w:val="24"/>
              </w:rPr>
            </w:pPr>
            <w:r w:rsidRPr="0020060B">
              <w:rPr>
                <w:rFonts w:cs="Arial"/>
                <w:iCs/>
                <w:sz w:val="24"/>
                <w:szCs w:val="24"/>
              </w:rPr>
              <w:t>Seat</w:t>
            </w:r>
          </w:p>
        </w:tc>
        <w:tc>
          <w:tcPr>
            <w:tcW w:w="0" w:type="auto"/>
          </w:tcPr>
          <w:p w14:paraId="515D9915" w14:textId="77777777" w:rsidR="0020060B" w:rsidRPr="0020060B" w:rsidRDefault="0020060B" w:rsidP="0020060B">
            <w:pPr>
              <w:spacing w:after="200" w:line="276" w:lineRule="auto"/>
              <w:rPr>
                <w:rFonts w:cs="Arial"/>
                <w:iCs/>
                <w:sz w:val="24"/>
                <w:szCs w:val="24"/>
              </w:rPr>
            </w:pPr>
            <w:r w:rsidRPr="0020060B">
              <w:rPr>
                <w:rFonts w:cs="Arial"/>
                <w:iCs/>
                <w:sz w:val="24"/>
                <w:szCs w:val="24"/>
              </w:rPr>
              <w:t>C83600</w:t>
            </w:r>
          </w:p>
        </w:tc>
        <w:tc>
          <w:tcPr>
            <w:tcW w:w="0" w:type="auto"/>
          </w:tcPr>
          <w:p w14:paraId="0EC69093" w14:textId="77777777" w:rsidR="0020060B" w:rsidRPr="0020060B" w:rsidRDefault="0020060B" w:rsidP="0020060B">
            <w:pPr>
              <w:spacing w:after="200" w:line="276" w:lineRule="auto"/>
              <w:rPr>
                <w:rFonts w:cs="Arial"/>
                <w:iCs/>
                <w:sz w:val="24"/>
                <w:szCs w:val="24"/>
              </w:rPr>
            </w:pPr>
            <w:r w:rsidRPr="0020060B">
              <w:rPr>
                <w:rFonts w:cs="Arial"/>
                <w:bCs/>
                <w:iCs/>
                <w:sz w:val="24"/>
                <w:szCs w:val="24"/>
              </w:rPr>
              <w:t>4% - 6%</w:t>
            </w:r>
          </w:p>
        </w:tc>
      </w:tr>
      <w:tr w:rsidR="0020060B" w:rsidRPr="0020060B" w14:paraId="4F601E7C" w14:textId="77777777" w:rsidTr="005F1847">
        <w:trPr>
          <w:jc w:val="center"/>
        </w:trPr>
        <w:tc>
          <w:tcPr>
            <w:tcW w:w="0" w:type="auto"/>
          </w:tcPr>
          <w:p w14:paraId="429634C7" w14:textId="77777777" w:rsidR="0020060B" w:rsidRPr="0020060B" w:rsidRDefault="0020060B" w:rsidP="0020060B">
            <w:pPr>
              <w:spacing w:after="200" w:line="276" w:lineRule="auto"/>
              <w:rPr>
                <w:rFonts w:cs="Arial"/>
                <w:iCs/>
                <w:sz w:val="24"/>
                <w:szCs w:val="24"/>
              </w:rPr>
            </w:pPr>
            <w:r w:rsidRPr="0020060B">
              <w:rPr>
                <w:rFonts w:cs="Arial"/>
                <w:iCs/>
                <w:sz w:val="24"/>
                <w:szCs w:val="24"/>
              </w:rPr>
              <w:t>Tapping Bands</w:t>
            </w:r>
          </w:p>
        </w:tc>
        <w:tc>
          <w:tcPr>
            <w:tcW w:w="1876" w:type="dxa"/>
          </w:tcPr>
          <w:p w14:paraId="1773977A" w14:textId="77777777" w:rsidR="0020060B" w:rsidRPr="0020060B" w:rsidRDefault="0020060B" w:rsidP="0020060B">
            <w:pPr>
              <w:spacing w:after="200" w:line="276" w:lineRule="auto"/>
              <w:rPr>
                <w:rFonts w:cs="Arial"/>
                <w:iCs/>
                <w:sz w:val="24"/>
                <w:szCs w:val="24"/>
              </w:rPr>
            </w:pPr>
            <w:r w:rsidRPr="0020060B">
              <w:rPr>
                <w:rFonts w:cs="Arial"/>
                <w:iCs/>
                <w:sz w:val="24"/>
                <w:szCs w:val="24"/>
              </w:rPr>
              <w:t>AS 4793</w:t>
            </w:r>
          </w:p>
        </w:tc>
        <w:tc>
          <w:tcPr>
            <w:tcW w:w="1950" w:type="dxa"/>
          </w:tcPr>
          <w:p w14:paraId="4886ED59" w14:textId="77777777" w:rsidR="0020060B" w:rsidRPr="0020060B" w:rsidRDefault="0020060B" w:rsidP="0020060B">
            <w:pPr>
              <w:spacing w:after="200" w:line="276" w:lineRule="auto"/>
              <w:rPr>
                <w:rFonts w:cs="Arial"/>
                <w:iCs/>
                <w:sz w:val="24"/>
                <w:szCs w:val="24"/>
              </w:rPr>
            </w:pPr>
            <w:r w:rsidRPr="0020060B">
              <w:rPr>
                <w:rFonts w:cs="Arial"/>
                <w:iCs/>
                <w:sz w:val="24"/>
                <w:szCs w:val="24"/>
              </w:rPr>
              <w:t>Body, Outlet</w:t>
            </w:r>
          </w:p>
        </w:tc>
        <w:tc>
          <w:tcPr>
            <w:tcW w:w="0" w:type="auto"/>
          </w:tcPr>
          <w:p w14:paraId="7B4C5ADA" w14:textId="77777777" w:rsidR="0020060B" w:rsidRPr="0020060B" w:rsidRDefault="0020060B" w:rsidP="0020060B">
            <w:pPr>
              <w:spacing w:after="200" w:line="276" w:lineRule="auto"/>
              <w:rPr>
                <w:rFonts w:cs="Arial"/>
                <w:iCs/>
                <w:sz w:val="24"/>
                <w:szCs w:val="24"/>
              </w:rPr>
            </w:pPr>
            <w:r w:rsidRPr="0020060B">
              <w:rPr>
                <w:rFonts w:cs="Arial"/>
                <w:iCs/>
                <w:sz w:val="24"/>
                <w:szCs w:val="24"/>
              </w:rPr>
              <w:t>C83600</w:t>
            </w:r>
          </w:p>
          <w:p w14:paraId="3B465023" w14:textId="77777777" w:rsidR="0020060B" w:rsidRPr="0020060B" w:rsidRDefault="0020060B" w:rsidP="0020060B">
            <w:pPr>
              <w:spacing w:after="200" w:line="276" w:lineRule="auto"/>
              <w:rPr>
                <w:rFonts w:cs="Arial"/>
                <w:iCs/>
                <w:sz w:val="24"/>
                <w:szCs w:val="24"/>
              </w:rPr>
            </w:pPr>
            <w:r w:rsidRPr="0020060B">
              <w:rPr>
                <w:rFonts w:cs="Arial"/>
                <w:iCs/>
                <w:sz w:val="24"/>
                <w:szCs w:val="24"/>
              </w:rPr>
              <w:t>C48600</w:t>
            </w:r>
          </w:p>
        </w:tc>
        <w:tc>
          <w:tcPr>
            <w:tcW w:w="0" w:type="auto"/>
          </w:tcPr>
          <w:p w14:paraId="137D1AC5" w14:textId="77777777" w:rsidR="0020060B" w:rsidRPr="0020060B" w:rsidRDefault="0020060B" w:rsidP="0020060B">
            <w:pPr>
              <w:spacing w:after="200" w:line="276" w:lineRule="auto"/>
              <w:rPr>
                <w:rFonts w:cs="Arial"/>
                <w:bCs/>
                <w:iCs/>
                <w:sz w:val="24"/>
                <w:szCs w:val="24"/>
              </w:rPr>
            </w:pPr>
            <w:r w:rsidRPr="0020060B">
              <w:rPr>
                <w:rFonts w:cs="Arial"/>
                <w:bCs/>
                <w:iCs/>
                <w:sz w:val="24"/>
                <w:szCs w:val="24"/>
              </w:rPr>
              <w:t>4% - 6%</w:t>
            </w:r>
          </w:p>
          <w:p w14:paraId="4178B90E" w14:textId="77777777" w:rsidR="0020060B" w:rsidRPr="0020060B" w:rsidRDefault="0020060B" w:rsidP="0020060B">
            <w:pPr>
              <w:spacing w:after="200" w:line="276" w:lineRule="auto"/>
              <w:rPr>
                <w:rFonts w:cs="Arial"/>
                <w:iCs/>
                <w:sz w:val="24"/>
                <w:szCs w:val="24"/>
              </w:rPr>
            </w:pPr>
            <w:r w:rsidRPr="0020060B">
              <w:rPr>
                <w:rFonts w:cs="Arial"/>
                <w:bCs/>
                <w:iCs/>
                <w:sz w:val="24"/>
                <w:szCs w:val="24"/>
              </w:rPr>
              <w:t>2.5%% - 6%</w:t>
            </w:r>
          </w:p>
        </w:tc>
      </w:tr>
      <w:tr w:rsidR="0020060B" w:rsidRPr="0020060B" w14:paraId="1291EAEE" w14:textId="77777777" w:rsidTr="005F1847">
        <w:trPr>
          <w:jc w:val="center"/>
        </w:trPr>
        <w:tc>
          <w:tcPr>
            <w:tcW w:w="0" w:type="auto"/>
          </w:tcPr>
          <w:p w14:paraId="357E5111" w14:textId="77777777" w:rsidR="0020060B" w:rsidRPr="0020060B" w:rsidRDefault="0020060B" w:rsidP="0020060B">
            <w:pPr>
              <w:spacing w:after="200" w:line="276" w:lineRule="auto"/>
              <w:rPr>
                <w:rFonts w:cs="Arial"/>
                <w:iCs/>
                <w:sz w:val="24"/>
                <w:szCs w:val="24"/>
              </w:rPr>
            </w:pPr>
            <w:r w:rsidRPr="0020060B">
              <w:rPr>
                <w:rFonts w:cs="Arial"/>
                <w:iCs/>
                <w:sz w:val="24"/>
                <w:szCs w:val="24"/>
              </w:rPr>
              <w:t>Meters</w:t>
            </w:r>
          </w:p>
        </w:tc>
        <w:tc>
          <w:tcPr>
            <w:tcW w:w="1876" w:type="dxa"/>
          </w:tcPr>
          <w:p w14:paraId="49F8C0BB" w14:textId="77777777" w:rsidR="0020060B" w:rsidRPr="0020060B" w:rsidRDefault="0020060B" w:rsidP="0020060B">
            <w:pPr>
              <w:spacing w:after="200" w:line="276" w:lineRule="auto"/>
              <w:rPr>
                <w:rFonts w:cs="Arial"/>
                <w:iCs/>
                <w:sz w:val="24"/>
                <w:szCs w:val="24"/>
              </w:rPr>
            </w:pPr>
            <w:r w:rsidRPr="0020060B">
              <w:rPr>
                <w:rFonts w:cs="Arial"/>
                <w:iCs/>
                <w:sz w:val="24"/>
                <w:szCs w:val="24"/>
              </w:rPr>
              <w:t>AS 3565</w:t>
            </w:r>
          </w:p>
        </w:tc>
        <w:tc>
          <w:tcPr>
            <w:tcW w:w="1950" w:type="dxa"/>
          </w:tcPr>
          <w:p w14:paraId="6706B1AE" w14:textId="77777777" w:rsidR="0020060B" w:rsidRPr="0020060B" w:rsidRDefault="0020060B" w:rsidP="0020060B">
            <w:pPr>
              <w:spacing w:after="200" w:line="276" w:lineRule="auto"/>
              <w:rPr>
                <w:rFonts w:cs="Arial"/>
                <w:iCs/>
                <w:sz w:val="24"/>
                <w:szCs w:val="24"/>
              </w:rPr>
            </w:pPr>
            <w:r w:rsidRPr="0020060B">
              <w:rPr>
                <w:rFonts w:cs="Arial"/>
                <w:iCs/>
                <w:sz w:val="24"/>
                <w:szCs w:val="24"/>
              </w:rPr>
              <w:t>Body</w:t>
            </w:r>
          </w:p>
        </w:tc>
        <w:tc>
          <w:tcPr>
            <w:tcW w:w="0" w:type="auto"/>
          </w:tcPr>
          <w:p w14:paraId="06DB41B2" w14:textId="77777777" w:rsidR="0020060B" w:rsidRPr="0020060B" w:rsidRDefault="0020060B" w:rsidP="0020060B">
            <w:pPr>
              <w:spacing w:after="200" w:line="276" w:lineRule="auto"/>
              <w:rPr>
                <w:rFonts w:cs="Arial"/>
                <w:iCs/>
                <w:sz w:val="24"/>
                <w:szCs w:val="24"/>
              </w:rPr>
            </w:pPr>
            <w:r w:rsidRPr="0020060B">
              <w:rPr>
                <w:rFonts w:cs="Arial"/>
                <w:iCs/>
                <w:sz w:val="24"/>
                <w:szCs w:val="24"/>
              </w:rPr>
              <w:t>Not specified</w:t>
            </w:r>
          </w:p>
        </w:tc>
        <w:tc>
          <w:tcPr>
            <w:tcW w:w="0" w:type="auto"/>
          </w:tcPr>
          <w:p w14:paraId="24740935" w14:textId="77777777" w:rsidR="0020060B" w:rsidRPr="0020060B" w:rsidRDefault="0020060B" w:rsidP="0020060B">
            <w:pPr>
              <w:spacing w:after="200" w:line="276" w:lineRule="auto"/>
              <w:rPr>
                <w:rFonts w:cs="Arial"/>
                <w:iCs/>
                <w:sz w:val="24"/>
                <w:szCs w:val="24"/>
              </w:rPr>
            </w:pPr>
            <w:r w:rsidRPr="0020060B">
              <w:rPr>
                <w:rFonts w:cs="Arial"/>
                <w:iCs/>
                <w:sz w:val="24"/>
                <w:szCs w:val="24"/>
              </w:rPr>
              <w:t>N/A</w:t>
            </w:r>
          </w:p>
        </w:tc>
      </w:tr>
      <w:tr w:rsidR="0020060B" w:rsidRPr="0020060B" w14:paraId="18B82E28" w14:textId="77777777" w:rsidTr="005F1847">
        <w:trPr>
          <w:jc w:val="center"/>
        </w:trPr>
        <w:tc>
          <w:tcPr>
            <w:tcW w:w="0" w:type="auto"/>
          </w:tcPr>
          <w:p w14:paraId="02EE7A8A" w14:textId="77777777" w:rsidR="0020060B" w:rsidRPr="0020060B" w:rsidRDefault="0020060B" w:rsidP="0020060B">
            <w:pPr>
              <w:spacing w:after="200" w:line="276" w:lineRule="auto"/>
              <w:rPr>
                <w:rFonts w:cs="Arial"/>
                <w:iCs/>
                <w:sz w:val="24"/>
                <w:szCs w:val="24"/>
              </w:rPr>
            </w:pPr>
            <w:r w:rsidRPr="0020060B">
              <w:rPr>
                <w:rFonts w:cs="Arial"/>
                <w:iCs/>
                <w:sz w:val="24"/>
                <w:szCs w:val="24"/>
              </w:rPr>
              <w:t>Ball Valves</w:t>
            </w:r>
          </w:p>
        </w:tc>
        <w:tc>
          <w:tcPr>
            <w:tcW w:w="1876" w:type="dxa"/>
          </w:tcPr>
          <w:p w14:paraId="11DFBDF4" w14:textId="77777777" w:rsidR="0020060B" w:rsidRPr="0020060B" w:rsidRDefault="0020060B" w:rsidP="0020060B">
            <w:pPr>
              <w:spacing w:after="200" w:line="276" w:lineRule="auto"/>
              <w:rPr>
                <w:rFonts w:cs="Arial"/>
                <w:iCs/>
                <w:sz w:val="24"/>
                <w:szCs w:val="24"/>
              </w:rPr>
            </w:pPr>
            <w:r w:rsidRPr="0020060B">
              <w:rPr>
                <w:rFonts w:cs="Arial"/>
                <w:iCs/>
                <w:sz w:val="24"/>
                <w:szCs w:val="24"/>
              </w:rPr>
              <w:t>AS 4796</w:t>
            </w:r>
          </w:p>
        </w:tc>
        <w:tc>
          <w:tcPr>
            <w:tcW w:w="1950" w:type="dxa"/>
          </w:tcPr>
          <w:p w14:paraId="4F86E780" w14:textId="77777777" w:rsidR="0020060B" w:rsidRPr="0020060B" w:rsidRDefault="0020060B" w:rsidP="0020060B">
            <w:pPr>
              <w:spacing w:after="200" w:line="276" w:lineRule="auto"/>
              <w:rPr>
                <w:rFonts w:cs="Arial"/>
                <w:iCs/>
                <w:sz w:val="24"/>
                <w:szCs w:val="24"/>
              </w:rPr>
            </w:pPr>
            <w:r w:rsidRPr="0020060B">
              <w:rPr>
                <w:rFonts w:cs="Arial"/>
                <w:iCs/>
                <w:sz w:val="24"/>
                <w:szCs w:val="24"/>
              </w:rPr>
              <w:t>Body</w:t>
            </w:r>
          </w:p>
        </w:tc>
        <w:tc>
          <w:tcPr>
            <w:tcW w:w="0" w:type="auto"/>
          </w:tcPr>
          <w:p w14:paraId="056BEA47" w14:textId="77777777" w:rsidR="0020060B" w:rsidRPr="0020060B" w:rsidRDefault="0020060B" w:rsidP="0020060B">
            <w:pPr>
              <w:spacing w:after="200" w:line="276" w:lineRule="auto"/>
              <w:rPr>
                <w:rFonts w:cs="Arial"/>
                <w:iCs/>
                <w:sz w:val="24"/>
                <w:szCs w:val="24"/>
              </w:rPr>
            </w:pPr>
            <w:r w:rsidRPr="0020060B">
              <w:rPr>
                <w:rFonts w:cs="Arial"/>
                <w:iCs/>
                <w:sz w:val="24"/>
                <w:szCs w:val="24"/>
              </w:rPr>
              <w:t>C37710</w:t>
            </w:r>
          </w:p>
          <w:p w14:paraId="180751EE" w14:textId="77777777" w:rsidR="0020060B" w:rsidRPr="0020060B" w:rsidRDefault="0020060B" w:rsidP="0020060B">
            <w:pPr>
              <w:spacing w:after="200" w:line="276" w:lineRule="auto"/>
              <w:rPr>
                <w:rFonts w:cs="Arial"/>
                <w:iCs/>
                <w:sz w:val="24"/>
                <w:szCs w:val="24"/>
              </w:rPr>
            </w:pPr>
            <w:r w:rsidRPr="0020060B">
              <w:rPr>
                <w:rFonts w:cs="Arial"/>
                <w:iCs/>
                <w:sz w:val="24"/>
                <w:szCs w:val="24"/>
              </w:rPr>
              <w:t>C83600</w:t>
            </w:r>
          </w:p>
        </w:tc>
        <w:tc>
          <w:tcPr>
            <w:tcW w:w="0" w:type="auto"/>
          </w:tcPr>
          <w:p w14:paraId="6BDECA69" w14:textId="77777777" w:rsidR="0020060B" w:rsidRPr="0020060B" w:rsidRDefault="0020060B" w:rsidP="0020060B">
            <w:pPr>
              <w:spacing w:after="200" w:line="276" w:lineRule="auto"/>
              <w:rPr>
                <w:rFonts w:cs="Arial"/>
                <w:iCs/>
                <w:sz w:val="24"/>
                <w:szCs w:val="24"/>
              </w:rPr>
            </w:pPr>
            <w:r w:rsidRPr="0020060B">
              <w:rPr>
                <w:rFonts w:cs="Arial"/>
                <w:bCs/>
                <w:iCs/>
                <w:sz w:val="24"/>
                <w:szCs w:val="24"/>
              </w:rPr>
              <w:t>1% - 3%</w:t>
            </w:r>
          </w:p>
          <w:p w14:paraId="5D080BC3" w14:textId="77777777" w:rsidR="0020060B" w:rsidRPr="0020060B" w:rsidRDefault="0020060B" w:rsidP="0020060B">
            <w:pPr>
              <w:spacing w:after="200" w:line="276" w:lineRule="auto"/>
              <w:rPr>
                <w:rFonts w:cs="Arial"/>
                <w:iCs/>
                <w:sz w:val="24"/>
                <w:szCs w:val="24"/>
              </w:rPr>
            </w:pPr>
            <w:r w:rsidRPr="0020060B">
              <w:rPr>
                <w:rFonts w:cs="Arial"/>
                <w:bCs/>
                <w:iCs/>
                <w:sz w:val="24"/>
                <w:szCs w:val="24"/>
              </w:rPr>
              <w:t>4% - 6%</w:t>
            </w:r>
          </w:p>
        </w:tc>
      </w:tr>
      <w:tr w:rsidR="0020060B" w:rsidRPr="0020060B" w14:paraId="1582808A" w14:textId="77777777" w:rsidTr="005F1847">
        <w:trPr>
          <w:jc w:val="center"/>
        </w:trPr>
        <w:tc>
          <w:tcPr>
            <w:tcW w:w="0" w:type="auto"/>
          </w:tcPr>
          <w:p w14:paraId="6CCF60BD" w14:textId="77777777" w:rsidR="0020060B" w:rsidRPr="0020060B" w:rsidRDefault="0020060B" w:rsidP="0020060B">
            <w:pPr>
              <w:spacing w:after="200" w:line="276" w:lineRule="auto"/>
              <w:rPr>
                <w:rFonts w:cs="Arial"/>
                <w:sz w:val="24"/>
                <w:szCs w:val="24"/>
              </w:rPr>
            </w:pPr>
            <w:r w:rsidRPr="0020060B">
              <w:rPr>
                <w:rFonts w:cs="Arial"/>
                <w:sz w:val="24"/>
                <w:szCs w:val="24"/>
              </w:rPr>
              <w:t>Automatic Control Valves</w:t>
            </w:r>
          </w:p>
        </w:tc>
        <w:tc>
          <w:tcPr>
            <w:tcW w:w="1876" w:type="dxa"/>
          </w:tcPr>
          <w:p w14:paraId="6ABF12F1" w14:textId="77777777" w:rsidR="0020060B" w:rsidRPr="0020060B" w:rsidRDefault="0020060B" w:rsidP="0020060B">
            <w:pPr>
              <w:spacing w:after="200" w:line="276" w:lineRule="auto"/>
              <w:rPr>
                <w:rFonts w:cs="Arial"/>
                <w:sz w:val="24"/>
                <w:szCs w:val="24"/>
              </w:rPr>
            </w:pPr>
            <w:r w:rsidRPr="0020060B">
              <w:rPr>
                <w:rFonts w:cs="Arial"/>
                <w:sz w:val="24"/>
                <w:szCs w:val="24"/>
              </w:rPr>
              <w:t>AS 5081</w:t>
            </w:r>
          </w:p>
        </w:tc>
        <w:tc>
          <w:tcPr>
            <w:tcW w:w="1950" w:type="dxa"/>
          </w:tcPr>
          <w:p w14:paraId="3F469120" w14:textId="77777777" w:rsidR="0020060B" w:rsidRPr="0020060B" w:rsidRDefault="0020060B" w:rsidP="0020060B">
            <w:pPr>
              <w:spacing w:after="200" w:line="276" w:lineRule="auto"/>
              <w:rPr>
                <w:rFonts w:cs="Arial"/>
                <w:sz w:val="24"/>
                <w:szCs w:val="24"/>
              </w:rPr>
            </w:pPr>
            <w:r w:rsidRPr="0020060B">
              <w:rPr>
                <w:rFonts w:cs="Arial"/>
                <w:sz w:val="24"/>
                <w:szCs w:val="24"/>
              </w:rPr>
              <w:t>Piston, Guide Bushings, Pilot Valve Body, Plug</w:t>
            </w:r>
          </w:p>
        </w:tc>
        <w:tc>
          <w:tcPr>
            <w:tcW w:w="0" w:type="auto"/>
          </w:tcPr>
          <w:p w14:paraId="113A4FD8" w14:textId="77777777" w:rsidR="0020060B" w:rsidRPr="0020060B" w:rsidRDefault="0020060B" w:rsidP="0020060B">
            <w:pPr>
              <w:spacing w:after="200" w:line="276" w:lineRule="auto"/>
              <w:rPr>
                <w:rFonts w:cs="Arial"/>
                <w:sz w:val="24"/>
                <w:szCs w:val="24"/>
              </w:rPr>
            </w:pPr>
            <w:r w:rsidRPr="0020060B">
              <w:rPr>
                <w:rFonts w:cs="Arial"/>
                <w:sz w:val="24"/>
                <w:szCs w:val="24"/>
              </w:rPr>
              <w:t>C90250</w:t>
            </w:r>
          </w:p>
          <w:p w14:paraId="0515D56F" w14:textId="77777777" w:rsidR="0020060B" w:rsidRPr="0020060B" w:rsidRDefault="0020060B" w:rsidP="0020060B">
            <w:pPr>
              <w:spacing w:after="200" w:line="276" w:lineRule="auto"/>
              <w:rPr>
                <w:rFonts w:cs="Arial"/>
                <w:sz w:val="24"/>
                <w:szCs w:val="24"/>
              </w:rPr>
            </w:pPr>
            <w:r w:rsidRPr="0020060B">
              <w:rPr>
                <w:rFonts w:cs="Arial"/>
                <w:sz w:val="24"/>
                <w:szCs w:val="24"/>
              </w:rPr>
              <w:t>C83600</w:t>
            </w:r>
          </w:p>
          <w:p w14:paraId="31A9AD23" w14:textId="77777777" w:rsidR="0020060B" w:rsidRPr="0020060B" w:rsidRDefault="0020060B" w:rsidP="0020060B">
            <w:pPr>
              <w:spacing w:after="200" w:line="276" w:lineRule="auto"/>
              <w:rPr>
                <w:rFonts w:cs="Arial"/>
                <w:sz w:val="24"/>
                <w:szCs w:val="24"/>
              </w:rPr>
            </w:pPr>
            <w:r w:rsidRPr="0020060B">
              <w:rPr>
                <w:rFonts w:cs="Arial"/>
                <w:sz w:val="24"/>
                <w:szCs w:val="24"/>
              </w:rPr>
              <w:t>C93500</w:t>
            </w:r>
          </w:p>
        </w:tc>
        <w:tc>
          <w:tcPr>
            <w:tcW w:w="0" w:type="auto"/>
          </w:tcPr>
          <w:p w14:paraId="5563D8D4" w14:textId="77777777" w:rsidR="0020060B" w:rsidRPr="0020060B" w:rsidRDefault="0020060B" w:rsidP="0020060B">
            <w:pPr>
              <w:spacing w:after="200" w:line="276" w:lineRule="auto"/>
              <w:rPr>
                <w:rFonts w:cs="Arial"/>
                <w:bCs/>
                <w:iCs/>
                <w:sz w:val="24"/>
                <w:szCs w:val="24"/>
              </w:rPr>
            </w:pPr>
            <w:r w:rsidRPr="0020060B">
              <w:rPr>
                <w:rFonts w:cs="Arial"/>
                <w:bCs/>
                <w:iCs/>
                <w:sz w:val="24"/>
                <w:szCs w:val="24"/>
              </w:rPr>
              <w:t>0.3%</w:t>
            </w:r>
          </w:p>
          <w:p w14:paraId="728210EF" w14:textId="77777777" w:rsidR="0020060B" w:rsidRPr="0020060B" w:rsidRDefault="0020060B" w:rsidP="0020060B">
            <w:pPr>
              <w:spacing w:after="200" w:line="276" w:lineRule="auto"/>
              <w:rPr>
                <w:rFonts w:cs="Arial"/>
                <w:bCs/>
                <w:iCs/>
                <w:sz w:val="24"/>
                <w:szCs w:val="24"/>
              </w:rPr>
            </w:pPr>
            <w:r w:rsidRPr="0020060B">
              <w:rPr>
                <w:rFonts w:cs="Arial"/>
                <w:bCs/>
                <w:iCs/>
                <w:sz w:val="24"/>
                <w:szCs w:val="24"/>
              </w:rPr>
              <w:t>4% - 6%</w:t>
            </w:r>
          </w:p>
          <w:p w14:paraId="02D08B74" w14:textId="77777777" w:rsidR="0020060B" w:rsidRPr="0020060B" w:rsidRDefault="0020060B" w:rsidP="0020060B">
            <w:pPr>
              <w:spacing w:after="200" w:line="276" w:lineRule="auto"/>
              <w:rPr>
                <w:rFonts w:cs="Arial"/>
                <w:sz w:val="24"/>
                <w:szCs w:val="24"/>
              </w:rPr>
            </w:pPr>
            <w:r w:rsidRPr="0020060B">
              <w:rPr>
                <w:rFonts w:cs="Arial"/>
                <w:bCs/>
                <w:iCs/>
                <w:sz w:val="24"/>
                <w:szCs w:val="24"/>
              </w:rPr>
              <w:t>-</w:t>
            </w:r>
          </w:p>
        </w:tc>
      </w:tr>
      <w:tr w:rsidR="0020060B" w:rsidRPr="0020060B" w14:paraId="44BC5541" w14:textId="77777777" w:rsidTr="005F1847">
        <w:trPr>
          <w:jc w:val="center"/>
        </w:trPr>
        <w:tc>
          <w:tcPr>
            <w:tcW w:w="0" w:type="auto"/>
          </w:tcPr>
          <w:p w14:paraId="4A89E5BB" w14:textId="77777777" w:rsidR="0020060B" w:rsidRPr="0020060B" w:rsidRDefault="0020060B" w:rsidP="0020060B">
            <w:pPr>
              <w:spacing w:after="200" w:line="276" w:lineRule="auto"/>
              <w:rPr>
                <w:rFonts w:cs="Arial"/>
                <w:sz w:val="24"/>
                <w:szCs w:val="24"/>
              </w:rPr>
            </w:pPr>
            <w:r w:rsidRPr="0020060B">
              <w:rPr>
                <w:rFonts w:cs="Arial"/>
                <w:sz w:val="24"/>
                <w:szCs w:val="24"/>
              </w:rPr>
              <w:t>Ferrules</w:t>
            </w:r>
          </w:p>
        </w:tc>
        <w:tc>
          <w:tcPr>
            <w:tcW w:w="1876" w:type="dxa"/>
          </w:tcPr>
          <w:p w14:paraId="273F1F3C" w14:textId="77777777" w:rsidR="0020060B" w:rsidRPr="0020060B" w:rsidRDefault="0020060B" w:rsidP="0020060B">
            <w:pPr>
              <w:spacing w:after="200" w:line="276" w:lineRule="auto"/>
              <w:rPr>
                <w:rFonts w:cs="Arial"/>
                <w:sz w:val="24"/>
                <w:szCs w:val="24"/>
              </w:rPr>
            </w:pPr>
            <w:r w:rsidRPr="0020060B">
              <w:rPr>
                <w:rFonts w:cs="Arial"/>
                <w:sz w:val="24"/>
                <w:szCs w:val="24"/>
              </w:rPr>
              <w:t>AS/NZS 3718</w:t>
            </w:r>
          </w:p>
          <w:p w14:paraId="3B9E14A4" w14:textId="77777777" w:rsidR="0020060B" w:rsidRPr="0020060B" w:rsidRDefault="0020060B" w:rsidP="0020060B">
            <w:pPr>
              <w:spacing w:after="200" w:line="276" w:lineRule="auto"/>
              <w:rPr>
                <w:rFonts w:cs="Arial"/>
                <w:sz w:val="24"/>
                <w:szCs w:val="24"/>
              </w:rPr>
            </w:pPr>
            <w:r w:rsidRPr="0020060B">
              <w:rPr>
                <w:rFonts w:cs="Arial"/>
                <w:sz w:val="24"/>
                <w:szCs w:val="24"/>
              </w:rPr>
              <w:t>AS 3496</w:t>
            </w:r>
          </w:p>
        </w:tc>
        <w:tc>
          <w:tcPr>
            <w:tcW w:w="1950" w:type="dxa"/>
          </w:tcPr>
          <w:p w14:paraId="3A8ABB3C" w14:textId="77777777" w:rsidR="0020060B" w:rsidRPr="0020060B" w:rsidRDefault="0020060B" w:rsidP="0020060B">
            <w:pPr>
              <w:spacing w:after="200" w:line="276" w:lineRule="auto"/>
              <w:rPr>
                <w:rFonts w:cs="Arial"/>
                <w:sz w:val="24"/>
                <w:szCs w:val="24"/>
              </w:rPr>
            </w:pPr>
            <w:r w:rsidRPr="0020060B">
              <w:rPr>
                <w:rFonts w:cs="Arial"/>
                <w:sz w:val="24"/>
                <w:szCs w:val="24"/>
              </w:rPr>
              <w:t>Body</w:t>
            </w:r>
          </w:p>
        </w:tc>
        <w:tc>
          <w:tcPr>
            <w:tcW w:w="0" w:type="auto"/>
          </w:tcPr>
          <w:p w14:paraId="773DB699" w14:textId="77777777" w:rsidR="0020060B" w:rsidRPr="0020060B" w:rsidRDefault="0020060B" w:rsidP="0020060B">
            <w:pPr>
              <w:spacing w:after="200" w:line="276" w:lineRule="auto"/>
              <w:rPr>
                <w:rFonts w:cs="Arial"/>
                <w:sz w:val="24"/>
                <w:szCs w:val="24"/>
              </w:rPr>
            </w:pPr>
            <w:r w:rsidRPr="0020060B">
              <w:rPr>
                <w:rFonts w:cs="Arial"/>
                <w:sz w:val="24"/>
                <w:szCs w:val="24"/>
              </w:rPr>
              <w:t>Not specified</w:t>
            </w:r>
          </w:p>
        </w:tc>
        <w:tc>
          <w:tcPr>
            <w:tcW w:w="0" w:type="auto"/>
          </w:tcPr>
          <w:p w14:paraId="15930891" w14:textId="77777777" w:rsidR="0020060B" w:rsidRPr="0020060B" w:rsidRDefault="0020060B" w:rsidP="0020060B">
            <w:pPr>
              <w:spacing w:after="200" w:line="276" w:lineRule="auto"/>
              <w:rPr>
                <w:rFonts w:cs="Arial"/>
                <w:sz w:val="24"/>
                <w:szCs w:val="24"/>
              </w:rPr>
            </w:pPr>
            <w:r w:rsidRPr="0020060B">
              <w:rPr>
                <w:rFonts w:cs="Arial"/>
                <w:sz w:val="24"/>
                <w:szCs w:val="24"/>
              </w:rPr>
              <w:t>N/A</w:t>
            </w:r>
          </w:p>
        </w:tc>
      </w:tr>
      <w:tr w:rsidR="0020060B" w:rsidRPr="0020060B" w14:paraId="79840011" w14:textId="77777777" w:rsidTr="005F1847">
        <w:trPr>
          <w:jc w:val="center"/>
        </w:trPr>
        <w:tc>
          <w:tcPr>
            <w:tcW w:w="0" w:type="auto"/>
          </w:tcPr>
          <w:p w14:paraId="081F6965" w14:textId="77777777" w:rsidR="0020060B" w:rsidRPr="0020060B" w:rsidRDefault="0020060B" w:rsidP="0020060B">
            <w:pPr>
              <w:spacing w:after="200" w:line="276" w:lineRule="auto"/>
              <w:rPr>
                <w:rFonts w:cs="Arial"/>
                <w:sz w:val="24"/>
                <w:szCs w:val="24"/>
              </w:rPr>
            </w:pPr>
            <w:r w:rsidRPr="0020060B">
              <w:rPr>
                <w:rFonts w:cs="Arial"/>
                <w:sz w:val="24"/>
                <w:szCs w:val="24"/>
              </w:rPr>
              <w:t>Bronze Gate Valves</w:t>
            </w:r>
          </w:p>
        </w:tc>
        <w:tc>
          <w:tcPr>
            <w:tcW w:w="1876" w:type="dxa"/>
          </w:tcPr>
          <w:p w14:paraId="381B05CF" w14:textId="77777777" w:rsidR="0020060B" w:rsidRPr="0020060B" w:rsidRDefault="0020060B" w:rsidP="0020060B">
            <w:pPr>
              <w:spacing w:after="200" w:line="276" w:lineRule="auto"/>
              <w:rPr>
                <w:rFonts w:cs="Arial"/>
                <w:sz w:val="24"/>
                <w:szCs w:val="24"/>
              </w:rPr>
            </w:pPr>
            <w:r w:rsidRPr="0020060B">
              <w:rPr>
                <w:rFonts w:cs="Arial"/>
                <w:sz w:val="24"/>
                <w:szCs w:val="24"/>
              </w:rPr>
              <w:t>AS 1628</w:t>
            </w:r>
          </w:p>
        </w:tc>
        <w:tc>
          <w:tcPr>
            <w:tcW w:w="1950" w:type="dxa"/>
          </w:tcPr>
          <w:p w14:paraId="7FBA9FED" w14:textId="77777777" w:rsidR="0020060B" w:rsidRPr="0020060B" w:rsidRDefault="0020060B" w:rsidP="0020060B">
            <w:pPr>
              <w:spacing w:after="200" w:line="276" w:lineRule="auto"/>
              <w:rPr>
                <w:rFonts w:cs="Arial"/>
                <w:sz w:val="24"/>
                <w:szCs w:val="24"/>
              </w:rPr>
            </w:pPr>
            <w:r w:rsidRPr="0020060B">
              <w:rPr>
                <w:rFonts w:cs="Arial"/>
                <w:sz w:val="24"/>
                <w:szCs w:val="24"/>
              </w:rPr>
              <w:t>Body</w:t>
            </w:r>
          </w:p>
        </w:tc>
        <w:tc>
          <w:tcPr>
            <w:tcW w:w="0" w:type="auto"/>
          </w:tcPr>
          <w:p w14:paraId="35963D1C" w14:textId="77777777" w:rsidR="0020060B" w:rsidRPr="0020060B" w:rsidRDefault="0020060B" w:rsidP="0020060B">
            <w:pPr>
              <w:spacing w:after="200" w:line="276" w:lineRule="auto"/>
              <w:rPr>
                <w:rFonts w:cs="Arial"/>
                <w:sz w:val="24"/>
                <w:szCs w:val="24"/>
              </w:rPr>
            </w:pPr>
            <w:r w:rsidRPr="0020060B">
              <w:rPr>
                <w:rFonts w:cs="Arial"/>
                <w:sz w:val="24"/>
                <w:szCs w:val="24"/>
              </w:rPr>
              <w:t>Not specified</w:t>
            </w:r>
          </w:p>
        </w:tc>
        <w:tc>
          <w:tcPr>
            <w:tcW w:w="0" w:type="auto"/>
          </w:tcPr>
          <w:p w14:paraId="5FB3384E" w14:textId="77777777" w:rsidR="0020060B" w:rsidRPr="0020060B" w:rsidRDefault="0020060B" w:rsidP="0020060B">
            <w:pPr>
              <w:spacing w:after="200" w:line="276" w:lineRule="auto"/>
              <w:rPr>
                <w:rFonts w:cs="Arial"/>
                <w:sz w:val="24"/>
                <w:szCs w:val="24"/>
              </w:rPr>
            </w:pPr>
            <w:r w:rsidRPr="0020060B">
              <w:rPr>
                <w:rFonts w:cs="Arial"/>
                <w:sz w:val="24"/>
                <w:szCs w:val="24"/>
              </w:rPr>
              <w:t>N/A</w:t>
            </w:r>
          </w:p>
        </w:tc>
      </w:tr>
      <w:tr w:rsidR="0020060B" w:rsidRPr="0020060B" w14:paraId="6AD203A3" w14:textId="77777777" w:rsidTr="005F1847">
        <w:trPr>
          <w:jc w:val="center"/>
        </w:trPr>
        <w:tc>
          <w:tcPr>
            <w:tcW w:w="0" w:type="auto"/>
          </w:tcPr>
          <w:p w14:paraId="5803966B" w14:textId="77777777" w:rsidR="0020060B" w:rsidRPr="0020060B" w:rsidRDefault="0020060B" w:rsidP="0020060B">
            <w:pPr>
              <w:spacing w:after="200" w:line="276" w:lineRule="auto"/>
              <w:rPr>
                <w:rFonts w:cs="Arial"/>
                <w:sz w:val="24"/>
                <w:szCs w:val="24"/>
              </w:rPr>
            </w:pPr>
            <w:r w:rsidRPr="0020060B">
              <w:rPr>
                <w:rFonts w:cs="Arial"/>
                <w:sz w:val="24"/>
                <w:szCs w:val="24"/>
              </w:rPr>
              <w:t>Copper Pipe – Main to Meter</w:t>
            </w:r>
          </w:p>
        </w:tc>
        <w:tc>
          <w:tcPr>
            <w:tcW w:w="1876" w:type="dxa"/>
          </w:tcPr>
          <w:p w14:paraId="1CAE65A8" w14:textId="77777777" w:rsidR="0020060B" w:rsidRPr="0020060B" w:rsidRDefault="0020060B" w:rsidP="0020060B">
            <w:pPr>
              <w:spacing w:after="200" w:line="276" w:lineRule="auto"/>
              <w:rPr>
                <w:rFonts w:cs="Arial"/>
                <w:sz w:val="24"/>
                <w:szCs w:val="24"/>
              </w:rPr>
            </w:pPr>
            <w:r w:rsidRPr="0020060B">
              <w:rPr>
                <w:rFonts w:cs="Arial"/>
                <w:sz w:val="24"/>
                <w:szCs w:val="24"/>
              </w:rPr>
              <w:t>AS 1432</w:t>
            </w:r>
          </w:p>
        </w:tc>
        <w:tc>
          <w:tcPr>
            <w:tcW w:w="1950" w:type="dxa"/>
          </w:tcPr>
          <w:p w14:paraId="697EAF40" w14:textId="77777777" w:rsidR="0020060B" w:rsidRPr="0020060B" w:rsidRDefault="0020060B" w:rsidP="0020060B">
            <w:pPr>
              <w:spacing w:after="200" w:line="276" w:lineRule="auto"/>
              <w:rPr>
                <w:rFonts w:cs="Arial"/>
                <w:sz w:val="24"/>
                <w:szCs w:val="24"/>
              </w:rPr>
            </w:pPr>
            <w:r w:rsidRPr="0020060B">
              <w:rPr>
                <w:rFonts w:cs="Arial"/>
                <w:sz w:val="24"/>
                <w:szCs w:val="24"/>
              </w:rPr>
              <w:t>Pipe</w:t>
            </w:r>
          </w:p>
        </w:tc>
        <w:tc>
          <w:tcPr>
            <w:tcW w:w="0" w:type="auto"/>
          </w:tcPr>
          <w:p w14:paraId="3C16268E" w14:textId="77777777" w:rsidR="0020060B" w:rsidRPr="0020060B" w:rsidRDefault="0020060B" w:rsidP="0020060B">
            <w:pPr>
              <w:spacing w:after="200" w:line="276" w:lineRule="auto"/>
              <w:rPr>
                <w:rFonts w:cs="Arial"/>
                <w:sz w:val="24"/>
                <w:szCs w:val="24"/>
              </w:rPr>
            </w:pPr>
            <w:r w:rsidRPr="0020060B">
              <w:rPr>
                <w:rFonts w:cs="Arial"/>
                <w:sz w:val="24"/>
                <w:szCs w:val="24"/>
              </w:rPr>
              <w:t>C12200</w:t>
            </w:r>
          </w:p>
        </w:tc>
        <w:tc>
          <w:tcPr>
            <w:tcW w:w="0" w:type="auto"/>
          </w:tcPr>
          <w:p w14:paraId="38D1FC8A" w14:textId="77777777" w:rsidR="0020060B" w:rsidRPr="0020060B" w:rsidRDefault="0020060B" w:rsidP="0020060B">
            <w:pPr>
              <w:spacing w:after="200" w:line="276" w:lineRule="auto"/>
              <w:rPr>
                <w:rFonts w:cs="Arial"/>
                <w:sz w:val="24"/>
                <w:szCs w:val="24"/>
              </w:rPr>
            </w:pPr>
            <w:r w:rsidRPr="0020060B">
              <w:rPr>
                <w:rFonts w:cs="Arial"/>
                <w:bCs/>
                <w:iCs/>
                <w:sz w:val="24"/>
                <w:szCs w:val="24"/>
              </w:rPr>
              <w:t>Nil</w:t>
            </w:r>
          </w:p>
        </w:tc>
      </w:tr>
      <w:tr w:rsidR="0020060B" w:rsidRPr="0020060B" w14:paraId="4742A9E4" w14:textId="77777777" w:rsidTr="005F1847">
        <w:trPr>
          <w:jc w:val="center"/>
        </w:trPr>
        <w:tc>
          <w:tcPr>
            <w:tcW w:w="0" w:type="auto"/>
          </w:tcPr>
          <w:p w14:paraId="15E26553" w14:textId="77777777" w:rsidR="0020060B" w:rsidRPr="0020060B" w:rsidRDefault="0020060B" w:rsidP="0020060B">
            <w:pPr>
              <w:spacing w:after="200" w:line="276" w:lineRule="auto"/>
              <w:rPr>
                <w:rFonts w:cs="Arial"/>
                <w:sz w:val="24"/>
                <w:szCs w:val="24"/>
              </w:rPr>
            </w:pPr>
            <w:r w:rsidRPr="0020060B">
              <w:rPr>
                <w:rFonts w:cs="Arial"/>
                <w:sz w:val="24"/>
                <w:szCs w:val="24"/>
              </w:rPr>
              <w:t>Miscellaneous Fittings and Connectors</w:t>
            </w:r>
          </w:p>
        </w:tc>
        <w:tc>
          <w:tcPr>
            <w:tcW w:w="1876" w:type="dxa"/>
          </w:tcPr>
          <w:p w14:paraId="2955E437" w14:textId="77777777" w:rsidR="0020060B" w:rsidRPr="0020060B" w:rsidRDefault="0020060B" w:rsidP="0020060B">
            <w:pPr>
              <w:spacing w:after="200" w:line="276" w:lineRule="auto"/>
              <w:rPr>
                <w:rFonts w:cs="Arial"/>
                <w:sz w:val="24"/>
                <w:szCs w:val="24"/>
              </w:rPr>
            </w:pPr>
            <w:r w:rsidRPr="0020060B">
              <w:rPr>
                <w:rFonts w:cs="Arial"/>
                <w:sz w:val="24"/>
                <w:szCs w:val="24"/>
              </w:rPr>
              <w:t>AS 3688</w:t>
            </w:r>
          </w:p>
        </w:tc>
        <w:tc>
          <w:tcPr>
            <w:tcW w:w="1950" w:type="dxa"/>
          </w:tcPr>
          <w:p w14:paraId="5F20DB42" w14:textId="77777777" w:rsidR="0020060B" w:rsidRPr="0020060B" w:rsidRDefault="0020060B" w:rsidP="0020060B">
            <w:pPr>
              <w:spacing w:after="200" w:line="276" w:lineRule="auto"/>
              <w:rPr>
                <w:rFonts w:cs="Arial"/>
                <w:sz w:val="24"/>
                <w:szCs w:val="24"/>
              </w:rPr>
            </w:pPr>
            <w:r w:rsidRPr="0020060B">
              <w:rPr>
                <w:rFonts w:cs="Arial"/>
                <w:sz w:val="24"/>
                <w:szCs w:val="24"/>
              </w:rPr>
              <w:t>Body</w:t>
            </w:r>
          </w:p>
        </w:tc>
        <w:tc>
          <w:tcPr>
            <w:tcW w:w="0" w:type="auto"/>
          </w:tcPr>
          <w:p w14:paraId="0A88658C" w14:textId="77777777" w:rsidR="0020060B" w:rsidRPr="0020060B" w:rsidRDefault="0020060B" w:rsidP="0020060B">
            <w:pPr>
              <w:spacing w:after="200" w:line="276" w:lineRule="auto"/>
              <w:rPr>
                <w:rFonts w:cs="Arial"/>
                <w:sz w:val="24"/>
                <w:szCs w:val="24"/>
              </w:rPr>
            </w:pPr>
            <w:r w:rsidRPr="0020060B">
              <w:rPr>
                <w:rFonts w:cs="Arial"/>
                <w:sz w:val="24"/>
                <w:szCs w:val="24"/>
              </w:rPr>
              <w:t>Not specified</w:t>
            </w:r>
          </w:p>
        </w:tc>
        <w:tc>
          <w:tcPr>
            <w:tcW w:w="0" w:type="auto"/>
          </w:tcPr>
          <w:p w14:paraId="2DAC54EC" w14:textId="77777777" w:rsidR="0020060B" w:rsidRPr="0020060B" w:rsidRDefault="0020060B" w:rsidP="0020060B">
            <w:pPr>
              <w:spacing w:after="200" w:line="276" w:lineRule="auto"/>
              <w:rPr>
                <w:rFonts w:cs="Arial"/>
                <w:sz w:val="24"/>
                <w:szCs w:val="24"/>
              </w:rPr>
            </w:pPr>
            <w:r w:rsidRPr="0020060B">
              <w:rPr>
                <w:rFonts w:cs="Arial"/>
                <w:sz w:val="24"/>
                <w:szCs w:val="24"/>
              </w:rPr>
              <w:t>N/A</w:t>
            </w:r>
          </w:p>
        </w:tc>
      </w:tr>
    </w:tbl>
    <w:p w14:paraId="637C6698" w14:textId="77777777" w:rsidR="0020060B" w:rsidRPr="0037510E" w:rsidRDefault="0020060B" w:rsidP="00064661">
      <w:pPr>
        <w:rPr>
          <w:sz w:val="20"/>
          <w:szCs w:val="20"/>
        </w:rPr>
      </w:pPr>
      <w:r w:rsidRPr="0037510E">
        <w:rPr>
          <w:sz w:val="20"/>
          <w:szCs w:val="20"/>
        </w:rPr>
        <w:t>Source: WSAA (2020)</w:t>
      </w:r>
    </w:p>
    <w:p w14:paraId="3678BC19" w14:textId="77777777" w:rsidR="0020060B" w:rsidRPr="001B30D2" w:rsidRDefault="0020060B" w:rsidP="006A7248"/>
    <w:sectPr w:rsidR="0020060B" w:rsidRPr="001B30D2" w:rsidSect="00CA013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337BB" w14:textId="77777777" w:rsidR="00944D93" w:rsidRDefault="00944D93" w:rsidP="00AE1F7F">
      <w:pPr>
        <w:spacing w:after="0" w:line="240" w:lineRule="auto"/>
      </w:pPr>
      <w:r>
        <w:separator/>
      </w:r>
    </w:p>
  </w:endnote>
  <w:endnote w:type="continuationSeparator" w:id="0">
    <w:p w14:paraId="27233AAC" w14:textId="77777777" w:rsidR="00944D93" w:rsidRDefault="00944D93" w:rsidP="00AE1F7F">
      <w:pPr>
        <w:spacing w:after="0" w:line="240" w:lineRule="auto"/>
      </w:pPr>
      <w:r>
        <w:continuationSeparator/>
      </w:r>
    </w:p>
  </w:endnote>
  <w:endnote w:type="continuationNotice" w:id="1">
    <w:p w14:paraId="3573164D" w14:textId="77777777" w:rsidR="00944D93" w:rsidRDefault="00944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oolBor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970971207"/>
      <w:docPartObj>
        <w:docPartGallery w:val="Page Numbers (Bottom of Page)"/>
        <w:docPartUnique/>
      </w:docPartObj>
    </w:sdtPr>
    <w:sdtContent>
      <w:sdt>
        <w:sdtPr>
          <w:rPr>
            <w:rFonts w:asciiTheme="minorHAnsi" w:hAnsiTheme="minorHAnsi" w:cstheme="minorHAnsi"/>
          </w:rPr>
          <w:id w:val="659809363"/>
          <w:docPartObj>
            <w:docPartGallery w:val="Page Numbers (Top of Page)"/>
            <w:docPartUnique/>
          </w:docPartObj>
        </w:sdtPr>
        <w:sdtContent>
          <w:p w14:paraId="4ECC97A6" w14:textId="77777777" w:rsidR="00944D93" w:rsidRPr="00FB1FD6" w:rsidRDefault="00944D93" w:rsidP="00D742B0">
            <w:pPr>
              <w:pStyle w:val="Footer"/>
              <w:tabs>
                <w:tab w:val="left" w:pos="3557"/>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34CC3">
              <w:rPr>
                <w:rFonts w:cs="Arial"/>
              </w:rPr>
              <w:t xml:space="preserve">Page </w:t>
            </w:r>
            <w:r w:rsidRPr="00D34CC3">
              <w:rPr>
                <w:rFonts w:cs="Arial"/>
                <w:b/>
                <w:bCs/>
              </w:rPr>
              <w:fldChar w:fldCharType="begin"/>
            </w:r>
            <w:r w:rsidRPr="00D34CC3">
              <w:rPr>
                <w:rFonts w:cs="Arial"/>
                <w:b/>
                <w:bCs/>
              </w:rPr>
              <w:instrText xml:space="preserve"> PAGE </w:instrText>
            </w:r>
            <w:r w:rsidRPr="00D34CC3">
              <w:rPr>
                <w:rFonts w:cs="Arial"/>
                <w:b/>
                <w:bCs/>
              </w:rPr>
              <w:fldChar w:fldCharType="separate"/>
            </w:r>
            <w:r w:rsidR="000E3CEC">
              <w:rPr>
                <w:rFonts w:cs="Arial"/>
                <w:b/>
                <w:bCs/>
                <w:noProof/>
              </w:rPr>
              <w:t>21</w:t>
            </w:r>
            <w:r w:rsidRPr="00D34CC3">
              <w:rPr>
                <w:rFonts w:cs="Arial"/>
                <w:b/>
                <w:bCs/>
              </w:rPr>
              <w:fldChar w:fldCharType="end"/>
            </w:r>
            <w:r w:rsidRPr="00D34CC3">
              <w:rPr>
                <w:rFonts w:cs="Arial"/>
              </w:rPr>
              <w:t xml:space="preserve"> of </w:t>
            </w:r>
            <w:r w:rsidRPr="00D34CC3">
              <w:rPr>
                <w:rFonts w:cs="Arial"/>
                <w:b/>
                <w:bCs/>
              </w:rPr>
              <w:fldChar w:fldCharType="begin"/>
            </w:r>
            <w:r w:rsidRPr="00D34CC3">
              <w:rPr>
                <w:rFonts w:cs="Arial"/>
                <w:b/>
                <w:bCs/>
              </w:rPr>
              <w:instrText xml:space="preserve"> NUMPAGES  </w:instrText>
            </w:r>
            <w:r w:rsidRPr="00D34CC3">
              <w:rPr>
                <w:rFonts w:cs="Arial"/>
                <w:b/>
                <w:bCs/>
              </w:rPr>
              <w:fldChar w:fldCharType="separate"/>
            </w:r>
            <w:r w:rsidR="000E3CEC">
              <w:rPr>
                <w:rFonts w:cs="Arial"/>
                <w:b/>
                <w:bCs/>
                <w:noProof/>
              </w:rPr>
              <w:t>118</w:t>
            </w:r>
            <w:r w:rsidRPr="00D34CC3">
              <w:rPr>
                <w:rFonts w:cs="Arial"/>
                <w:b/>
                <w:bCs/>
              </w:rPr>
              <w:fldChar w:fldCharType="end"/>
            </w:r>
          </w:p>
        </w:sdtContent>
      </w:sdt>
    </w:sdtContent>
  </w:sdt>
  <w:p w14:paraId="19E2912D" w14:textId="77777777" w:rsidR="00944D93" w:rsidRDefault="00944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85EEB" w14:textId="77777777" w:rsidR="00944D93" w:rsidRDefault="00944D93" w:rsidP="00AE1F7F">
      <w:pPr>
        <w:spacing w:after="0" w:line="240" w:lineRule="auto"/>
      </w:pPr>
      <w:r>
        <w:separator/>
      </w:r>
    </w:p>
  </w:footnote>
  <w:footnote w:type="continuationSeparator" w:id="0">
    <w:p w14:paraId="5C8E63B7" w14:textId="77777777" w:rsidR="00944D93" w:rsidRDefault="00944D93" w:rsidP="00AE1F7F">
      <w:pPr>
        <w:spacing w:after="0" w:line="240" w:lineRule="auto"/>
      </w:pPr>
      <w:r>
        <w:continuationSeparator/>
      </w:r>
    </w:p>
  </w:footnote>
  <w:footnote w:type="continuationNotice" w:id="1">
    <w:p w14:paraId="1B885E63" w14:textId="77777777" w:rsidR="00944D93" w:rsidRDefault="00944D93">
      <w:pPr>
        <w:spacing w:after="0" w:line="240" w:lineRule="auto"/>
      </w:pPr>
    </w:p>
  </w:footnote>
  <w:footnote w:id="2">
    <w:p w14:paraId="56D17293" w14:textId="77777777" w:rsidR="00944D93" w:rsidRPr="00442DC7" w:rsidRDefault="00944D93" w:rsidP="001102FB">
      <w:pPr>
        <w:pStyle w:val="FootnoteText"/>
        <w:rPr>
          <w:rFonts w:cs="Arial"/>
          <w:sz w:val="16"/>
          <w:szCs w:val="16"/>
        </w:rPr>
      </w:pPr>
      <w:r w:rsidRPr="00C51AA9">
        <w:rPr>
          <w:rStyle w:val="FootnoteReference"/>
          <w:rFonts w:cs="Arial"/>
          <w:sz w:val="16"/>
          <w:szCs w:val="16"/>
        </w:rPr>
        <w:footnoteRef/>
      </w:r>
      <w:r w:rsidRPr="00442DC7">
        <w:rPr>
          <w:rFonts w:cs="Arial"/>
          <w:sz w:val="16"/>
          <w:szCs w:val="16"/>
        </w:rPr>
        <w:t xml:space="preserve"> Australian/New Zealand Standard 4020 (2018) Table 2: Maximum Allowable Concentrations of Metals. Page 15. SAI Global. </w:t>
      </w:r>
    </w:p>
  </w:footnote>
  <w:footnote w:id="3">
    <w:p w14:paraId="3C255E59"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World Health Organisation (2018) Lead poisoning and health. &gt;</w:t>
      </w:r>
      <w:hyperlink r:id="rId1" w:history="1">
        <w:r w:rsidRPr="00442DC7">
          <w:rPr>
            <w:rStyle w:val="Hyperlink"/>
            <w:rFonts w:cs="Arial"/>
            <w:sz w:val="16"/>
            <w:szCs w:val="16"/>
          </w:rPr>
          <w:t>https://www.who.int/news-room/fact-sheets/detail/lead-poisoning-and-health&lt;</w:t>
        </w:r>
      </w:hyperlink>
      <w:r w:rsidRPr="00442DC7">
        <w:rPr>
          <w:rFonts w:cs="Arial"/>
          <w:sz w:val="16"/>
          <w:szCs w:val="16"/>
        </w:rPr>
        <w:t xml:space="preserve"> Accessed 4 June 2020. </w:t>
      </w:r>
    </w:p>
  </w:footnote>
  <w:footnote w:id="4">
    <w:p w14:paraId="00A15A39" w14:textId="6D698519"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w:t>
      </w:r>
      <w:bookmarkStart w:id="10" w:name="_Hlk42174604"/>
      <w:r w:rsidRPr="00442DC7">
        <w:rPr>
          <w:rFonts w:cs="Arial"/>
          <w:sz w:val="16"/>
          <w:szCs w:val="16"/>
        </w:rPr>
        <w:t>World Health Organisation (2019) ‘Lead’. &gt;</w:t>
      </w:r>
      <w:hyperlink r:id="rId2" w:tooltip="World Health Organisation (2019) " w:history="1">
        <w:r w:rsidRPr="00442DC7">
          <w:rPr>
            <w:rStyle w:val="Hyperlink"/>
            <w:rFonts w:cs="Arial"/>
            <w:sz w:val="16"/>
            <w:szCs w:val="16"/>
          </w:rPr>
          <w:t>https://www.who.int/ipcs/assessment/public_health/lead/en/</w:t>
        </w:r>
      </w:hyperlink>
      <w:r w:rsidRPr="00442DC7">
        <w:rPr>
          <w:rFonts w:cs="Arial"/>
          <w:sz w:val="16"/>
          <w:szCs w:val="16"/>
        </w:rPr>
        <w:t xml:space="preserve"> Accessed 6 June 2020. </w:t>
      </w:r>
      <w:bookmarkEnd w:id="10"/>
    </w:p>
  </w:footnote>
  <w:footnote w:id="5">
    <w:p w14:paraId="490EE0AC" w14:textId="5673A4BF"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NHMRC (2015) ‘Evidence on the effects of lead on human health’ &gt;</w:t>
      </w:r>
      <w:hyperlink r:id="rId3" w:tooltip="NHMRC (2015) ‘Evidence on the effects of lead on human health’" w:history="1">
        <w:r w:rsidRPr="00442DC7">
          <w:rPr>
            <w:rStyle w:val="Hyperlink"/>
            <w:rFonts w:cs="Arial"/>
            <w:sz w:val="16"/>
            <w:szCs w:val="16"/>
            <w:lang w:val="en-US"/>
          </w:rPr>
          <w:t>https://www.nhmrc.gov.au/about-us/publications/evidence-effects-lead-human-health</w:t>
        </w:r>
      </w:hyperlink>
      <w:r w:rsidRPr="00442DC7">
        <w:rPr>
          <w:rFonts w:cs="Arial"/>
          <w:sz w:val="16"/>
          <w:szCs w:val="16"/>
          <w:lang w:val="en-US"/>
        </w:rPr>
        <w:t xml:space="preserve"> </w:t>
      </w:r>
      <w:r w:rsidRPr="00442DC7">
        <w:rPr>
          <w:rFonts w:cs="Arial"/>
          <w:color w:val="000000"/>
          <w:sz w:val="16"/>
          <w:szCs w:val="16"/>
        </w:rPr>
        <w:t xml:space="preserve">  </w:t>
      </w:r>
      <w:r w:rsidRPr="00442DC7">
        <w:rPr>
          <w:rFonts w:cs="Arial"/>
          <w:sz w:val="16"/>
          <w:szCs w:val="16"/>
        </w:rPr>
        <w:t>Accessed 6 June 2020.</w:t>
      </w:r>
      <w:r w:rsidRPr="00442DC7">
        <w:rPr>
          <w:rFonts w:cs="Arial"/>
          <w:color w:val="000000"/>
          <w:sz w:val="16"/>
          <w:szCs w:val="16"/>
        </w:rPr>
        <w:t xml:space="preserve"> </w:t>
      </w:r>
    </w:p>
  </w:footnote>
  <w:footnote w:id="6">
    <w:p w14:paraId="5ACE0784" w14:textId="6D21056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US </w:t>
      </w:r>
      <w:r w:rsidRPr="00442DC7">
        <w:rPr>
          <w:rFonts w:cs="Arial"/>
          <w:sz w:val="16"/>
          <w:szCs w:val="16"/>
          <w:lang w:val="en-US"/>
        </w:rPr>
        <w:t>Environmental Protection Agency (2019) ‘Basic Information about Lead in Drinking Water’ &gt;</w:t>
      </w:r>
      <w:hyperlink r:id="rId4" w:tooltip="US Environmental Protection Agency (2019) ‘Basic Information about Lead in Drinking Water" w:history="1">
        <w:r w:rsidRPr="00442DC7">
          <w:rPr>
            <w:rFonts w:cs="Arial"/>
            <w:color w:val="0000FF"/>
            <w:sz w:val="16"/>
            <w:szCs w:val="16"/>
          </w:rPr>
          <w:t>https://www.epa.gov/ground-water-and-drinking-water/basic-information-about-lead-drinking-water</w:t>
        </w:r>
      </w:hyperlink>
      <w:r w:rsidRPr="00442DC7">
        <w:rPr>
          <w:rFonts w:cs="Arial"/>
          <w:sz w:val="16"/>
          <w:szCs w:val="16"/>
        </w:rPr>
        <w:t xml:space="preserve">&lt; Accessed 2 August 2020. </w:t>
      </w:r>
    </w:p>
  </w:footnote>
  <w:footnote w:id="7">
    <w:p w14:paraId="2D0340E0" w14:textId="26153221"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w:t>
      </w:r>
      <w:r w:rsidRPr="00A348E2">
        <w:rPr>
          <w:rFonts w:cs="Arial"/>
          <w:sz w:val="16"/>
          <w:szCs w:val="16"/>
        </w:rPr>
        <w:t>Harvey, P. J., Handley, H. K., Taylor, M. P., (2016) ‘Widespread copper and lead contamination of household drinking water, New South Wales, Australia’. Environmental Research 2016, 151. Pages 275-285.</w:t>
      </w:r>
      <w:r>
        <w:rPr>
          <w:rFonts w:cs="Arial"/>
          <w:sz w:val="16"/>
          <w:szCs w:val="16"/>
        </w:rPr>
        <w:t xml:space="preserve"> (</w:t>
      </w:r>
      <w:r w:rsidRPr="00442DC7">
        <w:rPr>
          <w:rFonts w:cs="Arial"/>
          <w:sz w:val="16"/>
          <w:szCs w:val="16"/>
        </w:rPr>
        <w:t>Tests involved the sampling of first-draw water in the morning, when water had been in contact with fittings overnight.</w:t>
      </w:r>
      <w:r>
        <w:rPr>
          <w:rFonts w:cs="Arial"/>
          <w:sz w:val="16"/>
          <w:szCs w:val="16"/>
        </w:rPr>
        <w:t>)</w:t>
      </w:r>
      <w:r w:rsidRPr="00442DC7">
        <w:rPr>
          <w:rFonts w:cs="Arial"/>
          <w:sz w:val="16"/>
          <w:szCs w:val="16"/>
        </w:rPr>
        <w:t xml:space="preserve"> </w:t>
      </w:r>
    </w:p>
  </w:footnote>
  <w:footnote w:id="8">
    <w:p w14:paraId="70DC96C2" w14:textId="5E655598"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enHealth (2018) ‘enHealth Guidance Statement Lead in drinking water from some plumbing products’ </w:t>
      </w:r>
      <w:hyperlink r:id="rId5" w:tooltip="enHealth (2018) ‘enHealth Guidance Statement Lead in drinking water from some plumbing products" w:history="1">
        <w:r w:rsidRPr="00442DC7">
          <w:rPr>
            <w:rStyle w:val="Hyperlink"/>
            <w:rFonts w:cs="Arial"/>
            <w:sz w:val="16"/>
            <w:szCs w:val="16"/>
            <w:u w:val="none"/>
          </w:rPr>
          <w:t>https://www.health.gov.au/internet/main/publishing.nsf/content/A12B57E41EC9F326CA257BF0001F9E7D/$File/Lead-plumbing-products-Guidance-Statement-July2018.pdf</w:t>
        </w:r>
      </w:hyperlink>
      <w:r>
        <w:rPr>
          <w:rFonts w:cs="Arial"/>
          <w:sz w:val="16"/>
          <w:szCs w:val="16"/>
        </w:rPr>
        <w:t xml:space="preserve"> .</w:t>
      </w:r>
      <w:r w:rsidRPr="00442DC7">
        <w:rPr>
          <w:rFonts w:cs="Arial"/>
          <w:sz w:val="16"/>
          <w:szCs w:val="16"/>
        </w:rPr>
        <w:t xml:space="preserve"> Accessed 5 July 2020.</w:t>
      </w:r>
    </w:p>
  </w:footnote>
  <w:footnote w:id="9">
    <w:p w14:paraId="599071F5"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w:t>
      </w:r>
      <w:bookmarkStart w:id="13" w:name="_Hlk49519125"/>
      <w:r w:rsidRPr="00442DC7">
        <w:rPr>
          <w:rFonts w:cs="Arial"/>
          <w:sz w:val="16"/>
          <w:szCs w:val="16"/>
        </w:rPr>
        <w:t>Taylor, M. Harvey, P. &amp; Morrison, A. Lead in Plumbing Products and Materials. Macquarie University, NSW, Australia. ISBN: 978-1-74138-468-0</w:t>
      </w:r>
      <w:bookmarkEnd w:id="13"/>
    </w:p>
  </w:footnote>
  <w:footnote w:id="10">
    <w:p w14:paraId="1570A9FC"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For brass products, it is not possible to achieve zero percent lead due to small trace amounts in the raw materials. </w:t>
      </w:r>
    </w:p>
  </w:footnote>
  <w:footnote w:id="11">
    <w:p w14:paraId="1E35E431" w14:textId="78BB81F1"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(US) Environmental Protection Agency, Use of Lead-Free Pipes, Fittings, Fixtures, Solder and Flux for Drinking Water (2017)</w:t>
      </w:r>
      <w:r w:rsidRPr="00442DC7">
        <w:rPr>
          <w:rFonts w:cs="Arial"/>
          <w:sz w:val="16"/>
          <w:szCs w:val="16"/>
          <w:lang w:val="en-US"/>
        </w:rPr>
        <w:t xml:space="preserve"> </w:t>
      </w:r>
      <w:r w:rsidRPr="00442DC7">
        <w:rPr>
          <w:rFonts w:cs="Arial"/>
          <w:sz w:val="16"/>
          <w:szCs w:val="16"/>
        </w:rPr>
        <w:t>&gt;</w:t>
      </w:r>
      <w:hyperlink r:id="rId6" w:tooltip="(US) Environmental Protection Agency, Use of Lead-Free Pipes, Fittings, Fixtures, Solder and Flux for Drinking Water (2017) " w:history="1">
        <w:r w:rsidRPr="00442DC7">
          <w:rPr>
            <w:rStyle w:val="Hyperlink"/>
            <w:rFonts w:cs="Arial"/>
            <w:sz w:val="16"/>
            <w:szCs w:val="16"/>
            <w:u w:val="none"/>
          </w:rPr>
          <w:t>https://www.epa.gov/dwstandardsregulations/use-lead-free-pipes-fittings-fixtures-solder-and-flux-drinking-water</w:t>
        </w:r>
      </w:hyperlink>
      <w:r w:rsidRPr="00442DC7">
        <w:rPr>
          <w:rFonts w:cs="Arial"/>
          <w:sz w:val="16"/>
          <w:szCs w:val="16"/>
        </w:rPr>
        <w:t xml:space="preserve"> Accessed 29 May 2019.</w:t>
      </w:r>
    </w:p>
  </w:footnote>
  <w:footnote w:id="12">
    <w:p w14:paraId="147FF5C2"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Boverket’s Building Regulations 2019 (Sweden), Chapter 6.62.</w:t>
      </w:r>
    </w:p>
  </w:footnote>
  <w:footnote w:id="13">
    <w:p w14:paraId="0C03D1AC"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Government of Canada, Guidelines for Canadian Drinking Water Quality: Guideline Technical Document – Lead.</w:t>
      </w:r>
    </w:p>
  </w:footnote>
  <w:footnote w:id="14">
    <w:p w14:paraId="098F5DD3"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Tallowood Rise Water Consulting (2020) Potential changes to AS/NZS 4020: Testing for lead leaching.</w:t>
      </w:r>
    </w:p>
  </w:footnote>
  <w:footnote w:id="15">
    <w:p w14:paraId="5C0F0CD1"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bookmarkStart w:id="16" w:name="_Hlk49519056"/>
      <w:r w:rsidRPr="00442DC7">
        <w:rPr>
          <w:rFonts w:cs="Arial"/>
          <w:sz w:val="16"/>
          <w:szCs w:val="16"/>
        </w:rPr>
        <w:t xml:space="preserve">Taylor, M. Harvey, P. &amp; Morrison, A. Lead in Plumbing Products and Materials. Macquarie University.  </w:t>
      </w:r>
      <w:bookmarkEnd w:id="16"/>
    </w:p>
  </w:footnote>
  <w:footnote w:id="16">
    <w:p w14:paraId="486B8B5C" w14:textId="1573966B"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Test methods originated in AS 3855 – 1991 which has now been withdrawn and replaced with AS/NZS 4020 (2018). </w:t>
      </w:r>
    </w:p>
  </w:footnote>
  <w:footnote w:id="17">
    <w:p w14:paraId="60CE35AA" w14:textId="4C52A655"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Taylor, M. Harvey, P. &amp; Morrison, A. Lead in Plumbing Products and Mat</w:t>
      </w:r>
      <w:r>
        <w:rPr>
          <w:rFonts w:cs="Arial"/>
          <w:sz w:val="16"/>
          <w:szCs w:val="16"/>
        </w:rPr>
        <w:t xml:space="preserve">erials. Macquarie University. </w:t>
      </w:r>
      <w:r w:rsidRPr="00442DC7">
        <w:rPr>
          <w:rFonts w:cs="Arial"/>
          <w:sz w:val="16"/>
          <w:szCs w:val="16"/>
          <w:lang w:val="en-US"/>
        </w:rPr>
        <w:t xml:space="preserve">Page 13. </w:t>
      </w:r>
    </w:p>
  </w:footnote>
  <w:footnote w:id="18">
    <w:p w14:paraId="61EDB484"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color w:val="000000"/>
          <w:sz w:val="16"/>
          <w:szCs w:val="16"/>
          <w:shd w:val="clear" w:color="auto" w:fill="FFFFFF"/>
        </w:rPr>
        <w:t xml:space="preserve">Elfland C., Scardina P., Edwards M. (2010) Lead-contaminated water from brass plumbing devices in new buildings. </w:t>
      </w:r>
      <w:r w:rsidRPr="00442DC7">
        <w:rPr>
          <w:rStyle w:val="ref-journal"/>
          <w:rFonts w:cs="Arial"/>
          <w:color w:val="000000"/>
          <w:sz w:val="16"/>
          <w:szCs w:val="16"/>
        </w:rPr>
        <w:t xml:space="preserve">J. Am. Water Works Assoc. </w:t>
      </w:r>
      <w:r w:rsidRPr="00442DC7">
        <w:rPr>
          <w:rFonts w:cs="Arial"/>
          <w:color w:val="000000"/>
          <w:sz w:val="16"/>
          <w:szCs w:val="16"/>
        </w:rPr>
        <w:t xml:space="preserve">Pages </w:t>
      </w:r>
      <w:r w:rsidRPr="00442DC7">
        <w:rPr>
          <w:rStyle w:val="ref-vol"/>
          <w:rFonts w:cs="Arial"/>
          <w:color w:val="000000"/>
          <w:sz w:val="16"/>
          <w:szCs w:val="16"/>
        </w:rPr>
        <w:t>102</w:t>
      </w:r>
      <w:r w:rsidRPr="00442DC7">
        <w:rPr>
          <w:rFonts w:cs="Arial"/>
          <w:color w:val="000000"/>
          <w:sz w:val="16"/>
          <w:szCs w:val="16"/>
        </w:rPr>
        <w:t>:66–76.</w:t>
      </w:r>
    </w:p>
  </w:footnote>
  <w:footnote w:id="19">
    <w:p w14:paraId="77330C28"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4MS Joint Management Committee (2016). Acceptance of metallic materials used for products in contact with drinking water: 4MS Common Approach; Part A – Procedure for the acceptance Part B – 4MS Common Composition List-2nd Revision: 07.03.2016 Bundesministerium für Gesundheit (Deutschland).</w:t>
      </w:r>
    </w:p>
  </w:footnote>
  <w:footnote w:id="20">
    <w:p w14:paraId="7C66636C"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Switzer, J. A., et al. (2006). "Evidence that monochloramine disinfectant could lead to elevated Pb levels in drinking water." Environmental Science and Technology 40(10): 33843387.</w:t>
      </w:r>
    </w:p>
  </w:footnote>
  <w:footnote w:id="21">
    <w:p w14:paraId="7F01210A" w14:textId="447999CD"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Rapp, T. (2015) Materials and Products in Contact with Drinking Water Section II 3.4 Distribution of Drinking Water. Presentation notes available from: </w:t>
      </w:r>
      <w:hyperlink r:id="rId7" w:tooltip="Materials and Products in Contact with Drinking Water Section II 3.4 Distribution of Drinking Water. Presentation notes" w:history="1">
        <w:r w:rsidRPr="00442DC7">
          <w:rPr>
            <w:rStyle w:val="Hyperlink"/>
            <w:rFonts w:cs="Arial"/>
            <w:sz w:val="16"/>
            <w:szCs w:val="16"/>
            <w:u w:val="none"/>
          </w:rPr>
          <w:t>https://www.kupferinstitut.de/fileadmin/user_upload/kupferinstitut.de/de/Documents/techUnterstuetzung/4MS/2015/08_-_4MS_approach_for_metallic_materials_-_Rapp.pdf</w:t>
        </w:r>
      </w:hyperlink>
      <w:r w:rsidRPr="00442DC7">
        <w:rPr>
          <w:rFonts w:cs="Arial"/>
          <w:sz w:val="16"/>
          <w:szCs w:val="16"/>
        </w:rPr>
        <w:t xml:space="preserve"> </w:t>
      </w:r>
    </w:p>
  </w:footnote>
  <w:footnote w:id="22">
    <w:p w14:paraId="695D71BE"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Maynard, J. Mast, D. &amp; Kwan, P. (2008) Kinetics of lead release from brass faucets and water meters. </w:t>
      </w:r>
    </w:p>
  </w:footnote>
  <w:footnote w:id="23">
    <w:p w14:paraId="40E182A1" w14:textId="2D5E7A5C"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Rapp, T. (2015) Materials and Products in Contact with Drinking Water Section II 3.4 Distribution of Drinking Water. Presentation notes available from: </w:t>
      </w:r>
      <w:hyperlink r:id="rId8" w:tooltip="Rapp, T. (2015) Materials and Products in Contact with Drinking Water Section II 3.4 Distribution of Drinking Water. Presentation notes" w:history="1">
        <w:r w:rsidRPr="00442DC7">
          <w:rPr>
            <w:rStyle w:val="Hyperlink"/>
            <w:rFonts w:cs="Arial"/>
            <w:sz w:val="16"/>
            <w:szCs w:val="16"/>
            <w:u w:val="none"/>
          </w:rPr>
          <w:t>https://www.kupferinstitut.de/fileadmin/user_upload/kupferinstitut.de/de/Documents/techUnterstuetzung/4MS/2015/08_-_4MS_approach_for_metallic_materials_-_Rapp.pdf</w:t>
        </w:r>
      </w:hyperlink>
      <w:r w:rsidRPr="00442DC7">
        <w:rPr>
          <w:rFonts w:cs="Arial"/>
          <w:sz w:val="16"/>
          <w:szCs w:val="16"/>
        </w:rPr>
        <w:t xml:space="preserve"> </w:t>
      </w:r>
    </w:p>
  </w:footnote>
  <w:footnote w:id="24">
    <w:p w14:paraId="265D36F4"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CW 602 is a common type of brass used in Australia. </w:t>
      </w:r>
    </w:p>
  </w:footnote>
  <w:footnote w:id="25">
    <w:p w14:paraId="6111E7A9" w14:textId="77777777" w:rsidR="00944D93" w:rsidRPr="00442DC7" w:rsidRDefault="00944D93" w:rsidP="001102FB">
      <w:pPr>
        <w:spacing w:after="0"/>
        <w:ind w:left="284" w:hanging="284"/>
        <w:rPr>
          <w:rFonts w:cs="Arial"/>
          <w:sz w:val="16"/>
          <w:szCs w:val="16"/>
        </w:rPr>
      </w:pPr>
      <w:r w:rsidRPr="00442DC7">
        <w:rPr>
          <w:rStyle w:val="FootnoteReference"/>
          <w:rFonts w:cs="Arial"/>
          <w:sz w:val="16"/>
          <w:szCs w:val="16"/>
        </w:rPr>
        <w:footnoteRef/>
      </w:r>
      <w:r w:rsidRPr="00442DC7">
        <w:rPr>
          <w:rFonts w:cs="Arial"/>
          <w:sz w:val="16"/>
          <w:szCs w:val="16"/>
          <w:vertAlign w:val="superscript"/>
        </w:rPr>
        <w:t xml:space="preserve"> </w:t>
      </w:r>
      <w:r w:rsidRPr="00442DC7">
        <w:rPr>
          <w:rFonts w:cs="Arial"/>
          <w:sz w:val="16"/>
          <w:szCs w:val="16"/>
        </w:rPr>
        <w:t>Tam, Y S, Elefsiniotis P. (2009) Corrosion control in water supply systems: Effect of pH, alkalinity, and orthophosphate on lead and copper leaching from brass plumbing. Journal of Environmental Science and Health Part A. (44), 1251-1260.</w:t>
      </w:r>
    </w:p>
  </w:footnote>
  <w:footnote w:id="26">
    <w:p w14:paraId="06F12101" w14:textId="77777777" w:rsidR="00944D93" w:rsidRPr="00442DC7" w:rsidRDefault="00944D93" w:rsidP="001102FB">
      <w:pPr>
        <w:spacing w:after="0"/>
        <w:ind w:left="284" w:hanging="284"/>
        <w:rPr>
          <w:rFonts w:cs="Arial"/>
          <w:sz w:val="16"/>
          <w:szCs w:val="16"/>
        </w:rPr>
      </w:pPr>
      <w:r w:rsidRPr="00442DC7">
        <w:rPr>
          <w:rStyle w:val="FootnoteReference"/>
          <w:rFonts w:cs="Arial"/>
          <w:sz w:val="16"/>
          <w:szCs w:val="16"/>
        </w:rPr>
        <w:footnoteRef/>
      </w:r>
      <w:r w:rsidRPr="00442DC7">
        <w:rPr>
          <w:rFonts w:cs="Arial"/>
          <w:sz w:val="16"/>
          <w:szCs w:val="16"/>
        </w:rPr>
        <w:t xml:space="preserve"> Schock, M. R. Scheckel, K. G. DeSantis, M. Gerke, T. In Mode of occurrence, treatment, and monitoring significance of tetravalent lead, Water Quality Technology Conference, Quebec, Canada, 2005.</w:t>
      </w:r>
    </w:p>
  </w:footnote>
  <w:footnote w:id="27">
    <w:p w14:paraId="6B8BD856" w14:textId="77777777" w:rsidR="00944D93" w:rsidRPr="00442DC7" w:rsidRDefault="00944D93" w:rsidP="001102FB">
      <w:pPr>
        <w:spacing w:after="0"/>
        <w:rPr>
          <w:rFonts w:cs="Arial"/>
          <w:sz w:val="16"/>
          <w:szCs w:val="16"/>
          <w:lang w:val="en-US"/>
        </w:rPr>
      </w:pPr>
      <w:r w:rsidRPr="00442DC7">
        <w:rPr>
          <w:rFonts w:cs="Arial"/>
          <w:sz w:val="16"/>
          <w:szCs w:val="16"/>
          <w:vertAlign w:val="superscript"/>
        </w:rPr>
        <w:footnoteRef/>
      </w:r>
      <w:r w:rsidRPr="00442DC7">
        <w:rPr>
          <w:rFonts w:cs="Arial"/>
          <w:sz w:val="16"/>
          <w:szCs w:val="16"/>
          <w:vertAlign w:val="superscript"/>
        </w:rPr>
        <w:t xml:space="preserve"> </w:t>
      </w:r>
      <w:r w:rsidRPr="00442DC7">
        <w:rPr>
          <w:rFonts w:cs="Arial"/>
          <w:sz w:val="16"/>
          <w:szCs w:val="16"/>
        </w:rPr>
        <w:t>Australian Drinking Water Guidelines (2011) Chapter 10. Page 188.</w:t>
      </w:r>
      <w:r w:rsidRPr="00442DC7">
        <w:rPr>
          <w:rFonts w:cs="Arial"/>
          <w:sz w:val="16"/>
          <w:szCs w:val="16"/>
          <w:lang w:val="en-US"/>
        </w:rPr>
        <w:t xml:space="preserve"> </w:t>
      </w:r>
    </w:p>
  </w:footnote>
  <w:footnote w:id="28">
    <w:p w14:paraId="6EF74530" w14:textId="76D58BFF"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Yale University (2020) Environmental Performance Index. &gt;</w:t>
      </w:r>
      <w:hyperlink r:id="rId9" w:tooltip="Yale University (2020) Environmental Performance Index" w:history="1">
        <w:r w:rsidRPr="00442DC7">
          <w:rPr>
            <w:rStyle w:val="Hyperlink"/>
            <w:rFonts w:cs="Arial"/>
            <w:sz w:val="16"/>
            <w:szCs w:val="16"/>
            <w:u w:val="none"/>
            <w:lang w:val="en-US"/>
          </w:rPr>
          <w:t>https://epi.envirocenter.yale.edu/epi-country-report/AUS&lt;</w:t>
        </w:r>
      </w:hyperlink>
      <w:r w:rsidRPr="00442DC7">
        <w:rPr>
          <w:rFonts w:cs="Arial"/>
          <w:sz w:val="16"/>
          <w:szCs w:val="16"/>
          <w:lang w:val="en-US"/>
        </w:rPr>
        <w:t xml:space="preserve"> Accessed 26 April 2020.</w:t>
      </w:r>
    </w:p>
  </w:footnote>
  <w:footnote w:id="29">
    <w:p w14:paraId="1F263CA6"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Hasan, T. (2019) ‘Determining safe drinking water’. Water e-Journal Vol 4 No 2 2019.</w:t>
      </w:r>
    </w:p>
  </w:footnote>
  <w:footnote w:id="30">
    <w:p w14:paraId="18F169AC" w14:textId="603B24C3"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Global Open Data Index (2016) Water Quality – Australia. &gt;</w:t>
      </w:r>
      <w:hyperlink r:id="rId10" w:tooltip="Global Open Data Index (2016) Water Quality – Australia" w:history="1">
        <w:r w:rsidRPr="00442DC7">
          <w:rPr>
            <w:rStyle w:val="Hyperlink"/>
            <w:rFonts w:cs="Arial"/>
            <w:sz w:val="16"/>
            <w:szCs w:val="16"/>
            <w:u w:val="none"/>
            <w:lang w:val="en-US"/>
          </w:rPr>
          <w:t>https://index.okfn.org/place/au/water/</w:t>
        </w:r>
      </w:hyperlink>
      <w:r w:rsidRPr="00442DC7">
        <w:rPr>
          <w:rFonts w:cs="Arial"/>
          <w:sz w:val="16"/>
          <w:szCs w:val="16"/>
          <w:lang w:val="en-US"/>
        </w:rPr>
        <w:t xml:space="preserve"> Accessed 21 April 2020.</w:t>
      </w:r>
    </w:p>
  </w:footnote>
  <w:footnote w:id="31">
    <w:p w14:paraId="006FBC43"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Australian Drinking Water Guidelines (2011) Page 1102. </w:t>
      </w:r>
    </w:p>
  </w:footnote>
  <w:footnote w:id="32">
    <w:p w14:paraId="6AE9B545"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World Health Organisation (2009) Lead in Drinking Water: Background document for development of WHO Guidelines for Drinking-water Quality. Page 2. </w:t>
      </w:r>
    </w:p>
  </w:footnote>
  <w:footnote w:id="33">
    <w:p w14:paraId="22DC1127"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Taylor, M. Harvey, P. &amp; Morrison, A. Lead in Plumbing Products and Materials. Macquarie University, NSW, Australia. ISBN: 978-1-74138-468-0</w:t>
      </w:r>
    </w:p>
  </w:footnote>
  <w:footnote w:id="34">
    <w:p w14:paraId="6F8ACD06"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WA Department of Health (2017) ‘Report on Perth Children’s Hospital Potable Water Chief Health Officer Review’.</w:t>
      </w:r>
    </w:p>
  </w:footnote>
  <w:footnote w:id="35">
    <w:p w14:paraId="3AE84070"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Curtain University (2017) ’</w:t>
      </w:r>
      <w:r w:rsidRPr="00442DC7">
        <w:rPr>
          <w:rFonts w:cs="Arial"/>
          <w:sz w:val="16"/>
          <w:szCs w:val="16"/>
        </w:rPr>
        <w:t>Analysis of Brass Fittings Collected 12/07/17 from Potable Water System of the New Perth Children’s Hospital’.</w:t>
      </w:r>
    </w:p>
  </w:footnote>
  <w:footnote w:id="36">
    <w:p w14:paraId="7AFCD9D5" w14:textId="69134710"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ABC (2018) ‘Geelong water fountains shut off water fountains shut off over unsafe lead levels’ &gt;</w:t>
      </w:r>
      <w:hyperlink r:id="rId11" w:tooltip="ABC (2018) ‘Geelong water fountains shut off water fountains shut off over unsafe lead levels’" w:history="1">
        <w:r w:rsidRPr="00442DC7">
          <w:rPr>
            <w:rStyle w:val="Hyperlink"/>
            <w:rFonts w:cs="Arial"/>
            <w:sz w:val="16"/>
            <w:szCs w:val="16"/>
            <w:u w:val="none"/>
          </w:rPr>
          <w:t>https://www.abc.net.au/news/2018-05-16/geelong-water-fountains-shut-off-over-unsafe-lead-levels/9768252</w:t>
        </w:r>
      </w:hyperlink>
      <w:r w:rsidRPr="00442DC7">
        <w:rPr>
          <w:rFonts w:cs="Arial"/>
          <w:sz w:val="16"/>
          <w:szCs w:val="16"/>
        </w:rPr>
        <w:t xml:space="preserve"> Accessed 15 June 2020.</w:t>
      </w:r>
    </w:p>
  </w:footnote>
  <w:footnote w:id="37">
    <w:p w14:paraId="513DB5B7" w14:textId="0DB3DAE4"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Council News (2018) ‘Public drinking fountains re-open’ &gt;</w:t>
      </w:r>
      <w:hyperlink r:id="rId12" w:tooltip="Council News (2018) ‘Public drinking fountains re-open" w:history="1">
        <w:r w:rsidRPr="00442DC7">
          <w:rPr>
            <w:rStyle w:val="Hyperlink"/>
            <w:rFonts w:cs="Arial"/>
            <w:sz w:val="16"/>
            <w:szCs w:val="16"/>
            <w:u w:val="none"/>
          </w:rPr>
          <w:t>https://www.councilnews.com.au/2018/10/2348970-public-drinking-fountains-to-re-open&lt;</w:t>
        </w:r>
      </w:hyperlink>
      <w:r w:rsidRPr="00442DC7">
        <w:rPr>
          <w:rFonts w:cs="Arial"/>
          <w:sz w:val="16"/>
          <w:szCs w:val="16"/>
        </w:rPr>
        <w:t xml:space="preserve"> Accessed 15 June 2020.</w:t>
      </w:r>
    </w:p>
  </w:footnote>
  <w:footnote w:id="38">
    <w:p w14:paraId="477118B4" w14:textId="1FAD3ABF"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The Standard (2018) ‘Drinking taps shut off after elevated lead levels detected’ &gt;</w:t>
      </w:r>
      <w:hyperlink r:id="rId13" w:anchor=":~:text=Residents%20may%20notice%20that%20Warrnambool%27s,Lake%20Pertobe%2C%20parks%20and%20Aquazone.&lt;" w:tooltip="The Standard (2018) ‘Drinking taps shut off after elevated lead levels detected’ " w:history="1">
        <w:r w:rsidRPr="00442DC7">
          <w:rPr>
            <w:rStyle w:val="Hyperlink"/>
            <w:rFonts w:cs="Arial"/>
            <w:sz w:val="16"/>
            <w:szCs w:val="16"/>
            <w:u w:val="none"/>
          </w:rPr>
          <w:t>https://www.standard.net.au/story/5456354/drinking-taps-shut-off-after-slightly-elevated-lead-levels-detected/#:~:text=Residents%20may%20notice%20that%20Warrnambool%27s,Lake%20Pertobe%2C%20parks%20and%20Aquazone.&lt;</w:t>
        </w:r>
      </w:hyperlink>
      <w:r w:rsidRPr="00442DC7">
        <w:rPr>
          <w:rFonts w:cs="Arial"/>
          <w:sz w:val="16"/>
          <w:szCs w:val="16"/>
        </w:rPr>
        <w:t xml:space="preserve"> Accessed 4 September 2020. </w:t>
      </w:r>
    </w:p>
  </w:footnote>
  <w:footnote w:id="39">
    <w:p w14:paraId="58CD8875" w14:textId="3641F538"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World Health Organisation (2018) Lead poisoning and health. &gt; </w:t>
      </w:r>
      <w:hyperlink r:id="rId14" w:tooltip="World Health Organisation (2018) Lead poisoning and health" w:history="1">
        <w:r w:rsidRPr="00442DC7">
          <w:rPr>
            <w:rStyle w:val="Hyperlink"/>
            <w:rFonts w:cs="Arial"/>
            <w:color w:val="000000" w:themeColor="text1"/>
            <w:sz w:val="16"/>
            <w:szCs w:val="16"/>
            <w:u w:val="none"/>
          </w:rPr>
          <w:t>https://www.who.int/news-room/fact-sheets/detail/lead-poisoning-and-health</w:t>
        </w:r>
      </w:hyperlink>
      <w:r w:rsidR="003936DC">
        <w:rPr>
          <w:rStyle w:val="Hyperlink"/>
          <w:rFonts w:cs="Arial"/>
          <w:color w:val="000000" w:themeColor="text1"/>
          <w:sz w:val="16"/>
          <w:szCs w:val="16"/>
          <w:u w:val="none"/>
        </w:rPr>
        <w:t xml:space="preserve"> </w:t>
      </w:r>
      <w:r w:rsidRPr="00442DC7">
        <w:rPr>
          <w:rFonts w:cs="Arial"/>
          <w:sz w:val="16"/>
          <w:szCs w:val="16"/>
        </w:rPr>
        <w:t xml:space="preserve"> Accessed 4 September 2020. </w:t>
      </w:r>
    </w:p>
  </w:footnote>
  <w:footnote w:id="40">
    <w:p w14:paraId="5FF8CCE4" w14:textId="0C24D179"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World Health Organisation (2010) “Exposure to Lead: A Major Public Health Concern.”&gt;</w:t>
      </w:r>
      <w:hyperlink r:id="rId15" w:tooltip="World Health Organisation (2010) “Exposure to Lead: A Major Public Health Concern" w:history="1">
        <w:r w:rsidRPr="00442DC7">
          <w:rPr>
            <w:rStyle w:val="Hyperlink"/>
            <w:rFonts w:cs="Arial"/>
            <w:sz w:val="16"/>
            <w:szCs w:val="16"/>
            <w:u w:val="none"/>
          </w:rPr>
          <w:t>https://www.who.int/ipcs/features/lead..pdf</w:t>
        </w:r>
      </w:hyperlink>
      <w:r w:rsidRPr="00442DC7">
        <w:rPr>
          <w:rFonts w:cs="Arial"/>
          <w:sz w:val="16"/>
          <w:szCs w:val="16"/>
        </w:rPr>
        <w:t xml:space="preserve"> Accessed 18 May 2020. </w:t>
      </w:r>
    </w:p>
  </w:footnote>
  <w:footnote w:id="41">
    <w:p w14:paraId="66D91F3E" w14:textId="1776FCCC"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WHO (2007) Blood lead levels in children. Copenhagen, World Health Organization Regional Office for Europe, European Environment and Health Information System (Fact Sheet No. 4.5; </w:t>
      </w:r>
      <w:hyperlink r:id="rId16" w:tooltip="WHO (2007) Blood lead levels in children. Copenhagen, World Health Organization Regional Office for Europe, European Environment and Health Information System" w:history="1">
        <w:r w:rsidRPr="00442DC7">
          <w:rPr>
            <w:rStyle w:val="Hyperlink"/>
            <w:rFonts w:cs="Arial"/>
            <w:sz w:val="16"/>
            <w:szCs w:val="16"/>
            <w:u w:val="none"/>
          </w:rPr>
          <w:t>http://www.enhis.org/object_document/o4738n27387.html</w:t>
        </w:r>
      </w:hyperlink>
      <w:r w:rsidRPr="00442DC7">
        <w:rPr>
          <w:rFonts w:cs="Arial"/>
          <w:sz w:val="16"/>
          <w:szCs w:val="16"/>
        </w:rPr>
        <w:t>). Accessed 19 May 2020.</w:t>
      </w:r>
    </w:p>
  </w:footnote>
  <w:footnote w:id="42">
    <w:p w14:paraId="32907440"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IARC (2006). Summaries &amp; evaluations: Inorganic and organic lead compounds. Lyon, International Agency for Research on Cancer (IARC Monographs for the Evaluation of Carcinogenic Risks to Humans, Vol. 87.</w:t>
      </w:r>
    </w:p>
  </w:footnote>
  <w:footnote w:id="43">
    <w:p w14:paraId="6AC89636"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NHMRC (2015). NHMRC Information Paper: Evidence on the Effects of Lead on Human Health. Page 18. </w:t>
      </w:r>
    </w:p>
  </w:footnote>
  <w:footnote w:id="44">
    <w:p w14:paraId="2C378317" w14:textId="79D2351A" w:rsidR="00944D93" w:rsidRPr="00442DC7" w:rsidRDefault="00944D93" w:rsidP="001102FB">
      <w:pPr>
        <w:spacing w:after="0"/>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enHealth (2018) ‘enHealth Guidance Statement Lead in drinking water from some plumbing products’ </w:t>
      </w:r>
      <w:hyperlink r:id="rId17" w:tooltip="enHealth (2018) ‘enHealth Guidance Statement Lead in drinking water from some plumbing products" w:history="1">
        <w:r w:rsidRPr="00442DC7">
          <w:rPr>
            <w:rStyle w:val="Hyperlink"/>
            <w:rFonts w:cs="Arial"/>
            <w:sz w:val="16"/>
            <w:szCs w:val="16"/>
            <w:lang w:val="en-US"/>
          </w:rPr>
          <w:t>https://www.health.gov.au/internet/main/publishing.nsf/content/A12B57E41EC9F326CA257BF0001F9E7D/$File/Lead-plumbing-products-Guidance-Statement-July2018.pdf</w:t>
        </w:r>
      </w:hyperlink>
      <w:r w:rsidRPr="00442DC7">
        <w:rPr>
          <w:rFonts w:cs="Arial"/>
          <w:sz w:val="16"/>
          <w:szCs w:val="16"/>
          <w:lang w:val="en-US"/>
        </w:rPr>
        <w:t>&lt;  Accessed 3 December 2020.</w:t>
      </w:r>
    </w:p>
  </w:footnote>
  <w:footnote w:id="45">
    <w:p w14:paraId="68ACCB5D" w14:textId="6F60F9DD"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Department of Agriculture, Water and Environment (2020) Petrol fuel quality standard &gt;</w:t>
      </w:r>
      <w:hyperlink r:id="rId18" w:tooltip="Department of Agriculture, Water and Environment (2020) Petrol fuel quality standard " w:history="1">
        <w:r w:rsidRPr="00442DC7">
          <w:rPr>
            <w:rStyle w:val="Hyperlink"/>
            <w:rFonts w:cs="Arial"/>
            <w:sz w:val="16"/>
            <w:szCs w:val="16"/>
            <w:u w:val="none"/>
          </w:rPr>
          <w:t>https://www.environment.gov.au/protection/fuel-quality/standards/petrol&lt;</w:t>
        </w:r>
      </w:hyperlink>
      <w:r w:rsidRPr="00442DC7">
        <w:rPr>
          <w:rFonts w:cs="Arial"/>
          <w:sz w:val="16"/>
          <w:szCs w:val="16"/>
        </w:rPr>
        <w:t xml:space="preserve"> Accessed 12 June 2020. </w:t>
      </w:r>
    </w:p>
  </w:footnote>
  <w:footnote w:id="46">
    <w:p w14:paraId="4802AFF6" w14:textId="717B6A33"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Department of Agriculture, Water and Environment (2020) Lead in house paint &gt;</w:t>
      </w:r>
      <w:hyperlink r:id="rId19" w:history="1">
        <w:r w:rsidRPr="00442DC7">
          <w:rPr>
            <w:rFonts w:cs="Arial"/>
            <w:sz w:val="16"/>
            <w:szCs w:val="16"/>
          </w:rPr>
          <w:t xml:space="preserve"> </w:t>
        </w:r>
        <w:hyperlink r:id="rId20" w:tooltip="Department of Agriculture, Water and Environment (2020) Lead in house paint" w:history="1">
          <w:r w:rsidRPr="00442DC7">
            <w:rPr>
              <w:rStyle w:val="Hyperlink"/>
              <w:rFonts w:cs="Arial"/>
              <w:sz w:val="16"/>
              <w:szCs w:val="16"/>
              <w:u w:val="none"/>
            </w:rPr>
            <w:t>https://www.environment.gov.au/protection/chemicals-management/lead/lead-in-house-paint</w:t>
          </w:r>
        </w:hyperlink>
        <w:r w:rsidRPr="00442DC7">
          <w:rPr>
            <w:rStyle w:val="Hyperlink"/>
            <w:rFonts w:cs="Arial"/>
            <w:sz w:val="16"/>
            <w:szCs w:val="16"/>
            <w:u w:val="none"/>
          </w:rPr>
          <w:t>&lt;</w:t>
        </w:r>
      </w:hyperlink>
      <w:r w:rsidRPr="00442DC7">
        <w:rPr>
          <w:rFonts w:cs="Arial"/>
          <w:sz w:val="16"/>
          <w:szCs w:val="16"/>
        </w:rPr>
        <w:t xml:space="preserve"> Accessed 12 June 2020.</w:t>
      </w:r>
    </w:p>
  </w:footnote>
  <w:footnote w:id="47">
    <w:p w14:paraId="2A254FE7"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NHMRC Information Paper: Evidence on the Effects of Lead on Human Health. </w:t>
      </w:r>
    </w:p>
  </w:footnote>
  <w:footnote w:id="48">
    <w:p w14:paraId="74771B18" w14:textId="4C1E28C6"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Department of Health (2018) </w:t>
      </w:r>
      <w:r w:rsidRPr="00442DC7">
        <w:rPr>
          <w:rFonts w:cs="Arial"/>
          <w:color w:val="313131"/>
          <w:sz w:val="16"/>
          <w:szCs w:val="16"/>
          <w:shd w:val="clear" w:color="auto" w:fill="FFFFFF"/>
        </w:rPr>
        <w:t>Statement from Australia’s Chief Medical Officer, Professor Brendan Murphy, on lead in drinking water from some plumbing products and the enHealth Guidelines &gt;</w:t>
      </w:r>
      <w:hyperlink r:id="rId21" w:tooltip="Department of Health (2018) Statement from Australia’s Chief Medical Officer, Professor Brendan Murphy, on lead in drinking water from some plumbing products and the enHealth Guidelines" w:history="1">
        <w:r w:rsidRPr="00442DC7">
          <w:rPr>
            <w:rStyle w:val="Hyperlink"/>
            <w:rFonts w:cs="Arial"/>
            <w:sz w:val="16"/>
            <w:szCs w:val="16"/>
            <w:shd w:val="clear" w:color="auto" w:fill="FFFFFF"/>
          </w:rPr>
          <w:t>https://www.health.gov.au/news/statement-from-australias-chief-medical-officer-professor-brendan-murphy-on-lead-in-drinking-water-from-some-plumbing-products-and-the-enhealth-guidelines-0&lt;</w:t>
        </w:r>
      </w:hyperlink>
      <w:r w:rsidRPr="00442DC7">
        <w:rPr>
          <w:rFonts w:cs="Arial"/>
          <w:color w:val="313131"/>
          <w:sz w:val="16"/>
          <w:szCs w:val="16"/>
          <w:shd w:val="clear" w:color="auto" w:fill="FFFFFF"/>
        </w:rPr>
        <w:t xml:space="preserve"> Accessed 22 May 2020. </w:t>
      </w:r>
    </w:p>
  </w:footnote>
  <w:footnote w:id="49">
    <w:p w14:paraId="1857612E" w14:textId="7A66B836"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Victorian School Building Authority (2020) ‘Building Quality Standards Handbook’ &gt;</w:t>
      </w:r>
      <w:hyperlink r:id="rId22" w:tooltip="Victorian School Building Authority (2020) ‘Building Quality Standards Handbook’ " w:history="1">
        <w:r w:rsidRPr="00442DC7">
          <w:rPr>
            <w:rStyle w:val="Hyperlink"/>
            <w:rFonts w:cs="Arial"/>
            <w:sz w:val="16"/>
            <w:szCs w:val="16"/>
            <w:u w:val="none"/>
          </w:rPr>
          <w:t>https://www.education.vic.gov.au/Documents/school/principals/infrastructure/vsba-building-quality-handbook.pdf</w:t>
        </w:r>
      </w:hyperlink>
      <w:r w:rsidRPr="00442DC7">
        <w:rPr>
          <w:rFonts w:cs="Arial"/>
          <w:sz w:val="16"/>
          <w:szCs w:val="16"/>
        </w:rPr>
        <w:t xml:space="preserve">&lt; Page 121. Accessed 4 September 2020. </w:t>
      </w:r>
    </w:p>
  </w:footnote>
  <w:footnote w:id="50">
    <w:p w14:paraId="0CC51D87"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Some plumbing products not in contact with drinking water require WaterMark Certification but do not require compliance with AS/NZS 4020. </w:t>
      </w:r>
    </w:p>
  </w:footnote>
  <w:footnote w:id="51">
    <w:p w14:paraId="5A8406E1"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The Austrian Drinking Water Ordinance (Austria), 2001.</w:t>
      </w:r>
    </w:p>
  </w:footnote>
  <w:footnote w:id="52">
    <w:p w14:paraId="1608DADB"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Ordinance on Building Materials List ÖA (Austria), 2019.</w:t>
      </w:r>
    </w:p>
  </w:footnote>
  <w:footnote w:id="53">
    <w:p w14:paraId="6CC0B35C" w14:textId="338405C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bookmarkStart w:id="133" w:name="_Hlk54996745"/>
      <w:r w:rsidRPr="00442DC7">
        <w:rPr>
          <w:rFonts w:cs="Arial"/>
          <w:sz w:val="16"/>
          <w:szCs w:val="16"/>
        </w:rPr>
        <w:t>World Plumbing Council (2020) “New criteria for drinking water standard tightens lead leaching allowance for plumbing products. &gt;</w:t>
      </w:r>
      <w:hyperlink r:id="rId23" w:tooltip="World Plumbing Council (2020) “New criteria for drinking water standard tightens lead leaching allowance for plumbing products" w:history="1">
        <w:r w:rsidRPr="00442DC7">
          <w:rPr>
            <w:rStyle w:val="Hyperlink"/>
            <w:rFonts w:cs="Arial"/>
            <w:sz w:val="16"/>
            <w:szCs w:val="16"/>
          </w:rPr>
          <w:t>https://www.worldplumbing.org/https-www-globenewswire-com-news-release-2020-09-22-2097163-0-en-new-criteria-in-drinking-water-standard-tightens-lead-leaching-allowance-for-plumbing-products-html/</w:t>
        </w:r>
      </w:hyperlink>
      <w:bookmarkEnd w:id="133"/>
      <w:r w:rsidRPr="00442DC7">
        <w:rPr>
          <w:rFonts w:cs="Arial"/>
          <w:sz w:val="16"/>
          <w:szCs w:val="16"/>
        </w:rPr>
        <w:t xml:space="preserve">. Accessed 31 October 2020. </w:t>
      </w:r>
    </w:p>
  </w:footnote>
  <w:footnote w:id="54">
    <w:p w14:paraId="37ADCC47"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(Germany) Ordinance on the Quality of Water Intended for Human Consumption. Accessed 26 May 2020.</w:t>
      </w:r>
    </w:p>
  </w:footnote>
  <w:footnote w:id="55">
    <w:p w14:paraId="2182A360" w14:textId="337A7AC0"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Federal Ministry of Health (2018) Contents of Drinking Water Ordinance, &gt;</w:t>
      </w:r>
      <w:hyperlink r:id="rId24" w:tooltip="Federal Ministry of Health (2018) Contents of Drinking Water Ordinance," w:history="1">
        <w:r w:rsidRPr="00442DC7">
          <w:rPr>
            <w:rStyle w:val="Hyperlink"/>
            <w:rFonts w:cs="Arial"/>
            <w:sz w:val="16"/>
            <w:szCs w:val="16"/>
          </w:rPr>
          <w:t>https://www.bundesgesundheitsministerium.de/en/topics/drinking-water-ordinance.html&lt;</w:t>
        </w:r>
      </w:hyperlink>
      <w:r w:rsidRPr="00442DC7">
        <w:rPr>
          <w:rFonts w:cs="Arial"/>
          <w:sz w:val="16"/>
          <w:szCs w:val="16"/>
        </w:rPr>
        <w:t xml:space="preserve"> Accessed 26 May 2020.</w:t>
      </w:r>
    </w:p>
  </w:footnote>
  <w:footnote w:id="56">
    <w:p w14:paraId="2BC25CB6" w14:textId="33642F0B"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Ministry of Health, Labour and Welfare (2015) Drinking Water Quality Standards in Japan &gt;</w:t>
      </w:r>
      <w:hyperlink r:id="rId25" w:tooltip="Ministry of Health, Labour and Welfare (2015) Drinking Water Quality Standards in Japan" w:history="1">
        <w:r w:rsidRPr="00442DC7">
          <w:rPr>
            <w:rStyle w:val="Hyperlink"/>
            <w:rFonts w:cs="Arial"/>
            <w:sz w:val="16"/>
            <w:szCs w:val="16"/>
          </w:rPr>
          <w:t>https://www.mhlw.go.jp/english/policy/health/water_supply/dl/4a.pdf</w:t>
        </w:r>
      </w:hyperlink>
      <w:r w:rsidRPr="00442DC7">
        <w:rPr>
          <w:rFonts w:cs="Arial"/>
          <w:sz w:val="16"/>
          <w:szCs w:val="16"/>
        </w:rPr>
        <w:t xml:space="preserve"> Accessed 26 May 2020.</w:t>
      </w:r>
    </w:p>
  </w:footnote>
  <w:footnote w:id="57">
    <w:p w14:paraId="5A6B8CDB"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Ministry of Health (2002) Labour and Welfare, Ministerial Ordinance No. 43.</w:t>
      </w:r>
    </w:p>
  </w:footnote>
  <w:footnote w:id="58">
    <w:p w14:paraId="6B07861F"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Estelle, A. (2016) Drinking water lead regulations: impact on the brass value chain, Materials Science and Technology, vol.32, no.17, p. 1763-1770</w:t>
      </w:r>
    </w:p>
  </w:footnote>
  <w:footnote w:id="59">
    <w:p w14:paraId="1AB147ED"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The State Secretary for Infrastructure and the Environment, Government Gazette (2011) 11911 (Regulation of materials and chemicals for drinking and hot tap water).</w:t>
      </w:r>
    </w:p>
  </w:footnote>
  <w:footnote w:id="60">
    <w:p w14:paraId="1E2121E5"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Ministry of Health (2008) Drinking-Water Standards for New Zealand 2005.</w:t>
      </w:r>
    </w:p>
  </w:footnote>
  <w:footnote w:id="61">
    <w:p w14:paraId="781E1D03" w14:textId="37268E7F"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Ministry of Business (2014) Innovation &amp; Employment, Acceptable Solutions and Verification Methods for New Zealand Building Code G12 Water Supplies.</w:t>
      </w:r>
    </w:p>
  </w:footnote>
  <w:footnote w:id="62">
    <w:p w14:paraId="364BFF97"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C. J. Engelsen (2016) Short term leaching of Pb from products in contact with drinking water.</w:t>
      </w:r>
    </w:p>
  </w:footnote>
  <w:footnote w:id="63">
    <w:p w14:paraId="1C99154E" w14:textId="0101B6DF"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PUB, Drinking Water Quality (2018) </w:t>
      </w:r>
      <w:hyperlink r:id="rId26" w:tooltip="PUB, Drinking Water Quality (2018)" w:history="1">
        <w:r w:rsidRPr="00442DC7">
          <w:rPr>
            <w:rStyle w:val="Hyperlink"/>
            <w:rFonts w:cs="Arial"/>
            <w:sz w:val="16"/>
            <w:szCs w:val="16"/>
          </w:rPr>
          <w:t>https://www.pub.gov.sg/watersupply/waterquality/drinkingwater</w:t>
        </w:r>
      </w:hyperlink>
      <w:r w:rsidRPr="00442DC7">
        <w:rPr>
          <w:rFonts w:cs="Arial"/>
          <w:sz w:val="16"/>
          <w:szCs w:val="16"/>
        </w:rPr>
        <w:t>. Accessed 26 May 2020.</w:t>
      </w:r>
    </w:p>
  </w:footnote>
  <w:footnote w:id="64">
    <w:p w14:paraId="37D315D2"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PUB (2019) Stipulation of Standards &amp; Requirements for Water Fittings for Use in Potable Water Service Installations.</w:t>
      </w:r>
    </w:p>
  </w:footnote>
  <w:footnote w:id="65">
    <w:p w14:paraId="37F8F3E1"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(Sweden) </w:t>
      </w:r>
      <w:r w:rsidRPr="00442DC7">
        <w:rPr>
          <w:rFonts w:cs="Arial"/>
          <w:sz w:val="16"/>
          <w:szCs w:val="16"/>
          <w:lang w:val="en-US"/>
        </w:rPr>
        <w:t>Boverket’s Building Regulations (2019) Chapter 6.62.</w:t>
      </w:r>
    </w:p>
  </w:footnote>
  <w:footnote w:id="66">
    <w:p w14:paraId="64B0C95D"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The Swedish National Board of Housing, Building and Planning (2014) Impact Assessment BBR: Amendments to the Swedish National Board of Housing, Building and Planning’s Building Regulations (BBR) – Sections 1, 5, 6, 7 and 8.</w:t>
      </w:r>
    </w:p>
  </w:footnote>
  <w:footnote w:id="67">
    <w:p w14:paraId="6D29F1B0" w14:textId="61A1DA91"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Drinking Water Inspectorate (2017) What are the drinking water standards? </w:t>
      </w:r>
      <w:hyperlink r:id="rId27" w:tooltip="Drinking Water Inspectorate (2017) What are the drinking water standards?" w:history="1">
        <w:r w:rsidRPr="00442DC7">
          <w:rPr>
            <w:rStyle w:val="Hyperlink"/>
            <w:rFonts w:cs="Arial"/>
            <w:sz w:val="16"/>
            <w:szCs w:val="16"/>
            <w:u w:val="none"/>
          </w:rPr>
          <w:t>http://dwi.defra.gov.uk/consumers/advice-leaflets/standards.pdf</w:t>
        </w:r>
      </w:hyperlink>
      <w:r w:rsidRPr="00442DC7">
        <w:rPr>
          <w:rFonts w:cs="Arial"/>
          <w:sz w:val="16"/>
          <w:szCs w:val="16"/>
        </w:rPr>
        <w:t>. Accessed 16 May 2020.</w:t>
      </w:r>
    </w:p>
  </w:footnote>
  <w:footnote w:id="68">
    <w:p w14:paraId="7D29E545"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The Council of the European Union (1980) Council Directive 80/778/EEC.</w:t>
      </w:r>
    </w:p>
  </w:footnote>
  <w:footnote w:id="69">
    <w:p w14:paraId="4B4D7D7B"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The Council of the European Union (1998) Council Directive 98/83/EC.</w:t>
      </w:r>
    </w:p>
  </w:footnote>
  <w:footnote w:id="70">
    <w:p w14:paraId="76D3A36F" w14:textId="32A594A5"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Drinking Water Inspectorate (2019) Guidance to Water Companies. </w:t>
      </w:r>
      <w:hyperlink r:id="rId28" w:tooltip="Drinking Water Inspectorate (2019) Guidance to Water Companies." w:history="1">
        <w:r w:rsidRPr="00442DC7">
          <w:rPr>
            <w:rStyle w:val="Hyperlink"/>
            <w:rFonts w:cs="Arial"/>
            <w:sz w:val="16"/>
            <w:szCs w:val="16"/>
            <w:u w:val="none"/>
          </w:rPr>
          <w:t xml:space="preserve">http://www.dwi.gov.uk/stakeholders/guidance-and-codes-of-practice/wswq/intro.pdf </w:t>
        </w:r>
      </w:hyperlink>
      <w:r w:rsidRPr="00442DC7">
        <w:rPr>
          <w:rFonts w:cs="Arial"/>
          <w:sz w:val="16"/>
          <w:szCs w:val="16"/>
        </w:rPr>
        <w:t>. Accessed 16 May 2020.</w:t>
      </w:r>
    </w:p>
  </w:footnote>
  <w:footnote w:id="71">
    <w:p w14:paraId="3031CBAB"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(Scotland) Water Supply (Water Fittings) Byelaw (2014) Accessed 16 May 2020.</w:t>
      </w:r>
    </w:p>
  </w:footnote>
  <w:footnote w:id="72">
    <w:p w14:paraId="015F19CB" w14:textId="449AD75D"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Drinking Water Inspectorate (2019) Annex 2.3 – British Standards BS EN &amp; BS on the Influence of Materials on Water Intended for Human Consumption &gt;</w:t>
      </w:r>
      <w:hyperlink r:id="rId29" w:tooltip="Drinking Water Inspectorate (2019) Annex 2.3 – British Standards BS EN &amp; BS on the Influence of Materials on Water Intended for Human Consumption" w:history="1">
        <w:r w:rsidRPr="00442DC7">
          <w:rPr>
            <w:rStyle w:val="Hyperlink"/>
            <w:rFonts w:cs="Arial"/>
            <w:sz w:val="16"/>
            <w:szCs w:val="16"/>
          </w:rPr>
          <w:t>http://www.dwi.defra.gov.uk/drinking-water-products/approved-products/Annex2.pdf&lt;</w:t>
        </w:r>
      </w:hyperlink>
      <w:r w:rsidRPr="00442DC7">
        <w:rPr>
          <w:rFonts w:cs="Arial"/>
          <w:sz w:val="16"/>
          <w:szCs w:val="16"/>
        </w:rPr>
        <w:t xml:space="preserve"> Accessed 16 May 2020. </w:t>
      </w:r>
    </w:p>
  </w:footnote>
  <w:footnote w:id="73">
    <w:p w14:paraId="386D3CD7" w14:textId="222BBBFF"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German Environment Agency, Approval and Harmonization – 4MS Initiative (2017) &gt;</w:t>
      </w:r>
      <w:hyperlink r:id="rId30" w:tooltip="German Environment Agency, Approval and Harmonization – 4MS Initiative (2017) " w:history="1">
        <w:r w:rsidRPr="00442DC7">
          <w:rPr>
            <w:rStyle w:val="Hyperlink"/>
            <w:rFonts w:cs="Arial"/>
            <w:sz w:val="16"/>
            <w:szCs w:val="16"/>
          </w:rPr>
          <w:t>https://www.umweltbundesamt.de/en/topics/water/drinking-water/distributing-drinking-water/approval-harmonization-4ms-initiative</w:t>
        </w:r>
      </w:hyperlink>
      <w:r w:rsidRPr="00442DC7">
        <w:rPr>
          <w:rFonts w:cs="Arial"/>
          <w:sz w:val="16"/>
          <w:szCs w:val="16"/>
        </w:rPr>
        <w:t xml:space="preserve"> Accessed 17 May 2020.</w:t>
      </w:r>
    </w:p>
  </w:footnote>
  <w:footnote w:id="74">
    <w:p w14:paraId="51C3D182"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4MS Initiative (2019) Acceptance of Metallic Materials Used for Products in Contact with Drinking Water.</w:t>
      </w:r>
    </w:p>
  </w:footnote>
  <w:footnote w:id="75">
    <w:p w14:paraId="60493F84"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(US) Safe Drinking Water Act (2018) s1417.</w:t>
      </w:r>
    </w:p>
  </w:footnote>
  <w:footnote w:id="76">
    <w:p w14:paraId="75169C3E" w14:textId="1776B11D"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World Plumbing Council (2020) “New criteria for drinking water standard tightens lead leaching allowance for plumbing products. &gt;</w:t>
      </w:r>
      <w:hyperlink r:id="rId31" w:tooltip="World Plumbing Council (2020) “New criteria for drinking water standard tightens lead leaching allowance for plumbing products." w:history="1">
        <w:r w:rsidRPr="00442DC7">
          <w:rPr>
            <w:rStyle w:val="Hyperlink"/>
            <w:rFonts w:cs="Arial"/>
            <w:sz w:val="16"/>
            <w:szCs w:val="16"/>
          </w:rPr>
          <w:t>https://www.worldplumbing.org/https-www-globenewswire-com-news-release-2020-09-22-2097163-0-en-new-criteria-in-drinking-water-standard-tightens-lead-leaching-allowance-for-plumbing-products-html/</w:t>
        </w:r>
      </w:hyperlink>
      <w:r w:rsidRPr="00442DC7">
        <w:rPr>
          <w:rFonts w:cs="Arial"/>
          <w:sz w:val="16"/>
          <w:szCs w:val="16"/>
        </w:rPr>
        <w:t xml:space="preserve">. Accessed 31 October 2020. </w:t>
      </w:r>
    </w:p>
  </w:footnote>
  <w:footnote w:id="77">
    <w:p w14:paraId="7F74E8EF"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ABCB (2019) Lead in Plumbing Products Forum Survey. 89% of industry stakeholders felt that lead-free products made up 10% of all annual sales in Australia. </w:t>
      </w:r>
    </w:p>
  </w:footnote>
  <w:footnote w:id="78">
    <w:p w14:paraId="4319271D"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World Health Organisation (2011) Background document for development of WHO Guidelines for Drinking-water Quality. </w:t>
      </w:r>
    </w:p>
  </w:footnote>
  <w:footnote w:id="79">
    <w:p w14:paraId="36FE5AFA" w14:textId="2F64D66C"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Environmental Protection Association (2019) ‘Basic Information about Lead in Drinking Water’ &gt;</w:t>
      </w:r>
      <w:hyperlink r:id="rId32" w:tooltip="Environmental Protection Association (2019) ‘Basic Information about Lead in Drinking Water’ " w:history="1">
        <w:r w:rsidRPr="00442DC7">
          <w:rPr>
            <w:rStyle w:val="Hyperlink"/>
            <w:rFonts w:cs="Arial"/>
            <w:sz w:val="16"/>
            <w:szCs w:val="16"/>
            <w:u w:val="none"/>
          </w:rPr>
          <w:t>https://www.epa.gov/ground-water-and-drinking-water/basic-information-about-lead-drinking-water</w:t>
        </w:r>
      </w:hyperlink>
      <w:r w:rsidRPr="00442DC7">
        <w:rPr>
          <w:rFonts w:cs="Arial"/>
          <w:sz w:val="16"/>
          <w:szCs w:val="16"/>
        </w:rPr>
        <w:t xml:space="preserve"> Accessed 24 June 2020. </w:t>
      </w:r>
    </w:p>
  </w:footnote>
  <w:footnote w:id="80">
    <w:p w14:paraId="56F501AF" w14:textId="23EE0E53"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Based on a stock of 10 million dwellings &gt;</w:t>
      </w:r>
      <w:hyperlink r:id="rId33" w:tooltip="ABS.gov.au" w:history="1">
        <w:r w:rsidRPr="00442DC7">
          <w:rPr>
            <w:rStyle w:val="Hyperlink"/>
            <w:rFonts w:cs="Arial"/>
            <w:sz w:val="16"/>
            <w:szCs w:val="16"/>
            <w:u w:val="none"/>
            <w:lang w:val="en-US"/>
          </w:rPr>
          <w:t>https://www.abs.gov.au/ausstats/abs@.nsf/Lookup/by%20Subject/2071.0~2016~Main%20Features~Snapshot%20of%20Australia,%202016~2</w:t>
        </w:r>
        <w:r w:rsidRPr="00442DC7">
          <w:rPr>
            <w:rStyle w:val="Hyperlink"/>
            <w:rFonts w:cs="Arial"/>
            <w:color w:val="000000" w:themeColor="text1"/>
            <w:sz w:val="16"/>
            <w:szCs w:val="16"/>
            <w:u w:val="none"/>
            <w:lang w:val="en-US"/>
          </w:rPr>
          <w:t>&lt;</w:t>
        </w:r>
      </w:hyperlink>
      <w:r w:rsidRPr="00442DC7">
        <w:rPr>
          <w:rFonts w:cs="Arial"/>
          <w:sz w:val="16"/>
          <w:szCs w:val="16"/>
          <w:lang w:val="en-US"/>
        </w:rPr>
        <w:t xml:space="preserve"> Accessed 4 June 2020.</w:t>
      </w:r>
    </w:p>
  </w:footnote>
  <w:footnote w:id="81">
    <w:p w14:paraId="104E80C0"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Rajaratnam, G., et al. (2002). "Metals in Drinking Water from New Housing Estates in the Sydney Area." Environmental Research 89(2): 165-170.</w:t>
      </w:r>
    </w:p>
  </w:footnote>
  <w:footnote w:id="82">
    <w:p w14:paraId="2EAE07FD"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McDonald, S. Elliot, B. &amp; Bee Quek, S (2018) ‘Investigation into lead leaching from a water meter. </w:t>
      </w:r>
    </w:p>
  </w:footnote>
  <w:footnote w:id="83">
    <w:p w14:paraId="65753E43"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World Health Organisation (2011) Brief guide to analytical methods for measuring lead in blood. Accessed 21 April 2020. &gt;</w:t>
      </w:r>
      <w:r w:rsidRPr="00442DC7">
        <w:rPr>
          <w:rFonts w:cs="Arial"/>
          <w:sz w:val="16"/>
          <w:szCs w:val="16"/>
        </w:rPr>
        <w:t xml:space="preserve"> </w:t>
      </w:r>
      <w:r w:rsidRPr="00442DC7">
        <w:rPr>
          <w:rFonts w:cs="Arial"/>
          <w:sz w:val="16"/>
          <w:szCs w:val="16"/>
          <w:lang w:val="en-US"/>
        </w:rPr>
        <w:t>https://www.who.int/ipcs/assessment/public_health/lead_blood.pdf&lt;</w:t>
      </w:r>
    </w:p>
  </w:footnote>
  <w:footnote w:id="84">
    <w:p w14:paraId="5DE289DF"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World Health Organisation (2010) Exposure to lead: A major public health concern. Page 3. </w:t>
      </w:r>
    </w:p>
  </w:footnote>
  <w:footnote w:id="85">
    <w:p w14:paraId="56D021AD"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World Health Organisation (2011) Background document for development of WHO Guidelines for Drinking-water Quality.</w:t>
      </w:r>
    </w:p>
  </w:footnote>
  <w:footnote w:id="86">
    <w:p w14:paraId="09A8D8BF" w14:textId="25F88926"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The Institute of Health Metrics and Evaluation (2019) Global burden of disease. Australia: All causes attributable to lead exposure, both sexes, all ages. Based on the all-ages rate. </w:t>
      </w:r>
    </w:p>
  </w:footnote>
  <w:footnote w:id="87">
    <w:p w14:paraId="2D8FC445"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color w:val="1C1D1E"/>
          <w:sz w:val="16"/>
          <w:szCs w:val="16"/>
          <w:shd w:val="clear" w:color="auto" w:fill="FFFFFF"/>
        </w:rPr>
        <w:t>Kelsall, L.M., de Gooyer, T.E., Carey, M., Vaughan, L. and Ansari, Z. (2013) Blood lead levels in the adult Victorian population: results from the Victorian Health Monitor. Australian and New Zealand Journal of Public Health, 37: 233-237. doi:</w:t>
      </w:r>
      <w:hyperlink r:id="rId34" w:history="1">
        <w:r w:rsidRPr="00442DC7">
          <w:rPr>
            <w:rFonts w:cs="Arial"/>
            <w:color w:val="005274"/>
            <w:sz w:val="16"/>
            <w:szCs w:val="16"/>
            <w:shd w:val="clear" w:color="auto" w:fill="FFFFFF"/>
          </w:rPr>
          <w:t>10.1111/1753-6405.12064</w:t>
        </w:r>
      </w:hyperlink>
      <w:r w:rsidRPr="00442DC7">
        <w:rPr>
          <w:rFonts w:cs="Arial"/>
          <w:color w:val="005274"/>
          <w:sz w:val="16"/>
          <w:szCs w:val="16"/>
          <w:shd w:val="clear" w:color="auto" w:fill="FFFFFF"/>
        </w:rPr>
        <w:t>.</w:t>
      </w:r>
    </w:p>
  </w:footnote>
  <w:footnote w:id="88">
    <w:p w14:paraId="7F695D56" w14:textId="77777777" w:rsidR="00944D93" w:rsidRPr="00442DC7" w:rsidRDefault="00944D93" w:rsidP="001102FB">
      <w:pPr>
        <w:pStyle w:val="FootnoteText"/>
        <w:rPr>
          <w:rFonts w:cs="Arial"/>
          <w:color w:val="1C1D1E"/>
          <w:sz w:val="16"/>
          <w:szCs w:val="16"/>
          <w:shd w:val="clear" w:color="auto" w:fill="FFFFFF"/>
        </w:rPr>
      </w:pPr>
      <w:r w:rsidRPr="00442DC7">
        <w:rPr>
          <w:rStyle w:val="FootnoteReference"/>
          <w:rFonts w:cs="Arial"/>
          <w:sz w:val="16"/>
          <w:szCs w:val="16"/>
        </w:rPr>
        <w:footnoteRef/>
      </w:r>
      <w:r w:rsidRPr="00442DC7">
        <w:rPr>
          <w:rFonts w:cs="Arial"/>
          <w:sz w:val="16"/>
          <w:szCs w:val="16"/>
        </w:rPr>
        <w:t xml:space="preserve"> </w:t>
      </w:r>
      <w:r w:rsidRPr="00442DC7">
        <w:rPr>
          <w:rFonts w:cs="Arial"/>
          <w:color w:val="1C1D1E"/>
          <w:sz w:val="16"/>
          <w:szCs w:val="16"/>
          <w:shd w:val="clear" w:color="auto" w:fill="FFFFFF"/>
        </w:rPr>
        <w:t>Symeonides, C., Vuillermin, P., D Sly, P., Collier, F., Lynch, V., Falconer, S., Pezic, A., Wardrop, N., Dwyer, T., Ranganathan S. &amp; Ponsonby., A. (2020) Pre</w:t>
      </w:r>
      <w:r w:rsidRPr="00442DC7">
        <w:rPr>
          <w:rFonts w:ascii="Cambria Math" w:hAnsi="Cambria Math" w:cs="Cambria Math"/>
          <w:color w:val="1C1D1E"/>
          <w:sz w:val="16"/>
          <w:szCs w:val="16"/>
          <w:shd w:val="clear" w:color="auto" w:fill="FFFFFF"/>
        </w:rPr>
        <w:t>‐</w:t>
      </w:r>
      <w:r w:rsidRPr="00442DC7">
        <w:rPr>
          <w:rFonts w:cs="Arial"/>
          <w:color w:val="1C1D1E"/>
          <w:sz w:val="16"/>
          <w:szCs w:val="16"/>
          <w:shd w:val="clear" w:color="auto" w:fill="FFFFFF"/>
        </w:rPr>
        <w:t>school child blood lead levels in a population</w:t>
      </w:r>
      <w:r w:rsidRPr="00442DC7">
        <w:rPr>
          <w:rFonts w:ascii="Cambria Math" w:hAnsi="Cambria Math" w:cs="Cambria Math"/>
          <w:color w:val="1C1D1E"/>
          <w:sz w:val="16"/>
          <w:szCs w:val="16"/>
          <w:shd w:val="clear" w:color="auto" w:fill="FFFFFF"/>
        </w:rPr>
        <w:t>‐</w:t>
      </w:r>
      <w:r w:rsidRPr="00442DC7">
        <w:rPr>
          <w:rFonts w:cs="Arial"/>
          <w:color w:val="1C1D1E"/>
          <w:sz w:val="16"/>
          <w:szCs w:val="16"/>
          <w:shd w:val="clear" w:color="auto" w:fill="FFFFFF"/>
        </w:rPr>
        <w:t xml:space="preserve">derived Australian birth cohort: the Barwon Infant Study. Medical Journal of Australia. </w:t>
      </w:r>
    </w:p>
  </w:footnote>
  <w:footnote w:id="89">
    <w:p w14:paraId="082E9705"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Style w:val="FootnoteReference"/>
          <w:rFonts w:cs="Arial"/>
          <w:sz w:val="16"/>
          <w:szCs w:val="16"/>
        </w:rPr>
        <w:t xml:space="preserve"> </w:t>
      </w:r>
      <w:r w:rsidRPr="00442DC7">
        <w:rPr>
          <w:rFonts w:cs="Arial"/>
          <w:sz w:val="16"/>
          <w:szCs w:val="16"/>
          <w:lang w:val="en-US"/>
        </w:rPr>
        <w:t>SA Health (2018) Port Pirie Blood Lead levels: Analysis of blood lead levels for the first nine months of 2018 (1 January – 30 September 2018)</w:t>
      </w:r>
    </w:p>
  </w:footnote>
  <w:footnote w:id="90">
    <w:p w14:paraId="7E644825" w14:textId="2CC6D3C9"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Queensland Health (2006) &gt;</w:t>
      </w:r>
      <w:hyperlink r:id="rId35" w:tooltip="Queensland Health (2006" w:history="1">
        <w:r w:rsidRPr="00442DC7">
          <w:rPr>
            <w:rStyle w:val="Hyperlink"/>
            <w:rFonts w:cs="Arial"/>
            <w:sz w:val="16"/>
            <w:szCs w:val="16"/>
            <w:u w:val="none"/>
          </w:rPr>
          <w:t>https://www.health.qld.gov.au/__data/assets/pdf_file/0036/428868/mtisa-lead-report-2006-07.pdf</w:t>
        </w:r>
      </w:hyperlink>
      <w:r w:rsidRPr="00442DC7">
        <w:rPr>
          <w:rFonts w:cs="Arial"/>
          <w:sz w:val="16"/>
          <w:szCs w:val="16"/>
        </w:rPr>
        <w:t xml:space="preserve"> Accessed 1 August 2020.</w:t>
      </w:r>
    </w:p>
  </w:footnote>
  <w:footnote w:id="91">
    <w:p w14:paraId="6830AF85"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NHMRC (2015) Effects of Lead on Human Health. </w:t>
      </w:r>
    </w:p>
  </w:footnote>
  <w:footnote w:id="92">
    <w:p w14:paraId="2ECA79BA" w14:textId="2F8A9A18"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NSW Department of Health (2018) Lead in Blood Control Guideline. &gt;</w:t>
      </w:r>
      <w:hyperlink r:id="rId36" w:tooltip="NSW Department of Health (2018) Lead in Blood Control Guideline" w:history="1">
        <w:r w:rsidRPr="00442DC7">
          <w:rPr>
            <w:rStyle w:val="Hyperlink"/>
            <w:rFonts w:cs="Arial"/>
            <w:sz w:val="16"/>
            <w:szCs w:val="16"/>
            <w:u w:val="none"/>
          </w:rPr>
          <w:t>https://www.health.nsw.gov.au/Infectious/controlguideline/Pages/lead.aspx</w:t>
        </w:r>
      </w:hyperlink>
      <w:r w:rsidRPr="00442DC7">
        <w:rPr>
          <w:rFonts w:cs="Arial"/>
          <w:sz w:val="16"/>
          <w:szCs w:val="16"/>
        </w:rPr>
        <w:t xml:space="preserve"> Accessed 22 May 2020. </w:t>
      </w:r>
    </w:p>
  </w:footnote>
  <w:footnote w:id="93">
    <w:p w14:paraId="28ACAA71" w14:textId="7B68C2FC"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Australian Bureau of Statistics (2020) ‘Australian Demographic Statistics, Dec 2019’ Category 3101.0 &gt;</w:t>
      </w:r>
      <w:hyperlink r:id="rId37" w:tooltip="Australian Bureau of Statistics (2020) ‘Australian Demographic Statistics, Dec 2019’ Category 3101.0" w:history="1">
        <w:r w:rsidRPr="00442DC7">
          <w:rPr>
            <w:rStyle w:val="Hyperlink"/>
            <w:rFonts w:cs="Arial"/>
            <w:sz w:val="16"/>
            <w:szCs w:val="16"/>
            <w:u w:val="none"/>
          </w:rPr>
          <w:t>https://www.abs.gov.au/AUSSTATS/abs@.nsf/DetailsPage/3101.0Dec%202019?OpenDocument&lt;</w:t>
        </w:r>
      </w:hyperlink>
      <w:r w:rsidRPr="00442DC7">
        <w:rPr>
          <w:rFonts w:cs="Arial"/>
          <w:color w:val="0000FF"/>
          <w:sz w:val="16"/>
          <w:szCs w:val="16"/>
        </w:rPr>
        <w:t xml:space="preserve"> </w:t>
      </w:r>
      <w:r w:rsidRPr="00442DC7">
        <w:rPr>
          <w:rFonts w:cs="Arial"/>
          <w:sz w:val="16"/>
          <w:szCs w:val="16"/>
        </w:rPr>
        <w:t xml:space="preserve">Accessed 26 August 2020. </w:t>
      </w:r>
    </w:p>
  </w:footnote>
  <w:footnote w:id="94">
    <w:p w14:paraId="03136AAD" w14:textId="560AB82D"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Institute for Health Metrics and Evaluation (2019) About GHDx. &gt; </w:t>
      </w:r>
      <w:hyperlink r:id="rId38" w:tooltip="Institute for Health Metrics and Evaluation (2019) " w:history="1">
        <w:r w:rsidRPr="00442DC7">
          <w:rPr>
            <w:rStyle w:val="Hyperlink"/>
            <w:rFonts w:cs="Arial"/>
            <w:sz w:val="16"/>
            <w:szCs w:val="16"/>
            <w:u w:val="none"/>
          </w:rPr>
          <w:t>http://ghdx.healthdata.org/about-ghdx</w:t>
        </w:r>
      </w:hyperlink>
      <w:r w:rsidRPr="00442DC7">
        <w:rPr>
          <w:rFonts w:cs="Arial"/>
          <w:sz w:val="16"/>
          <w:szCs w:val="16"/>
        </w:rPr>
        <w:t xml:space="preserve"> </w:t>
      </w:r>
      <w:r w:rsidRPr="00442DC7" w:rsidDel="00601DFF">
        <w:rPr>
          <w:rStyle w:val="Hyperlink"/>
          <w:rFonts w:cs="Arial"/>
          <w:color w:val="auto"/>
          <w:sz w:val="16"/>
          <w:szCs w:val="16"/>
          <w:u w:val="none"/>
        </w:rPr>
        <w:t xml:space="preserve"> </w:t>
      </w:r>
      <w:r w:rsidRPr="00442DC7">
        <w:rPr>
          <w:rFonts w:cs="Arial"/>
          <w:sz w:val="16"/>
          <w:szCs w:val="16"/>
        </w:rPr>
        <w:t xml:space="preserve"> Accessed 25 September 2020. </w:t>
      </w:r>
    </w:p>
  </w:footnote>
  <w:footnote w:id="95">
    <w:p w14:paraId="1AF0161D"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lang w:val="en-US"/>
        </w:rPr>
        <w:t xml:space="preserve">Based on 305.88 DALYs per 100,000 and a global population of 7,547,858,900 in 2017. </w:t>
      </w:r>
    </w:p>
  </w:footnote>
  <w:footnote w:id="96">
    <w:p w14:paraId="078D10E9"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Based on a report from the Australian Institute of Health and Welfare which reported total DALYs in 2015 to be 4.75 million. </w:t>
      </w:r>
    </w:p>
  </w:footnote>
  <w:footnote w:id="97">
    <w:p w14:paraId="49CE71DE"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World Health Organisation (2011) Background document for development of WHO Guidelines for Drinking-water Quality. Page 3. </w:t>
      </w:r>
    </w:p>
  </w:footnote>
  <w:footnote w:id="98">
    <w:p w14:paraId="0FF32678"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Lead</w:t>
      </w:r>
      <w:r w:rsidRPr="00442DC7">
        <w:rPr>
          <w:rFonts w:cs="Arial"/>
          <w:sz w:val="16"/>
          <w:szCs w:val="16"/>
          <w:lang w:val="en-US"/>
        </w:rPr>
        <w:t xml:space="preserve"> absorption rates from consumption of water, food, dust is not known. </w:t>
      </w:r>
    </w:p>
  </w:footnote>
  <w:footnote w:id="99">
    <w:p w14:paraId="7E1794BE" w14:textId="78666B62"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vertAlign w:val="superscript"/>
        </w:rPr>
        <w:t xml:space="preserve"> </w:t>
      </w:r>
      <w:r w:rsidRPr="00442DC7">
        <w:rPr>
          <w:rFonts w:cs="Arial"/>
          <w:sz w:val="16"/>
          <w:szCs w:val="16"/>
        </w:rPr>
        <w:t>Functional Statements Part BF.1 and BF2 NCC Volume Three(2019).</w:t>
      </w:r>
    </w:p>
  </w:footnote>
  <w:footnote w:id="100">
    <w:p w14:paraId="69B24457" w14:textId="34D0AB3F"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vertAlign w:val="superscript"/>
        </w:rPr>
        <w:t xml:space="preserve"> </w:t>
      </w:r>
      <w:r w:rsidRPr="00442DC7">
        <w:rPr>
          <w:rFonts w:cs="Arial"/>
          <w:sz w:val="16"/>
          <w:szCs w:val="16"/>
        </w:rPr>
        <w:t>Manual for the WaterMark Certification Scheme, (2016) ABCB, page 23.</w:t>
      </w:r>
    </w:p>
  </w:footnote>
  <w:footnote w:id="101">
    <w:p w14:paraId="76F4BF9A" w14:textId="1F05351D"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Style w:val="FootnoteReference"/>
          <w:rFonts w:cs="Arial"/>
          <w:sz w:val="16"/>
          <w:szCs w:val="16"/>
        </w:rPr>
        <w:t xml:space="preserve"> </w:t>
      </w:r>
      <w:r>
        <w:rPr>
          <w:rFonts w:cs="Arial"/>
          <w:sz w:val="16"/>
          <w:szCs w:val="16"/>
        </w:rPr>
        <w:t>ABCB Inter</w:t>
      </w:r>
      <w:r w:rsidRPr="00442DC7">
        <w:rPr>
          <w:rFonts w:cs="Arial"/>
          <w:sz w:val="16"/>
          <w:szCs w:val="16"/>
        </w:rPr>
        <w:t xml:space="preserve">governmental </w:t>
      </w:r>
      <w:r>
        <w:rPr>
          <w:rFonts w:cs="Arial"/>
          <w:sz w:val="16"/>
          <w:szCs w:val="16"/>
        </w:rPr>
        <w:t>A</w:t>
      </w:r>
      <w:r w:rsidRPr="00442DC7">
        <w:rPr>
          <w:rFonts w:cs="Arial"/>
          <w:sz w:val="16"/>
          <w:szCs w:val="16"/>
        </w:rPr>
        <w:t>greement (2020). &gt;</w:t>
      </w:r>
      <w:r w:rsidRPr="00442DC7">
        <w:rPr>
          <w:rStyle w:val="Hyperlink"/>
          <w:rFonts w:cs="Arial"/>
          <w:sz w:val="16"/>
          <w:szCs w:val="16"/>
          <w:u w:val="none"/>
        </w:rPr>
        <w:t>https://abcb.gov.au/Resources/Publications/Corporate/2020-intergovernmental-agreement</w:t>
      </w:r>
      <w:r w:rsidRPr="00442DC7">
        <w:rPr>
          <w:rFonts w:cs="Arial"/>
          <w:sz w:val="16"/>
          <w:szCs w:val="16"/>
        </w:rPr>
        <w:t>&lt; Accessed 7 December 2020.</w:t>
      </w:r>
    </w:p>
  </w:footnote>
  <w:footnote w:id="102">
    <w:p w14:paraId="26677CC5"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bookmarkStart w:id="239" w:name="_Hlk38222961"/>
      <w:r w:rsidRPr="00442DC7">
        <w:rPr>
          <w:rFonts w:cs="Arial"/>
          <w:sz w:val="16"/>
          <w:szCs w:val="16"/>
        </w:rPr>
        <w:t xml:space="preserve">Tallowood Rise Water Consulting (2020) Potential changes to AS/NZS 4020: Testing for lead leaching. </w:t>
      </w:r>
      <w:bookmarkEnd w:id="239"/>
    </w:p>
  </w:footnote>
  <w:footnote w:id="103">
    <w:p w14:paraId="59654658"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Should decision makers support this recommendation, Option 2 would not meet the amendment cycle timeframes for NCC 2022 and would be deferred until a later edition of the NCC.</w:t>
      </w:r>
    </w:p>
  </w:footnote>
  <w:footnote w:id="104">
    <w:p w14:paraId="5208ED40" w14:textId="2FFF5960"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World Health Organisation (2019) ‘Lead’. &gt;</w:t>
      </w:r>
      <w:hyperlink r:id="rId39" w:tooltip="World Health Organisation (2019) ‘Lead’" w:history="1">
        <w:r w:rsidRPr="00442DC7">
          <w:rPr>
            <w:rStyle w:val="Hyperlink"/>
            <w:rFonts w:cs="Arial"/>
            <w:sz w:val="16"/>
            <w:szCs w:val="16"/>
            <w:u w:val="none"/>
          </w:rPr>
          <w:t>https://www.who.int/ipcs/assessment/public_health/lead/en/</w:t>
        </w:r>
      </w:hyperlink>
      <w:r w:rsidRPr="00442DC7">
        <w:rPr>
          <w:rFonts w:cs="Arial"/>
          <w:sz w:val="16"/>
          <w:szCs w:val="16"/>
        </w:rPr>
        <w:t xml:space="preserve"> Accessed 6 June 2020.</w:t>
      </w:r>
    </w:p>
  </w:footnote>
  <w:footnote w:id="105">
    <w:p w14:paraId="79BC847F"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This also assumes the timing of random testing has no impact on certification costs.</w:t>
      </w:r>
    </w:p>
  </w:footnote>
  <w:footnote w:id="106">
    <w:p w14:paraId="283D47B0" w14:textId="1DF1C80D"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Department of Prime Minister and Cabinet (2014) ‘Best Practice Regulation Guidance Note Value of Statistical Life Year’. &gt;</w:t>
      </w:r>
      <w:hyperlink r:id="rId40" w:tooltip="Department of Prime Minister and Cabinet (2014) ‘Best Practice Regulation Guidance Note Value of Statistical Life Year" w:history="1">
        <w:r w:rsidRPr="00442DC7">
          <w:rPr>
            <w:rFonts w:cs="Arial"/>
            <w:sz w:val="16"/>
            <w:szCs w:val="16"/>
          </w:rPr>
          <w:t xml:space="preserve"> </w:t>
        </w:r>
        <w:r w:rsidRPr="00442DC7">
          <w:rPr>
            <w:rStyle w:val="Hyperlink"/>
            <w:rFonts w:cs="Arial"/>
            <w:sz w:val="16"/>
            <w:szCs w:val="16"/>
            <w:u w:val="none"/>
          </w:rPr>
          <w:t>https://www.pmc.gov.au/sites/default/files/publications/Value_of_Statistical_Life_guidance_note.pdf&lt;</w:t>
        </w:r>
      </w:hyperlink>
      <w:r w:rsidRPr="00442DC7">
        <w:rPr>
          <w:rFonts w:cs="Arial"/>
          <w:color w:val="0000FF"/>
          <w:sz w:val="16"/>
          <w:szCs w:val="16"/>
        </w:rPr>
        <w:t xml:space="preserve"> </w:t>
      </w:r>
      <w:r w:rsidRPr="00442DC7">
        <w:rPr>
          <w:rFonts w:cs="Arial"/>
          <w:sz w:val="16"/>
          <w:szCs w:val="16"/>
          <w:lang w:val="en-US"/>
        </w:rPr>
        <w:t>Accessed 28 August 2020.</w:t>
      </w:r>
      <w:r w:rsidRPr="00442DC7">
        <w:rPr>
          <w:rFonts w:cs="Arial"/>
          <w:color w:val="0000FF"/>
          <w:sz w:val="16"/>
          <w:szCs w:val="16"/>
        </w:rPr>
        <w:t xml:space="preserve"> </w:t>
      </w:r>
    </w:p>
  </w:footnote>
  <w:footnote w:id="107">
    <w:p w14:paraId="51F3FCC2" w14:textId="77777777" w:rsidR="00944D93" w:rsidRPr="00442DC7" w:rsidRDefault="00944D93" w:rsidP="001102FB">
      <w:pPr>
        <w:pStyle w:val="FootnoteText"/>
        <w:rPr>
          <w:rFonts w:cs="Arial"/>
          <w:sz w:val="16"/>
          <w:szCs w:val="16"/>
        </w:rPr>
      </w:pPr>
      <w:r w:rsidRPr="00442DC7">
        <w:rPr>
          <w:rStyle w:val="FootnoteReference"/>
          <w:rFonts w:cs="Arial"/>
          <w:sz w:val="16"/>
          <w:szCs w:val="16"/>
        </w:rPr>
        <w:footnoteRef/>
      </w:r>
      <w:r w:rsidRPr="00442DC7">
        <w:rPr>
          <w:rFonts w:cs="Arial"/>
          <w:sz w:val="16"/>
          <w:szCs w:val="16"/>
        </w:rPr>
        <w:t xml:space="preserve"> Personal correspondence IHME 5 May 2021.</w:t>
      </w:r>
    </w:p>
  </w:footnote>
  <w:footnote w:id="108">
    <w:p w14:paraId="183485CE" w14:textId="3FCA6348"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Zartarian, V.; Xue, J.; Tornero-Velez, R.; Brown, J., (2017) Children's Lead Exposure: A Multimedia Modelling Analysis to Guide Public Health Decision-Making. Environmental health perspectives, 125 (9), 097009.</w:t>
      </w:r>
    </w:p>
  </w:footnote>
  <w:footnote w:id="109">
    <w:p w14:paraId="31FDF5D2"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Agency, U. S. E. P., (2007) Lead: Human Exposure and Health Risk Assessment for Selected Case Studies. </w:t>
      </w:r>
    </w:p>
  </w:footnote>
  <w:footnote w:id="110">
    <w:p w14:paraId="76CC45CA" w14:textId="6E1CBB1D"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Zartarian, V et al. (2017).</w:t>
      </w:r>
    </w:p>
  </w:footnote>
  <w:footnote w:id="111">
    <w:p w14:paraId="159E41AF" w14:textId="0BF2AF7D"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Zartarian, V et al. (2017).</w:t>
      </w:r>
    </w:p>
  </w:footnote>
  <w:footnote w:id="112">
    <w:p w14:paraId="734A8E3E" w14:textId="77777777"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Bois, F. Y.; Tozer, T. N.; Zeise, L.; Benet, L. Z., (1989) Application of clearance concepts to the assessment of exposure to lead in drinking water. Am. J. Public Health, 79 (7), 827-831.</w:t>
      </w:r>
    </w:p>
  </w:footnote>
  <w:footnote w:id="113">
    <w:p w14:paraId="0E3FDF28" w14:textId="1DA1DA56"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ABS (2020) Catalogue 8752.0 ‘Building Activity, Australia, March 2020. Table 12. </w:t>
      </w:r>
    </w:p>
  </w:footnote>
  <w:footnote w:id="114">
    <w:p w14:paraId="4360B41C" w14:textId="0DED0909" w:rsidR="00944D93" w:rsidRPr="00442DC7" w:rsidRDefault="00944D93" w:rsidP="001102FB">
      <w:pPr>
        <w:pStyle w:val="FootnoteText"/>
        <w:rPr>
          <w:rFonts w:cs="Arial"/>
          <w:color w:val="000000" w:themeColor="text1"/>
          <w:sz w:val="16"/>
          <w:szCs w:val="16"/>
        </w:rPr>
      </w:pPr>
      <w:r w:rsidRPr="00442DC7">
        <w:rPr>
          <w:rStyle w:val="FootnoteReference"/>
          <w:rFonts w:cs="Arial"/>
          <w:sz w:val="16"/>
          <w:szCs w:val="16"/>
        </w:rPr>
        <w:footnoteRef/>
      </w:r>
      <w:r w:rsidRPr="00442DC7">
        <w:rPr>
          <w:rFonts w:cs="Arial"/>
          <w:sz w:val="16"/>
          <w:szCs w:val="16"/>
        </w:rPr>
        <w:t xml:space="preserve"> </w:t>
      </w:r>
      <w:bookmarkStart w:id="273" w:name="baep-author-id15"/>
      <w:r w:rsidRPr="00442DC7">
        <w:rPr>
          <w:rFonts w:cs="Arial"/>
          <w:color w:val="000000" w:themeColor="text1"/>
          <w:sz w:val="16"/>
          <w:szCs w:val="16"/>
        </w:rPr>
        <w:fldChar w:fldCharType="begin"/>
      </w:r>
      <w:r w:rsidRPr="00442DC7">
        <w:rPr>
          <w:rFonts w:cs="Arial"/>
          <w:color w:val="000000" w:themeColor="text1"/>
          <w:sz w:val="16"/>
          <w:szCs w:val="16"/>
        </w:rPr>
        <w:instrText xml:space="preserve"> HYPERLINK "https://www.sciencedirect.com/science/article/pii/S2090447912000639" \l "!" </w:instrText>
      </w:r>
      <w:r w:rsidRPr="00442DC7">
        <w:rPr>
          <w:rFonts w:cs="Arial"/>
          <w:color w:val="000000" w:themeColor="text1"/>
          <w:sz w:val="16"/>
          <w:szCs w:val="16"/>
        </w:rPr>
        <w:fldChar w:fldCharType="separate"/>
      </w:r>
      <w:r w:rsidRPr="00442DC7">
        <w:rPr>
          <w:rStyle w:val="text"/>
          <w:rFonts w:cs="Arial"/>
          <w:color w:val="000000" w:themeColor="text1"/>
          <w:sz w:val="16"/>
          <w:szCs w:val="16"/>
        </w:rPr>
        <w:t>Mohamed A.Taha</w:t>
      </w:r>
      <w:r w:rsidRPr="00442DC7">
        <w:rPr>
          <w:rFonts w:cs="Arial"/>
          <w:color w:val="000000" w:themeColor="text1"/>
          <w:sz w:val="16"/>
          <w:szCs w:val="16"/>
        </w:rPr>
        <w:fldChar w:fldCharType="end"/>
      </w:r>
      <w:bookmarkStart w:id="274" w:name="baep-author-id16"/>
      <w:bookmarkEnd w:id="273"/>
      <w:r w:rsidRPr="00442DC7">
        <w:rPr>
          <w:rFonts w:cs="Arial"/>
          <w:color w:val="000000" w:themeColor="text1"/>
          <w:sz w:val="16"/>
          <w:szCs w:val="16"/>
        </w:rPr>
        <w:t xml:space="preserve">, </w:t>
      </w:r>
      <w:hyperlink r:id="rId41" w:anchor="!" w:history="1">
        <w:r w:rsidRPr="00442DC7">
          <w:rPr>
            <w:rStyle w:val="text"/>
            <w:rFonts w:cs="Arial"/>
            <w:color w:val="000000" w:themeColor="text1"/>
            <w:sz w:val="16"/>
            <w:szCs w:val="16"/>
          </w:rPr>
          <w:t>Nahed A.El-Mahallawy</w:t>
        </w:r>
      </w:hyperlink>
      <w:bookmarkStart w:id="275" w:name="baep-author-id17"/>
      <w:bookmarkEnd w:id="274"/>
      <w:r w:rsidRPr="00442DC7">
        <w:rPr>
          <w:rFonts w:cs="Arial"/>
          <w:color w:val="000000" w:themeColor="text1"/>
          <w:sz w:val="16"/>
          <w:szCs w:val="16"/>
        </w:rPr>
        <w:t xml:space="preserve">, </w:t>
      </w:r>
      <w:hyperlink r:id="rId42" w:anchor="!" w:history="1">
        <w:r w:rsidRPr="00442DC7">
          <w:rPr>
            <w:rStyle w:val="text"/>
            <w:rFonts w:cs="Arial"/>
            <w:color w:val="000000" w:themeColor="text1"/>
            <w:sz w:val="16"/>
            <w:szCs w:val="16"/>
          </w:rPr>
          <w:t>Rawia M.Hammouda</w:t>
        </w:r>
      </w:hyperlink>
      <w:bookmarkStart w:id="276" w:name="baep-author-id18"/>
      <w:bookmarkEnd w:id="275"/>
      <w:r w:rsidRPr="00442DC7">
        <w:rPr>
          <w:rFonts w:cs="Arial"/>
          <w:color w:val="000000" w:themeColor="text1"/>
          <w:sz w:val="16"/>
          <w:szCs w:val="16"/>
        </w:rPr>
        <w:t xml:space="preserve">, </w:t>
      </w:r>
      <w:hyperlink r:id="rId43" w:anchor="!" w:history="1">
        <w:r w:rsidRPr="00442DC7">
          <w:rPr>
            <w:rStyle w:val="text"/>
            <w:rFonts w:cs="Arial"/>
            <w:color w:val="000000" w:themeColor="text1"/>
            <w:sz w:val="16"/>
            <w:szCs w:val="16"/>
          </w:rPr>
          <w:t>Tarek M.Moussa</w:t>
        </w:r>
      </w:hyperlink>
      <w:bookmarkStart w:id="277" w:name="baep-author-id19"/>
      <w:bookmarkEnd w:id="276"/>
      <w:r w:rsidRPr="00442DC7">
        <w:rPr>
          <w:rFonts w:cs="Arial"/>
          <w:color w:val="000000" w:themeColor="text1"/>
          <w:sz w:val="16"/>
          <w:szCs w:val="16"/>
        </w:rPr>
        <w:t xml:space="preserve">, </w:t>
      </w:r>
      <w:hyperlink r:id="rId44" w:anchor="!" w:history="1">
        <w:r w:rsidRPr="00442DC7">
          <w:rPr>
            <w:rStyle w:val="text"/>
            <w:rFonts w:cs="Arial"/>
            <w:color w:val="000000" w:themeColor="text1"/>
            <w:sz w:val="16"/>
            <w:szCs w:val="16"/>
          </w:rPr>
          <w:t>Mohamed H.Gheith</w:t>
        </w:r>
      </w:hyperlink>
      <w:bookmarkEnd w:id="277"/>
      <w:r w:rsidRPr="00442DC7">
        <w:rPr>
          <w:rFonts w:cs="Arial"/>
          <w:color w:val="000000" w:themeColor="text1"/>
          <w:sz w:val="16"/>
          <w:szCs w:val="16"/>
        </w:rPr>
        <w:t xml:space="preserve"> (2012) ‘</w:t>
      </w:r>
      <w:r w:rsidRPr="00442DC7">
        <w:rPr>
          <w:rStyle w:val="text"/>
          <w:rFonts w:cs="Arial"/>
          <w:color w:val="000000" w:themeColor="text1"/>
          <w:sz w:val="16"/>
          <w:szCs w:val="16"/>
        </w:rPr>
        <w:t>Machinability characteristics of lead free-silicon brass alloys as correlated with microstructure and mechanical properties’ Ain Shams Engineering Journal Volume 3, Issue 4, December 2012, Pages 383-392.</w:t>
      </w:r>
    </w:p>
  </w:footnote>
  <w:footnote w:id="115">
    <w:p w14:paraId="6FEA60F3" w14:textId="4CB19D24" w:rsidR="00944D93" w:rsidRPr="00442DC7"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Style w:val="text"/>
          <w:rFonts w:cs="Arial"/>
          <w:color w:val="000000" w:themeColor="text1"/>
          <w:sz w:val="16"/>
          <w:szCs w:val="16"/>
        </w:rPr>
        <w:t>Lenntech (2020)</w:t>
      </w:r>
      <w:r w:rsidRPr="00442DC7">
        <w:rPr>
          <w:rFonts w:cs="Arial"/>
          <w:sz w:val="16"/>
          <w:szCs w:val="16"/>
        </w:rPr>
        <w:t xml:space="preserve"> </w:t>
      </w:r>
      <w:hyperlink r:id="rId45" w:anchor="Atomic%20number" w:history="1">
        <w:r w:rsidRPr="00442DC7">
          <w:rPr>
            <w:rStyle w:val="text"/>
            <w:rFonts w:cs="Arial"/>
            <w:color w:val="000000" w:themeColor="text1"/>
            <w:sz w:val="16"/>
            <w:szCs w:val="16"/>
          </w:rPr>
          <w:t>Chemical properties of silicon</w:t>
        </w:r>
      </w:hyperlink>
      <w:r w:rsidRPr="00442DC7">
        <w:rPr>
          <w:rStyle w:val="text"/>
          <w:rFonts w:cs="Arial"/>
          <w:color w:val="000000" w:themeColor="text1"/>
          <w:sz w:val="16"/>
          <w:szCs w:val="16"/>
        </w:rPr>
        <w:t xml:space="preserve"> - </w:t>
      </w:r>
      <w:hyperlink r:id="rId46" w:anchor="Health%20effects%20of%20silicon" w:history="1">
        <w:r w:rsidRPr="00442DC7">
          <w:rPr>
            <w:rStyle w:val="text"/>
            <w:rFonts w:cs="Arial"/>
            <w:color w:val="000000" w:themeColor="text1"/>
            <w:sz w:val="16"/>
            <w:szCs w:val="16"/>
          </w:rPr>
          <w:t>Health effects of silicon</w:t>
        </w:r>
      </w:hyperlink>
      <w:r w:rsidRPr="00442DC7">
        <w:rPr>
          <w:rStyle w:val="text"/>
          <w:rFonts w:cs="Arial"/>
          <w:color w:val="000000" w:themeColor="text1"/>
          <w:sz w:val="16"/>
          <w:szCs w:val="16"/>
        </w:rPr>
        <w:t xml:space="preserve"> - </w:t>
      </w:r>
      <w:hyperlink r:id="rId47" w:anchor="Environmental%20effects%20of%20silicon" w:history="1">
        <w:r w:rsidRPr="00442DC7">
          <w:rPr>
            <w:rStyle w:val="text"/>
            <w:rFonts w:cs="Arial"/>
            <w:color w:val="000000" w:themeColor="text1"/>
            <w:sz w:val="16"/>
            <w:szCs w:val="16"/>
          </w:rPr>
          <w:t>Environmental effects of silicon</w:t>
        </w:r>
      </w:hyperlink>
      <w:r w:rsidRPr="00442DC7">
        <w:rPr>
          <w:rStyle w:val="text"/>
          <w:rFonts w:cs="Arial"/>
          <w:color w:val="000000" w:themeColor="text1"/>
          <w:sz w:val="16"/>
          <w:szCs w:val="16"/>
        </w:rPr>
        <w:t>. &gt;</w:t>
      </w:r>
      <w:hyperlink r:id="rId48" w:tooltip="Lenntech (2020) Chemical properties of silicon " w:history="1">
        <w:r w:rsidRPr="00442DC7">
          <w:rPr>
            <w:rStyle w:val="Hyperlink"/>
            <w:rFonts w:cs="Arial"/>
            <w:sz w:val="16"/>
            <w:szCs w:val="16"/>
            <w:u w:val="none"/>
          </w:rPr>
          <w:t>https://www.lenntech.com/periodic/elements/si.htm</w:t>
        </w:r>
      </w:hyperlink>
      <w:r w:rsidRPr="00442DC7">
        <w:rPr>
          <w:rStyle w:val="text"/>
          <w:rFonts w:cs="Arial"/>
          <w:color w:val="000000" w:themeColor="text1"/>
          <w:sz w:val="16"/>
          <w:szCs w:val="16"/>
        </w:rPr>
        <w:t xml:space="preserve">&lt; Accessed 15 June 2020. </w:t>
      </w:r>
    </w:p>
  </w:footnote>
  <w:footnote w:id="116">
    <w:p w14:paraId="4B46374E" w14:textId="127F0F22" w:rsidR="00944D93" w:rsidRPr="00442DC7" w:rsidRDefault="00944D93" w:rsidP="001102FB">
      <w:pPr>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For the purposes of assessing the impacts of Option 2, it has been assumed that the same threshold values for silicon, bismuth and selenium in NSF/ANSI/CAN 600 are replicated in AS/NZS 4020. </w:t>
      </w:r>
    </w:p>
  </w:footnote>
  <w:footnote w:id="117">
    <w:p w14:paraId="558C9248" w14:textId="77777777" w:rsidR="00944D93" w:rsidRPr="00225399" w:rsidRDefault="00944D93" w:rsidP="001102FB">
      <w:pPr>
        <w:pStyle w:val="FootnoteText"/>
        <w:rPr>
          <w:rFonts w:cs="Arial"/>
          <w:sz w:val="16"/>
          <w:szCs w:val="16"/>
          <w:lang w:val="en-US"/>
        </w:rPr>
      </w:pPr>
      <w:r w:rsidRPr="00442DC7">
        <w:rPr>
          <w:rStyle w:val="FootnoteReference"/>
          <w:rFonts w:cs="Arial"/>
          <w:sz w:val="16"/>
          <w:szCs w:val="16"/>
        </w:rPr>
        <w:footnoteRef/>
      </w:r>
      <w:r w:rsidRPr="00442DC7">
        <w:rPr>
          <w:rFonts w:cs="Arial"/>
          <w:sz w:val="16"/>
          <w:szCs w:val="16"/>
        </w:rPr>
        <w:t xml:space="preserve"> </w:t>
      </w:r>
      <w:r w:rsidRPr="00442DC7">
        <w:rPr>
          <w:rFonts w:cs="Arial"/>
          <w:sz w:val="16"/>
          <w:szCs w:val="16"/>
          <w:lang w:val="en-US"/>
        </w:rPr>
        <w:t xml:space="preserve">Regulatory burden has been calculated in accordance with the RBM framework. Annual burden calculated by dividing the Present Value costs by 10 and then dividing the total annual burden by 9 to reflect the Commonwealth’s contribution to the decision making. </w:t>
      </w:r>
    </w:p>
  </w:footnote>
  <w:footnote w:id="118">
    <w:p w14:paraId="4EB27AD2" w14:textId="42ED2618" w:rsidR="00944D93" w:rsidRDefault="00944D93">
      <w:pPr>
        <w:pStyle w:val="FootnoteText"/>
      </w:pPr>
      <w:r>
        <w:rPr>
          <w:rStyle w:val="FootnoteReference"/>
        </w:rPr>
        <w:footnoteRef/>
      </w:r>
      <w:r>
        <w:t xml:space="preserve"> </w:t>
      </w:r>
      <w:r w:rsidRPr="00840D58">
        <w:rPr>
          <w:sz w:val="16"/>
        </w:rPr>
        <w:t>Based on a study of 212 houses in NSW by Harvey, et al 2016.</w:t>
      </w:r>
    </w:p>
  </w:footnote>
  <w:footnote w:id="119">
    <w:p w14:paraId="27D7D03E" w14:textId="65BEAC0D" w:rsidR="00944D93" w:rsidRDefault="00944D93">
      <w:pPr>
        <w:pStyle w:val="FootnoteText"/>
      </w:pPr>
      <w:r>
        <w:rPr>
          <w:rStyle w:val="FootnoteReference"/>
        </w:rPr>
        <w:footnoteRef/>
      </w:r>
      <w:r w:rsidRPr="00DD3048">
        <w:rPr>
          <w:rFonts w:cs="Arial"/>
          <w:sz w:val="16"/>
          <w:szCs w:val="16"/>
        </w:rPr>
        <w:t xml:space="preserve"> Draft </w:t>
      </w:r>
      <w:r>
        <w:rPr>
          <w:rFonts w:cs="Arial"/>
          <w:sz w:val="16"/>
          <w:szCs w:val="16"/>
        </w:rPr>
        <w:t xml:space="preserve">proposal </w:t>
      </w:r>
      <w:r w:rsidRPr="00DD3048">
        <w:rPr>
          <w:rFonts w:cs="Arial"/>
          <w:sz w:val="16"/>
          <w:szCs w:val="16"/>
        </w:rPr>
        <w:t>su</w:t>
      </w:r>
      <w:r w:rsidRPr="002D1E18">
        <w:rPr>
          <w:rFonts w:cs="Arial"/>
          <w:sz w:val="16"/>
          <w:szCs w:val="16"/>
        </w:rPr>
        <w:t xml:space="preserve">bject further consultation </w:t>
      </w:r>
      <w:r>
        <w:rPr>
          <w:rFonts w:cs="Arial"/>
          <w:sz w:val="16"/>
          <w:szCs w:val="16"/>
        </w:rPr>
        <w:t xml:space="preserve">via </w:t>
      </w:r>
      <w:r w:rsidRPr="002D1E18">
        <w:rPr>
          <w:rFonts w:cs="Arial"/>
          <w:sz w:val="16"/>
          <w:szCs w:val="16"/>
        </w:rPr>
        <w:t>the public comment draft of NCC 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14CDD9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2E2C7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61B15"/>
    <w:multiLevelType w:val="hybridMultilevel"/>
    <w:tmpl w:val="653AF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1938AD"/>
    <w:multiLevelType w:val="hybridMultilevel"/>
    <w:tmpl w:val="20B4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8509AF"/>
    <w:multiLevelType w:val="hybridMultilevel"/>
    <w:tmpl w:val="7CC2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42672"/>
    <w:multiLevelType w:val="hybridMultilevel"/>
    <w:tmpl w:val="5A4E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261A0"/>
    <w:multiLevelType w:val="hybridMultilevel"/>
    <w:tmpl w:val="E6B65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F30859"/>
    <w:multiLevelType w:val="hybridMultilevel"/>
    <w:tmpl w:val="00484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13EC2"/>
    <w:multiLevelType w:val="hybridMultilevel"/>
    <w:tmpl w:val="A51EF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D71695"/>
    <w:multiLevelType w:val="hybridMultilevel"/>
    <w:tmpl w:val="1FE4E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57262"/>
    <w:multiLevelType w:val="hybridMultilevel"/>
    <w:tmpl w:val="CE0E6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60A2EA9"/>
    <w:multiLevelType w:val="hybridMultilevel"/>
    <w:tmpl w:val="906E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07A13"/>
    <w:multiLevelType w:val="hybridMultilevel"/>
    <w:tmpl w:val="D6CE2148"/>
    <w:lvl w:ilvl="0" w:tplc="B85AE848">
      <w:start w:val="1"/>
      <w:numFmt w:val="lowerRoman"/>
      <w:lvlText w:val="%1."/>
      <w:lvlJc w:val="left"/>
      <w:pPr>
        <w:ind w:left="1133" w:hanging="720"/>
      </w:pPr>
      <w:rPr>
        <w:rFonts w:hint="default"/>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3" w15:restartNumberingAfterBreak="0">
    <w:nsid w:val="1A946275"/>
    <w:multiLevelType w:val="hybridMultilevel"/>
    <w:tmpl w:val="F1CA886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B6C4182"/>
    <w:multiLevelType w:val="hybridMultilevel"/>
    <w:tmpl w:val="A756096C"/>
    <w:lvl w:ilvl="0" w:tplc="F688572E">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07A80"/>
    <w:multiLevelType w:val="hybridMultilevel"/>
    <w:tmpl w:val="935E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3068E"/>
    <w:multiLevelType w:val="hybridMultilevel"/>
    <w:tmpl w:val="2FD44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550B5F"/>
    <w:multiLevelType w:val="hybridMultilevel"/>
    <w:tmpl w:val="C420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8D6965"/>
    <w:multiLevelType w:val="hybridMultilevel"/>
    <w:tmpl w:val="3814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3116B2"/>
    <w:multiLevelType w:val="hybridMultilevel"/>
    <w:tmpl w:val="A07C3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F0528"/>
    <w:multiLevelType w:val="hybridMultilevel"/>
    <w:tmpl w:val="6E3A124E"/>
    <w:lvl w:ilvl="0" w:tplc="C8FC0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81469"/>
    <w:multiLevelType w:val="hybridMultilevel"/>
    <w:tmpl w:val="1B40AAC8"/>
    <w:lvl w:ilvl="0" w:tplc="0C090001">
      <w:start w:val="1"/>
      <w:numFmt w:val="bullet"/>
      <w:lvlText w:val=""/>
      <w:lvlJc w:val="left"/>
      <w:pPr>
        <w:ind w:left="1584" w:hanging="360"/>
      </w:pPr>
      <w:rPr>
        <w:rFonts w:ascii="Symbol" w:hAnsi="Symbol" w:hint="default"/>
      </w:rPr>
    </w:lvl>
    <w:lvl w:ilvl="1" w:tplc="0C090003" w:tentative="1">
      <w:start w:val="1"/>
      <w:numFmt w:val="bullet"/>
      <w:lvlText w:val="o"/>
      <w:lvlJc w:val="left"/>
      <w:pPr>
        <w:ind w:left="2304" w:hanging="360"/>
      </w:pPr>
      <w:rPr>
        <w:rFonts w:ascii="Courier New" w:hAnsi="Courier New" w:cs="Courier New" w:hint="default"/>
      </w:rPr>
    </w:lvl>
    <w:lvl w:ilvl="2" w:tplc="0C090005" w:tentative="1">
      <w:start w:val="1"/>
      <w:numFmt w:val="bullet"/>
      <w:lvlText w:val=""/>
      <w:lvlJc w:val="left"/>
      <w:pPr>
        <w:ind w:left="3024" w:hanging="360"/>
      </w:pPr>
      <w:rPr>
        <w:rFonts w:ascii="Wingdings" w:hAnsi="Wingdings" w:hint="default"/>
      </w:rPr>
    </w:lvl>
    <w:lvl w:ilvl="3" w:tplc="0C090001" w:tentative="1">
      <w:start w:val="1"/>
      <w:numFmt w:val="bullet"/>
      <w:lvlText w:val=""/>
      <w:lvlJc w:val="left"/>
      <w:pPr>
        <w:ind w:left="3744" w:hanging="360"/>
      </w:pPr>
      <w:rPr>
        <w:rFonts w:ascii="Symbol" w:hAnsi="Symbol" w:hint="default"/>
      </w:rPr>
    </w:lvl>
    <w:lvl w:ilvl="4" w:tplc="0C090003" w:tentative="1">
      <w:start w:val="1"/>
      <w:numFmt w:val="bullet"/>
      <w:lvlText w:val="o"/>
      <w:lvlJc w:val="left"/>
      <w:pPr>
        <w:ind w:left="4464" w:hanging="360"/>
      </w:pPr>
      <w:rPr>
        <w:rFonts w:ascii="Courier New" w:hAnsi="Courier New" w:cs="Courier New" w:hint="default"/>
      </w:rPr>
    </w:lvl>
    <w:lvl w:ilvl="5" w:tplc="0C090005" w:tentative="1">
      <w:start w:val="1"/>
      <w:numFmt w:val="bullet"/>
      <w:lvlText w:val=""/>
      <w:lvlJc w:val="left"/>
      <w:pPr>
        <w:ind w:left="5184" w:hanging="360"/>
      </w:pPr>
      <w:rPr>
        <w:rFonts w:ascii="Wingdings" w:hAnsi="Wingdings" w:hint="default"/>
      </w:rPr>
    </w:lvl>
    <w:lvl w:ilvl="6" w:tplc="0C090001" w:tentative="1">
      <w:start w:val="1"/>
      <w:numFmt w:val="bullet"/>
      <w:lvlText w:val=""/>
      <w:lvlJc w:val="left"/>
      <w:pPr>
        <w:ind w:left="5904" w:hanging="360"/>
      </w:pPr>
      <w:rPr>
        <w:rFonts w:ascii="Symbol" w:hAnsi="Symbol" w:hint="default"/>
      </w:rPr>
    </w:lvl>
    <w:lvl w:ilvl="7" w:tplc="0C090003" w:tentative="1">
      <w:start w:val="1"/>
      <w:numFmt w:val="bullet"/>
      <w:lvlText w:val="o"/>
      <w:lvlJc w:val="left"/>
      <w:pPr>
        <w:ind w:left="6624" w:hanging="360"/>
      </w:pPr>
      <w:rPr>
        <w:rFonts w:ascii="Courier New" w:hAnsi="Courier New" w:cs="Courier New" w:hint="default"/>
      </w:rPr>
    </w:lvl>
    <w:lvl w:ilvl="8" w:tplc="0C090005" w:tentative="1">
      <w:start w:val="1"/>
      <w:numFmt w:val="bullet"/>
      <w:lvlText w:val=""/>
      <w:lvlJc w:val="left"/>
      <w:pPr>
        <w:ind w:left="7344" w:hanging="360"/>
      </w:pPr>
      <w:rPr>
        <w:rFonts w:ascii="Wingdings" w:hAnsi="Wingdings" w:hint="default"/>
      </w:rPr>
    </w:lvl>
  </w:abstractNum>
  <w:abstractNum w:abstractNumId="22" w15:restartNumberingAfterBreak="0">
    <w:nsid w:val="2E4E1F30"/>
    <w:multiLevelType w:val="hybridMultilevel"/>
    <w:tmpl w:val="DA0E08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0920614"/>
    <w:multiLevelType w:val="hybridMultilevel"/>
    <w:tmpl w:val="B65EA142"/>
    <w:lvl w:ilvl="0" w:tplc="2F16AEBC">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6B737A"/>
    <w:multiLevelType w:val="hybridMultilevel"/>
    <w:tmpl w:val="BFDA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271C1A"/>
    <w:multiLevelType w:val="hybridMultilevel"/>
    <w:tmpl w:val="84785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9F499D"/>
    <w:multiLevelType w:val="multilevel"/>
    <w:tmpl w:val="7256DDAE"/>
    <w:lvl w:ilvl="0">
      <w:start w:val="1"/>
      <w:numFmt w:val="bullet"/>
      <w:pStyle w:val="Multileve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7305A07"/>
    <w:multiLevelType w:val="hybridMultilevel"/>
    <w:tmpl w:val="077E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806E1E"/>
    <w:multiLevelType w:val="hybridMultilevel"/>
    <w:tmpl w:val="84203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01FA9"/>
    <w:multiLevelType w:val="multilevel"/>
    <w:tmpl w:val="8DB03F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9AB0893"/>
    <w:multiLevelType w:val="hybridMultilevel"/>
    <w:tmpl w:val="5E9C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7E4819"/>
    <w:multiLevelType w:val="hybridMultilevel"/>
    <w:tmpl w:val="47FE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7E0DB2"/>
    <w:multiLevelType w:val="hybridMultilevel"/>
    <w:tmpl w:val="407A0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910F87"/>
    <w:multiLevelType w:val="hybridMultilevel"/>
    <w:tmpl w:val="C2DE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4D3083"/>
    <w:multiLevelType w:val="hybridMultilevel"/>
    <w:tmpl w:val="E0360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664037A"/>
    <w:multiLevelType w:val="hybridMultilevel"/>
    <w:tmpl w:val="3EDE2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10454A"/>
    <w:multiLevelType w:val="hybridMultilevel"/>
    <w:tmpl w:val="E20A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1C6FFE"/>
    <w:multiLevelType w:val="hybridMultilevel"/>
    <w:tmpl w:val="70E2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06EBF"/>
    <w:multiLevelType w:val="hybridMultilevel"/>
    <w:tmpl w:val="B7E2E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C74D04"/>
    <w:multiLevelType w:val="hybridMultilevel"/>
    <w:tmpl w:val="9CD6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CD62E3"/>
    <w:multiLevelType w:val="hybridMultilevel"/>
    <w:tmpl w:val="F6B88D2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41" w15:restartNumberingAfterBreak="0">
    <w:nsid w:val="613F66AA"/>
    <w:multiLevelType w:val="hybridMultilevel"/>
    <w:tmpl w:val="A8A06CDE"/>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15:restartNumberingAfterBreak="0">
    <w:nsid w:val="63BD28A8"/>
    <w:multiLevelType w:val="hybridMultilevel"/>
    <w:tmpl w:val="CC82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DF2DE6"/>
    <w:multiLevelType w:val="hybridMultilevel"/>
    <w:tmpl w:val="2258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32235A"/>
    <w:multiLevelType w:val="hybridMultilevel"/>
    <w:tmpl w:val="CCC2C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E56E16"/>
    <w:multiLevelType w:val="hybridMultilevel"/>
    <w:tmpl w:val="3712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290F53"/>
    <w:multiLevelType w:val="hybridMultilevel"/>
    <w:tmpl w:val="43081FBC"/>
    <w:lvl w:ilvl="0" w:tplc="6F50E7C6">
      <w:numFmt w:val="bullet"/>
      <w:lvlText w:val="-"/>
      <w:lvlJc w:val="left"/>
      <w:pPr>
        <w:ind w:left="420" w:hanging="360"/>
      </w:pPr>
      <w:rPr>
        <w:rFonts w:ascii="Arial" w:eastAsiaTheme="maj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47" w15:restartNumberingAfterBreak="0">
    <w:nsid w:val="6A807C46"/>
    <w:multiLevelType w:val="hybridMultilevel"/>
    <w:tmpl w:val="A9D002A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8" w15:restartNumberingAfterBreak="0">
    <w:nsid w:val="6AE408ED"/>
    <w:multiLevelType w:val="hybridMultilevel"/>
    <w:tmpl w:val="FBB020BC"/>
    <w:lvl w:ilvl="0" w:tplc="19D41F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811F82"/>
    <w:multiLevelType w:val="hybridMultilevel"/>
    <w:tmpl w:val="C62C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B4385C"/>
    <w:multiLevelType w:val="hybridMultilevel"/>
    <w:tmpl w:val="E21A95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2C5423D"/>
    <w:multiLevelType w:val="multilevel"/>
    <w:tmpl w:val="B31A591C"/>
    <w:lvl w:ilvl="0">
      <w:start w:val="1"/>
      <w:numFmt w:val="decimal"/>
      <w:pStyle w:val="Multi-levelNumbered"/>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31E1605"/>
    <w:multiLevelType w:val="multilevel"/>
    <w:tmpl w:val="0C09001D"/>
    <w:styleLink w:val="Multi-levelnumbere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57D7E29"/>
    <w:multiLevelType w:val="hybridMultilevel"/>
    <w:tmpl w:val="8AC667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759D6B8D"/>
    <w:multiLevelType w:val="hybridMultilevel"/>
    <w:tmpl w:val="A90A656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5" w15:restartNumberingAfterBreak="0">
    <w:nsid w:val="76415AA5"/>
    <w:multiLevelType w:val="hybridMultilevel"/>
    <w:tmpl w:val="53E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AA1CE8"/>
    <w:multiLevelType w:val="hybridMultilevel"/>
    <w:tmpl w:val="587E6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6"/>
  </w:num>
  <w:num w:numId="4">
    <w:abstractNumId w:val="52"/>
  </w:num>
  <w:num w:numId="5">
    <w:abstractNumId w:val="51"/>
  </w:num>
  <w:num w:numId="6">
    <w:abstractNumId w:val="32"/>
  </w:num>
  <w:num w:numId="7">
    <w:abstractNumId w:val="8"/>
  </w:num>
  <w:num w:numId="8">
    <w:abstractNumId w:val="22"/>
  </w:num>
  <w:num w:numId="9">
    <w:abstractNumId w:val="16"/>
  </w:num>
  <w:num w:numId="10">
    <w:abstractNumId w:val="56"/>
  </w:num>
  <w:num w:numId="11">
    <w:abstractNumId w:val="44"/>
  </w:num>
  <w:num w:numId="12">
    <w:abstractNumId w:val="31"/>
  </w:num>
  <w:num w:numId="13">
    <w:abstractNumId w:val="34"/>
  </w:num>
  <w:num w:numId="14">
    <w:abstractNumId w:val="12"/>
  </w:num>
  <w:num w:numId="15">
    <w:abstractNumId w:val="13"/>
  </w:num>
  <w:num w:numId="16">
    <w:abstractNumId w:val="25"/>
  </w:num>
  <w:num w:numId="17">
    <w:abstractNumId w:val="47"/>
  </w:num>
  <w:num w:numId="18">
    <w:abstractNumId w:val="9"/>
  </w:num>
  <w:num w:numId="19">
    <w:abstractNumId w:val="32"/>
  </w:num>
  <w:num w:numId="20">
    <w:abstractNumId w:val="35"/>
  </w:num>
  <w:num w:numId="21">
    <w:abstractNumId w:val="40"/>
  </w:num>
  <w:num w:numId="22">
    <w:abstractNumId w:val="18"/>
  </w:num>
  <w:num w:numId="23">
    <w:abstractNumId w:val="50"/>
  </w:num>
  <w:num w:numId="24">
    <w:abstractNumId w:val="17"/>
  </w:num>
  <w:num w:numId="25">
    <w:abstractNumId w:val="11"/>
  </w:num>
  <w:num w:numId="26">
    <w:abstractNumId w:val="39"/>
  </w:num>
  <w:num w:numId="27">
    <w:abstractNumId w:val="5"/>
  </w:num>
  <w:num w:numId="28">
    <w:abstractNumId w:val="55"/>
  </w:num>
  <w:num w:numId="29">
    <w:abstractNumId w:val="3"/>
  </w:num>
  <w:num w:numId="30">
    <w:abstractNumId w:val="37"/>
  </w:num>
  <w:num w:numId="31">
    <w:abstractNumId w:val="49"/>
  </w:num>
  <w:num w:numId="32">
    <w:abstractNumId w:val="33"/>
  </w:num>
  <w:num w:numId="33">
    <w:abstractNumId w:val="36"/>
  </w:num>
  <w:num w:numId="34">
    <w:abstractNumId w:val="24"/>
  </w:num>
  <w:num w:numId="35">
    <w:abstractNumId w:val="15"/>
  </w:num>
  <w:num w:numId="36">
    <w:abstractNumId w:val="19"/>
  </w:num>
  <w:num w:numId="37">
    <w:abstractNumId w:val="48"/>
  </w:num>
  <w:num w:numId="38">
    <w:abstractNumId w:val="42"/>
  </w:num>
  <w:num w:numId="39">
    <w:abstractNumId w:val="38"/>
  </w:num>
  <w:num w:numId="40">
    <w:abstractNumId w:val="30"/>
  </w:num>
  <w:num w:numId="41">
    <w:abstractNumId w:val="7"/>
  </w:num>
  <w:num w:numId="42">
    <w:abstractNumId w:val="14"/>
  </w:num>
  <w:num w:numId="43">
    <w:abstractNumId w:val="41"/>
  </w:num>
  <w:num w:numId="44">
    <w:abstractNumId w:val="27"/>
  </w:num>
  <w:num w:numId="45">
    <w:abstractNumId w:val="4"/>
  </w:num>
  <w:num w:numId="46">
    <w:abstractNumId w:val="10"/>
  </w:num>
  <w:num w:numId="47">
    <w:abstractNumId w:val="53"/>
  </w:num>
  <w:num w:numId="48">
    <w:abstractNumId w:val="54"/>
  </w:num>
  <w:num w:numId="49">
    <w:abstractNumId w:val="2"/>
  </w:num>
  <w:num w:numId="50">
    <w:abstractNumId w:val="28"/>
  </w:num>
  <w:num w:numId="51">
    <w:abstractNumId w:val="6"/>
  </w:num>
  <w:num w:numId="52">
    <w:abstractNumId w:val="29"/>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0"/>
  </w:num>
  <w:num w:numId="69">
    <w:abstractNumId w:val="23"/>
  </w:num>
  <w:num w:numId="70">
    <w:abstractNumId w:val="46"/>
  </w:num>
  <w:num w:numId="71">
    <w:abstractNumId w:val="43"/>
  </w:num>
  <w:num w:numId="72">
    <w:abstractNumId w:val="45"/>
  </w:num>
  <w:num w:numId="73">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73"/>
    <w:rsid w:val="0000327B"/>
    <w:rsid w:val="000038B2"/>
    <w:rsid w:val="00003B67"/>
    <w:rsid w:val="00003E4D"/>
    <w:rsid w:val="00005180"/>
    <w:rsid w:val="0000523D"/>
    <w:rsid w:val="00006839"/>
    <w:rsid w:val="00010C77"/>
    <w:rsid w:val="0001119A"/>
    <w:rsid w:val="00011207"/>
    <w:rsid w:val="000118C0"/>
    <w:rsid w:val="00012167"/>
    <w:rsid w:val="000135EF"/>
    <w:rsid w:val="00014164"/>
    <w:rsid w:val="00014973"/>
    <w:rsid w:val="00014B17"/>
    <w:rsid w:val="00014E4F"/>
    <w:rsid w:val="000153AF"/>
    <w:rsid w:val="0001542C"/>
    <w:rsid w:val="00015487"/>
    <w:rsid w:val="000163A9"/>
    <w:rsid w:val="000172E4"/>
    <w:rsid w:val="00017489"/>
    <w:rsid w:val="00017B53"/>
    <w:rsid w:val="00020230"/>
    <w:rsid w:val="0002214A"/>
    <w:rsid w:val="00023216"/>
    <w:rsid w:val="00026055"/>
    <w:rsid w:val="00032A29"/>
    <w:rsid w:val="00032CC5"/>
    <w:rsid w:val="0003744F"/>
    <w:rsid w:val="00037D84"/>
    <w:rsid w:val="000407A6"/>
    <w:rsid w:val="00041F8E"/>
    <w:rsid w:val="000420DF"/>
    <w:rsid w:val="0004257C"/>
    <w:rsid w:val="00042CC9"/>
    <w:rsid w:val="00043C34"/>
    <w:rsid w:val="00044537"/>
    <w:rsid w:val="0005012D"/>
    <w:rsid w:val="0005021A"/>
    <w:rsid w:val="00050E8B"/>
    <w:rsid w:val="000519EA"/>
    <w:rsid w:val="00052B7F"/>
    <w:rsid w:val="00052EE2"/>
    <w:rsid w:val="00053173"/>
    <w:rsid w:val="00054A01"/>
    <w:rsid w:val="00054A2D"/>
    <w:rsid w:val="00055070"/>
    <w:rsid w:val="0005627E"/>
    <w:rsid w:val="000565F0"/>
    <w:rsid w:val="000566D4"/>
    <w:rsid w:val="000573FE"/>
    <w:rsid w:val="00057D4D"/>
    <w:rsid w:val="00061F8C"/>
    <w:rsid w:val="000636A6"/>
    <w:rsid w:val="00064661"/>
    <w:rsid w:val="00064E67"/>
    <w:rsid w:val="000650DA"/>
    <w:rsid w:val="00065442"/>
    <w:rsid w:val="00066599"/>
    <w:rsid w:val="00067B0B"/>
    <w:rsid w:val="000701EA"/>
    <w:rsid w:val="00073A11"/>
    <w:rsid w:val="00073D18"/>
    <w:rsid w:val="0007404F"/>
    <w:rsid w:val="0007442B"/>
    <w:rsid w:val="00074AFF"/>
    <w:rsid w:val="00075060"/>
    <w:rsid w:val="00076C09"/>
    <w:rsid w:val="000774E5"/>
    <w:rsid w:val="000827FB"/>
    <w:rsid w:val="00084772"/>
    <w:rsid w:val="000867DF"/>
    <w:rsid w:val="00086C30"/>
    <w:rsid w:val="0008702B"/>
    <w:rsid w:val="00091B59"/>
    <w:rsid w:val="000921CB"/>
    <w:rsid w:val="000936C5"/>
    <w:rsid w:val="00093AD6"/>
    <w:rsid w:val="00093F54"/>
    <w:rsid w:val="00094235"/>
    <w:rsid w:val="000945E0"/>
    <w:rsid w:val="00094646"/>
    <w:rsid w:val="00094770"/>
    <w:rsid w:val="00095070"/>
    <w:rsid w:val="000956EE"/>
    <w:rsid w:val="0009699B"/>
    <w:rsid w:val="000977B6"/>
    <w:rsid w:val="000977C6"/>
    <w:rsid w:val="000978A0"/>
    <w:rsid w:val="000A28FA"/>
    <w:rsid w:val="000A2979"/>
    <w:rsid w:val="000A2EB0"/>
    <w:rsid w:val="000A39BA"/>
    <w:rsid w:val="000A3B2C"/>
    <w:rsid w:val="000A44E5"/>
    <w:rsid w:val="000A47F9"/>
    <w:rsid w:val="000A6F46"/>
    <w:rsid w:val="000B1BE6"/>
    <w:rsid w:val="000B1D79"/>
    <w:rsid w:val="000B224C"/>
    <w:rsid w:val="000B28CF"/>
    <w:rsid w:val="000B3077"/>
    <w:rsid w:val="000B39DB"/>
    <w:rsid w:val="000B3CD7"/>
    <w:rsid w:val="000B4D3C"/>
    <w:rsid w:val="000B5120"/>
    <w:rsid w:val="000B513F"/>
    <w:rsid w:val="000B51BE"/>
    <w:rsid w:val="000B5D46"/>
    <w:rsid w:val="000B6076"/>
    <w:rsid w:val="000B675B"/>
    <w:rsid w:val="000B6E8F"/>
    <w:rsid w:val="000C0475"/>
    <w:rsid w:val="000C1823"/>
    <w:rsid w:val="000C2778"/>
    <w:rsid w:val="000C2D76"/>
    <w:rsid w:val="000C3AA6"/>
    <w:rsid w:val="000C5633"/>
    <w:rsid w:val="000C69BE"/>
    <w:rsid w:val="000C71AF"/>
    <w:rsid w:val="000C7300"/>
    <w:rsid w:val="000C744A"/>
    <w:rsid w:val="000D06AB"/>
    <w:rsid w:val="000D1D74"/>
    <w:rsid w:val="000D24E8"/>
    <w:rsid w:val="000D24EC"/>
    <w:rsid w:val="000D3639"/>
    <w:rsid w:val="000D3A57"/>
    <w:rsid w:val="000D4510"/>
    <w:rsid w:val="000D5762"/>
    <w:rsid w:val="000D72A2"/>
    <w:rsid w:val="000E120E"/>
    <w:rsid w:val="000E1667"/>
    <w:rsid w:val="000E3779"/>
    <w:rsid w:val="000E3CEC"/>
    <w:rsid w:val="000E439B"/>
    <w:rsid w:val="000E45DF"/>
    <w:rsid w:val="000E4DE7"/>
    <w:rsid w:val="000E4F12"/>
    <w:rsid w:val="000E5109"/>
    <w:rsid w:val="000E6D7A"/>
    <w:rsid w:val="000E74DC"/>
    <w:rsid w:val="000E7D44"/>
    <w:rsid w:val="000F04C3"/>
    <w:rsid w:val="000F113D"/>
    <w:rsid w:val="000F1272"/>
    <w:rsid w:val="000F187D"/>
    <w:rsid w:val="000F2111"/>
    <w:rsid w:val="000F270D"/>
    <w:rsid w:val="000F3286"/>
    <w:rsid w:val="000F3ED8"/>
    <w:rsid w:val="000F582D"/>
    <w:rsid w:val="000F69AD"/>
    <w:rsid w:val="000F6FC9"/>
    <w:rsid w:val="000F743C"/>
    <w:rsid w:val="00100956"/>
    <w:rsid w:val="00101F28"/>
    <w:rsid w:val="0010312A"/>
    <w:rsid w:val="00103869"/>
    <w:rsid w:val="00103F52"/>
    <w:rsid w:val="00106216"/>
    <w:rsid w:val="001065FF"/>
    <w:rsid w:val="0010786B"/>
    <w:rsid w:val="001102FB"/>
    <w:rsid w:val="00110977"/>
    <w:rsid w:val="0011208C"/>
    <w:rsid w:val="001120D7"/>
    <w:rsid w:val="001126B9"/>
    <w:rsid w:val="001144DB"/>
    <w:rsid w:val="00115E0A"/>
    <w:rsid w:val="00116924"/>
    <w:rsid w:val="001177C7"/>
    <w:rsid w:val="00117AE3"/>
    <w:rsid w:val="00117AE7"/>
    <w:rsid w:val="00120C78"/>
    <w:rsid w:val="00120F96"/>
    <w:rsid w:val="001217FF"/>
    <w:rsid w:val="00121AF6"/>
    <w:rsid w:val="001220CA"/>
    <w:rsid w:val="00125218"/>
    <w:rsid w:val="00125723"/>
    <w:rsid w:val="00125EB3"/>
    <w:rsid w:val="00125F15"/>
    <w:rsid w:val="001274DD"/>
    <w:rsid w:val="00127D3A"/>
    <w:rsid w:val="00130A54"/>
    <w:rsid w:val="0013100A"/>
    <w:rsid w:val="001317C6"/>
    <w:rsid w:val="00131B8F"/>
    <w:rsid w:val="0013257B"/>
    <w:rsid w:val="00132754"/>
    <w:rsid w:val="00134ED7"/>
    <w:rsid w:val="001353C7"/>
    <w:rsid w:val="001363C9"/>
    <w:rsid w:val="00136905"/>
    <w:rsid w:val="001371B8"/>
    <w:rsid w:val="00140290"/>
    <w:rsid w:val="00140BCB"/>
    <w:rsid w:val="001415B4"/>
    <w:rsid w:val="00141F7A"/>
    <w:rsid w:val="00142215"/>
    <w:rsid w:val="0014298F"/>
    <w:rsid w:val="0014416F"/>
    <w:rsid w:val="00144AC8"/>
    <w:rsid w:val="00145840"/>
    <w:rsid w:val="001465C2"/>
    <w:rsid w:val="00146B51"/>
    <w:rsid w:val="00146FA2"/>
    <w:rsid w:val="001537A0"/>
    <w:rsid w:val="001557BD"/>
    <w:rsid w:val="00156820"/>
    <w:rsid w:val="00157A48"/>
    <w:rsid w:val="0016339C"/>
    <w:rsid w:val="001636FF"/>
    <w:rsid w:val="0016589D"/>
    <w:rsid w:val="00165A27"/>
    <w:rsid w:val="0016746A"/>
    <w:rsid w:val="00170617"/>
    <w:rsid w:val="001724D7"/>
    <w:rsid w:val="00173E9D"/>
    <w:rsid w:val="00173EF2"/>
    <w:rsid w:val="001743BE"/>
    <w:rsid w:val="00174569"/>
    <w:rsid w:val="00174FD9"/>
    <w:rsid w:val="0017584D"/>
    <w:rsid w:val="0017590E"/>
    <w:rsid w:val="001765FB"/>
    <w:rsid w:val="00177033"/>
    <w:rsid w:val="001802FA"/>
    <w:rsid w:val="00180ED0"/>
    <w:rsid w:val="001834FD"/>
    <w:rsid w:val="00184209"/>
    <w:rsid w:val="001846F3"/>
    <w:rsid w:val="0018494A"/>
    <w:rsid w:val="001849CA"/>
    <w:rsid w:val="00185C9F"/>
    <w:rsid w:val="001868C5"/>
    <w:rsid w:val="001874B3"/>
    <w:rsid w:val="0019023C"/>
    <w:rsid w:val="00191223"/>
    <w:rsid w:val="0019189B"/>
    <w:rsid w:val="00191C58"/>
    <w:rsid w:val="00191EE1"/>
    <w:rsid w:val="00192759"/>
    <w:rsid w:val="00194762"/>
    <w:rsid w:val="00194774"/>
    <w:rsid w:val="00194953"/>
    <w:rsid w:val="00195067"/>
    <w:rsid w:val="00195593"/>
    <w:rsid w:val="00195E78"/>
    <w:rsid w:val="00196411"/>
    <w:rsid w:val="00196566"/>
    <w:rsid w:val="0019798B"/>
    <w:rsid w:val="001A0103"/>
    <w:rsid w:val="001A0104"/>
    <w:rsid w:val="001A0555"/>
    <w:rsid w:val="001A3635"/>
    <w:rsid w:val="001A4EBE"/>
    <w:rsid w:val="001A557C"/>
    <w:rsid w:val="001A5753"/>
    <w:rsid w:val="001A6888"/>
    <w:rsid w:val="001A6C57"/>
    <w:rsid w:val="001A6DD9"/>
    <w:rsid w:val="001A7300"/>
    <w:rsid w:val="001B27F1"/>
    <w:rsid w:val="001B30D2"/>
    <w:rsid w:val="001B36F1"/>
    <w:rsid w:val="001B619B"/>
    <w:rsid w:val="001B654A"/>
    <w:rsid w:val="001B7A84"/>
    <w:rsid w:val="001C02DE"/>
    <w:rsid w:val="001C048B"/>
    <w:rsid w:val="001C0852"/>
    <w:rsid w:val="001C0D54"/>
    <w:rsid w:val="001C2680"/>
    <w:rsid w:val="001C2B1D"/>
    <w:rsid w:val="001C2DF8"/>
    <w:rsid w:val="001C3135"/>
    <w:rsid w:val="001C457B"/>
    <w:rsid w:val="001C4FF0"/>
    <w:rsid w:val="001C5786"/>
    <w:rsid w:val="001C5FF8"/>
    <w:rsid w:val="001C652E"/>
    <w:rsid w:val="001C6ABB"/>
    <w:rsid w:val="001C6CDF"/>
    <w:rsid w:val="001D057E"/>
    <w:rsid w:val="001D0636"/>
    <w:rsid w:val="001D0E44"/>
    <w:rsid w:val="001D207B"/>
    <w:rsid w:val="001D2898"/>
    <w:rsid w:val="001D3B21"/>
    <w:rsid w:val="001D3ED0"/>
    <w:rsid w:val="001D4A89"/>
    <w:rsid w:val="001D581B"/>
    <w:rsid w:val="001D5F32"/>
    <w:rsid w:val="001D70B9"/>
    <w:rsid w:val="001D7AEE"/>
    <w:rsid w:val="001D7CFE"/>
    <w:rsid w:val="001E0011"/>
    <w:rsid w:val="001E0109"/>
    <w:rsid w:val="001E1A8F"/>
    <w:rsid w:val="001E4155"/>
    <w:rsid w:val="001E4541"/>
    <w:rsid w:val="001E4B6E"/>
    <w:rsid w:val="001E4D9D"/>
    <w:rsid w:val="001E6840"/>
    <w:rsid w:val="001E7E08"/>
    <w:rsid w:val="001F0E1D"/>
    <w:rsid w:val="001F1CE3"/>
    <w:rsid w:val="001F1D39"/>
    <w:rsid w:val="001F2ECA"/>
    <w:rsid w:val="001F3179"/>
    <w:rsid w:val="001F36F1"/>
    <w:rsid w:val="001F50BD"/>
    <w:rsid w:val="001F6711"/>
    <w:rsid w:val="001F7B2B"/>
    <w:rsid w:val="00200450"/>
    <w:rsid w:val="0020060B"/>
    <w:rsid w:val="00201F97"/>
    <w:rsid w:val="00202421"/>
    <w:rsid w:val="00202B70"/>
    <w:rsid w:val="002047F6"/>
    <w:rsid w:val="00204D37"/>
    <w:rsid w:val="002050B4"/>
    <w:rsid w:val="00205BFC"/>
    <w:rsid w:val="00205C8D"/>
    <w:rsid w:val="00207CD1"/>
    <w:rsid w:val="002104C7"/>
    <w:rsid w:val="002109AD"/>
    <w:rsid w:val="00210A59"/>
    <w:rsid w:val="00212245"/>
    <w:rsid w:val="00212651"/>
    <w:rsid w:val="00212B54"/>
    <w:rsid w:val="002136C2"/>
    <w:rsid w:val="00214186"/>
    <w:rsid w:val="0021554E"/>
    <w:rsid w:val="00215764"/>
    <w:rsid w:val="00216E96"/>
    <w:rsid w:val="0021707B"/>
    <w:rsid w:val="00220797"/>
    <w:rsid w:val="002207A1"/>
    <w:rsid w:val="00220D4C"/>
    <w:rsid w:val="00224C51"/>
    <w:rsid w:val="00225399"/>
    <w:rsid w:val="002254D3"/>
    <w:rsid w:val="00225AAA"/>
    <w:rsid w:val="00226382"/>
    <w:rsid w:val="002276B5"/>
    <w:rsid w:val="00227999"/>
    <w:rsid w:val="0023019F"/>
    <w:rsid w:val="002304B0"/>
    <w:rsid w:val="00230580"/>
    <w:rsid w:val="002314DF"/>
    <w:rsid w:val="002322EC"/>
    <w:rsid w:val="00234168"/>
    <w:rsid w:val="002350E1"/>
    <w:rsid w:val="00236A96"/>
    <w:rsid w:val="002379FC"/>
    <w:rsid w:val="00240E00"/>
    <w:rsid w:val="002414E7"/>
    <w:rsid w:val="00242579"/>
    <w:rsid w:val="00242670"/>
    <w:rsid w:val="00242732"/>
    <w:rsid w:val="00242B89"/>
    <w:rsid w:val="00242CB3"/>
    <w:rsid w:val="002436A6"/>
    <w:rsid w:val="00250D14"/>
    <w:rsid w:val="00250FC7"/>
    <w:rsid w:val="00251B11"/>
    <w:rsid w:val="00251D69"/>
    <w:rsid w:val="00253BA0"/>
    <w:rsid w:val="00253BF7"/>
    <w:rsid w:val="00253CB2"/>
    <w:rsid w:val="0025443D"/>
    <w:rsid w:val="00254564"/>
    <w:rsid w:val="00254705"/>
    <w:rsid w:val="002553D0"/>
    <w:rsid w:val="0025628B"/>
    <w:rsid w:val="0025648A"/>
    <w:rsid w:val="00260019"/>
    <w:rsid w:val="00260526"/>
    <w:rsid w:val="00260C7F"/>
    <w:rsid w:val="0026258F"/>
    <w:rsid w:val="00262619"/>
    <w:rsid w:val="00262951"/>
    <w:rsid w:val="00262FF5"/>
    <w:rsid w:val="00263CBB"/>
    <w:rsid w:val="00264E94"/>
    <w:rsid w:val="00265519"/>
    <w:rsid w:val="002661B0"/>
    <w:rsid w:val="00267B1B"/>
    <w:rsid w:val="00267BFC"/>
    <w:rsid w:val="00270623"/>
    <w:rsid w:val="00271624"/>
    <w:rsid w:val="00271D86"/>
    <w:rsid w:val="00272606"/>
    <w:rsid w:val="00273505"/>
    <w:rsid w:val="00273618"/>
    <w:rsid w:val="0027396C"/>
    <w:rsid w:val="00274253"/>
    <w:rsid w:val="002747AF"/>
    <w:rsid w:val="00274BC8"/>
    <w:rsid w:val="002753AA"/>
    <w:rsid w:val="002754C8"/>
    <w:rsid w:val="002758CC"/>
    <w:rsid w:val="00275E8E"/>
    <w:rsid w:val="0027640E"/>
    <w:rsid w:val="00276588"/>
    <w:rsid w:val="002773B1"/>
    <w:rsid w:val="0027772D"/>
    <w:rsid w:val="0028005A"/>
    <w:rsid w:val="002800B1"/>
    <w:rsid w:val="002800E2"/>
    <w:rsid w:val="002833C0"/>
    <w:rsid w:val="002850C9"/>
    <w:rsid w:val="00285886"/>
    <w:rsid w:val="0028610A"/>
    <w:rsid w:val="0028611D"/>
    <w:rsid w:val="00287150"/>
    <w:rsid w:val="00287506"/>
    <w:rsid w:val="00287BEC"/>
    <w:rsid w:val="00287D79"/>
    <w:rsid w:val="00287E0F"/>
    <w:rsid w:val="00290C66"/>
    <w:rsid w:val="00291D45"/>
    <w:rsid w:val="0029376F"/>
    <w:rsid w:val="0029410F"/>
    <w:rsid w:val="00294870"/>
    <w:rsid w:val="002978C2"/>
    <w:rsid w:val="002A10E0"/>
    <w:rsid w:val="002A2088"/>
    <w:rsid w:val="002A298F"/>
    <w:rsid w:val="002A4798"/>
    <w:rsid w:val="002A497D"/>
    <w:rsid w:val="002A57E9"/>
    <w:rsid w:val="002A599D"/>
    <w:rsid w:val="002A674A"/>
    <w:rsid w:val="002B20C8"/>
    <w:rsid w:val="002B4856"/>
    <w:rsid w:val="002B5CEF"/>
    <w:rsid w:val="002B68DE"/>
    <w:rsid w:val="002B6A24"/>
    <w:rsid w:val="002B7A22"/>
    <w:rsid w:val="002C070A"/>
    <w:rsid w:val="002C0F7C"/>
    <w:rsid w:val="002C323E"/>
    <w:rsid w:val="002C4107"/>
    <w:rsid w:val="002C7456"/>
    <w:rsid w:val="002D1A8C"/>
    <w:rsid w:val="002D1E18"/>
    <w:rsid w:val="002D4B7F"/>
    <w:rsid w:val="002D5DB8"/>
    <w:rsid w:val="002D6349"/>
    <w:rsid w:val="002D66CB"/>
    <w:rsid w:val="002D7896"/>
    <w:rsid w:val="002D7F2E"/>
    <w:rsid w:val="002E0B28"/>
    <w:rsid w:val="002E2BE7"/>
    <w:rsid w:val="002E388B"/>
    <w:rsid w:val="002E4BE2"/>
    <w:rsid w:val="002E521F"/>
    <w:rsid w:val="002E5ABB"/>
    <w:rsid w:val="002E73D2"/>
    <w:rsid w:val="002F0158"/>
    <w:rsid w:val="002F0489"/>
    <w:rsid w:val="002F101C"/>
    <w:rsid w:val="002F324F"/>
    <w:rsid w:val="002F46AD"/>
    <w:rsid w:val="002F51FD"/>
    <w:rsid w:val="002F5D73"/>
    <w:rsid w:val="002F5E52"/>
    <w:rsid w:val="002F620F"/>
    <w:rsid w:val="002F6507"/>
    <w:rsid w:val="002F6CEC"/>
    <w:rsid w:val="002F7D66"/>
    <w:rsid w:val="00301067"/>
    <w:rsid w:val="00305350"/>
    <w:rsid w:val="003064D2"/>
    <w:rsid w:val="00307419"/>
    <w:rsid w:val="00307D42"/>
    <w:rsid w:val="00310236"/>
    <w:rsid w:val="00310431"/>
    <w:rsid w:val="003108B7"/>
    <w:rsid w:val="003117B2"/>
    <w:rsid w:val="003151CC"/>
    <w:rsid w:val="003165DA"/>
    <w:rsid w:val="00322A0E"/>
    <w:rsid w:val="00323B6E"/>
    <w:rsid w:val="003250DB"/>
    <w:rsid w:val="0032533C"/>
    <w:rsid w:val="00327565"/>
    <w:rsid w:val="0033021D"/>
    <w:rsid w:val="00330E14"/>
    <w:rsid w:val="00332205"/>
    <w:rsid w:val="00332F13"/>
    <w:rsid w:val="00334B36"/>
    <w:rsid w:val="00334DA7"/>
    <w:rsid w:val="0033540A"/>
    <w:rsid w:val="003358E4"/>
    <w:rsid w:val="00335DAB"/>
    <w:rsid w:val="00335EED"/>
    <w:rsid w:val="00337EEB"/>
    <w:rsid w:val="00341117"/>
    <w:rsid w:val="00341246"/>
    <w:rsid w:val="00341F42"/>
    <w:rsid w:val="00342F4A"/>
    <w:rsid w:val="003431D6"/>
    <w:rsid w:val="003437FF"/>
    <w:rsid w:val="00343833"/>
    <w:rsid w:val="00344F48"/>
    <w:rsid w:val="003452D1"/>
    <w:rsid w:val="00346B73"/>
    <w:rsid w:val="0034700D"/>
    <w:rsid w:val="00347748"/>
    <w:rsid w:val="0035005F"/>
    <w:rsid w:val="00350E1C"/>
    <w:rsid w:val="00351842"/>
    <w:rsid w:val="00353323"/>
    <w:rsid w:val="0035511F"/>
    <w:rsid w:val="003551FB"/>
    <w:rsid w:val="003552EB"/>
    <w:rsid w:val="00356BB3"/>
    <w:rsid w:val="00356BDA"/>
    <w:rsid w:val="00356CDA"/>
    <w:rsid w:val="00357C40"/>
    <w:rsid w:val="0036103E"/>
    <w:rsid w:val="00361D41"/>
    <w:rsid w:val="003626E8"/>
    <w:rsid w:val="00362D62"/>
    <w:rsid w:val="00364A4F"/>
    <w:rsid w:val="00364D82"/>
    <w:rsid w:val="0037076E"/>
    <w:rsid w:val="00372F41"/>
    <w:rsid w:val="0037510E"/>
    <w:rsid w:val="00377233"/>
    <w:rsid w:val="00377A36"/>
    <w:rsid w:val="00381014"/>
    <w:rsid w:val="00381FF2"/>
    <w:rsid w:val="003820D7"/>
    <w:rsid w:val="00382493"/>
    <w:rsid w:val="0038559E"/>
    <w:rsid w:val="00385645"/>
    <w:rsid w:val="00385FF8"/>
    <w:rsid w:val="0038772B"/>
    <w:rsid w:val="0038775A"/>
    <w:rsid w:val="00387A21"/>
    <w:rsid w:val="00387D91"/>
    <w:rsid w:val="00390095"/>
    <w:rsid w:val="00391D58"/>
    <w:rsid w:val="003926C3"/>
    <w:rsid w:val="003926C7"/>
    <w:rsid w:val="00392774"/>
    <w:rsid w:val="0039350A"/>
    <w:rsid w:val="003936DC"/>
    <w:rsid w:val="00394BB7"/>
    <w:rsid w:val="00394DE6"/>
    <w:rsid w:val="003962CC"/>
    <w:rsid w:val="00397754"/>
    <w:rsid w:val="003A05C9"/>
    <w:rsid w:val="003A1598"/>
    <w:rsid w:val="003A1687"/>
    <w:rsid w:val="003A218B"/>
    <w:rsid w:val="003A22A1"/>
    <w:rsid w:val="003A26E3"/>
    <w:rsid w:val="003A49AD"/>
    <w:rsid w:val="003A53FA"/>
    <w:rsid w:val="003A6051"/>
    <w:rsid w:val="003B0155"/>
    <w:rsid w:val="003B0AD7"/>
    <w:rsid w:val="003B1079"/>
    <w:rsid w:val="003B13B3"/>
    <w:rsid w:val="003B14D9"/>
    <w:rsid w:val="003B2B07"/>
    <w:rsid w:val="003B2CE6"/>
    <w:rsid w:val="003B3F4D"/>
    <w:rsid w:val="003B58FB"/>
    <w:rsid w:val="003B79A7"/>
    <w:rsid w:val="003C09C4"/>
    <w:rsid w:val="003C1974"/>
    <w:rsid w:val="003C2547"/>
    <w:rsid w:val="003C3171"/>
    <w:rsid w:val="003C4E93"/>
    <w:rsid w:val="003C62B5"/>
    <w:rsid w:val="003C786B"/>
    <w:rsid w:val="003C7902"/>
    <w:rsid w:val="003D0C4A"/>
    <w:rsid w:val="003D1734"/>
    <w:rsid w:val="003D1D21"/>
    <w:rsid w:val="003D274F"/>
    <w:rsid w:val="003D276E"/>
    <w:rsid w:val="003D3347"/>
    <w:rsid w:val="003D3F5E"/>
    <w:rsid w:val="003D61DF"/>
    <w:rsid w:val="003D63D5"/>
    <w:rsid w:val="003D6681"/>
    <w:rsid w:val="003D78D5"/>
    <w:rsid w:val="003E0606"/>
    <w:rsid w:val="003E21EE"/>
    <w:rsid w:val="003E2C39"/>
    <w:rsid w:val="003E37C8"/>
    <w:rsid w:val="003E445C"/>
    <w:rsid w:val="003E5B19"/>
    <w:rsid w:val="003E62FB"/>
    <w:rsid w:val="003E6535"/>
    <w:rsid w:val="003E6552"/>
    <w:rsid w:val="003E751F"/>
    <w:rsid w:val="003E7CFE"/>
    <w:rsid w:val="003F0220"/>
    <w:rsid w:val="003F028C"/>
    <w:rsid w:val="003F1DAB"/>
    <w:rsid w:val="003F255F"/>
    <w:rsid w:val="003F3C58"/>
    <w:rsid w:val="003F565D"/>
    <w:rsid w:val="003F5977"/>
    <w:rsid w:val="003F60CD"/>
    <w:rsid w:val="003F77D8"/>
    <w:rsid w:val="003F7922"/>
    <w:rsid w:val="004015BF"/>
    <w:rsid w:val="004018BB"/>
    <w:rsid w:val="004041B3"/>
    <w:rsid w:val="00404E61"/>
    <w:rsid w:val="004058A9"/>
    <w:rsid w:val="00405D95"/>
    <w:rsid w:val="004071F1"/>
    <w:rsid w:val="004106C2"/>
    <w:rsid w:val="004116C1"/>
    <w:rsid w:val="00411AC8"/>
    <w:rsid w:val="00413658"/>
    <w:rsid w:val="00413784"/>
    <w:rsid w:val="004138DE"/>
    <w:rsid w:val="00413DCC"/>
    <w:rsid w:val="00414831"/>
    <w:rsid w:val="004161B2"/>
    <w:rsid w:val="00416BE5"/>
    <w:rsid w:val="00416EB1"/>
    <w:rsid w:val="00417057"/>
    <w:rsid w:val="00417D65"/>
    <w:rsid w:val="004238E1"/>
    <w:rsid w:val="00423A39"/>
    <w:rsid w:val="00424275"/>
    <w:rsid w:val="0042554F"/>
    <w:rsid w:val="00425CE4"/>
    <w:rsid w:val="004269F3"/>
    <w:rsid w:val="00430AEE"/>
    <w:rsid w:val="00433637"/>
    <w:rsid w:val="004339DE"/>
    <w:rsid w:val="004346EF"/>
    <w:rsid w:val="00435EB5"/>
    <w:rsid w:val="0043705D"/>
    <w:rsid w:val="00437358"/>
    <w:rsid w:val="00440490"/>
    <w:rsid w:val="00441B8F"/>
    <w:rsid w:val="00442A0C"/>
    <w:rsid w:val="00442DC7"/>
    <w:rsid w:val="00443069"/>
    <w:rsid w:val="004442CE"/>
    <w:rsid w:val="004446CE"/>
    <w:rsid w:val="004447F8"/>
    <w:rsid w:val="0044535F"/>
    <w:rsid w:val="00446274"/>
    <w:rsid w:val="004507E2"/>
    <w:rsid w:val="00450BC2"/>
    <w:rsid w:val="0045164F"/>
    <w:rsid w:val="00452294"/>
    <w:rsid w:val="00453F3D"/>
    <w:rsid w:val="00456B59"/>
    <w:rsid w:val="00457141"/>
    <w:rsid w:val="00457755"/>
    <w:rsid w:val="00460C14"/>
    <w:rsid w:val="00460C6E"/>
    <w:rsid w:val="00461698"/>
    <w:rsid w:val="00461BDE"/>
    <w:rsid w:val="00461D5D"/>
    <w:rsid w:val="00463383"/>
    <w:rsid w:val="00465229"/>
    <w:rsid w:val="00465912"/>
    <w:rsid w:val="0046714C"/>
    <w:rsid w:val="00470E00"/>
    <w:rsid w:val="00472A5F"/>
    <w:rsid w:val="00474574"/>
    <w:rsid w:val="00475386"/>
    <w:rsid w:val="004754FE"/>
    <w:rsid w:val="004759F4"/>
    <w:rsid w:val="00476CD1"/>
    <w:rsid w:val="0048101F"/>
    <w:rsid w:val="004810C4"/>
    <w:rsid w:val="00481277"/>
    <w:rsid w:val="004813F6"/>
    <w:rsid w:val="004822D3"/>
    <w:rsid w:val="004827B9"/>
    <w:rsid w:val="004832C6"/>
    <w:rsid w:val="00483441"/>
    <w:rsid w:val="00483F2F"/>
    <w:rsid w:val="0048572D"/>
    <w:rsid w:val="004857C1"/>
    <w:rsid w:val="004874BA"/>
    <w:rsid w:val="00490EF0"/>
    <w:rsid w:val="00491187"/>
    <w:rsid w:val="00491906"/>
    <w:rsid w:val="00492D8B"/>
    <w:rsid w:val="00493CA5"/>
    <w:rsid w:val="00493F78"/>
    <w:rsid w:val="00494FA7"/>
    <w:rsid w:val="00495310"/>
    <w:rsid w:val="00495395"/>
    <w:rsid w:val="00496132"/>
    <w:rsid w:val="0049684D"/>
    <w:rsid w:val="004976F4"/>
    <w:rsid w:val="004A0524"/>
    <w:rsid w:val="004A0717"/>
    <w:rsid w:val="004A07E8"/>
    <w:rsid w:val="004A0BB6"/>
    <w:rsid w:val="004A18BA"/>
    <w:rsid w:val="004A1DC2"/>
    <w:rsid w:val="004A2FC2"/>
    <w:rsid w:val="004A3DE1"/>
    <w:rsid w:val="004A4AD5"/>
    <w:rsid w:val="004A62E9"/>
    <w:rsid w:val="004A6A9F"/>
    <w:rsid w:val="004A6C5F"/>
    <w:rsid w:val="004A749E"/>
    <w:rsid w:val="004B0A11"/>
    <w:rsid w:val="004B2099"/>
    <w:rsid w:val="004B24EC"/>
    <w:rsid w:val="004B28EF"/>
    <w:rsid w:val="004B3728"/>
    <w:rsid w:val="004B3E62"/>
    <w:rsid w:val="004B46A3"/>
    <w:rsid w:val="004B59A0"/>
    <w:rsid w:val="004B5F8D"/>
    <w:rsid w:val="004B60DE"/>
    <w:rsid w:val="004B63BD"/>
    <w:rsid w:val="004B6644"/>
    <w:rsid w:val="004B6C86"/>
    <w:rsid w:val="004B7258"/>
    <w:rsid w:val="004B77D5"/>
    <w:rsid w:val="004C0444"/>
    <w:rsid w:val="004C1453"/>
    <w:rsid w:val="004C228D"/>
    <w:rsid w:val="004C2348"/>
    <w:rsid w:val="004C28DF"/>
    <w:rsid w:val="004C2B53"/>
    <w:rsid w:val="004C4931"/>
    <w:rsid w:val="004C6304"/>
    <w:rsid w:val="004C6A2C"/>
    <w:rsid w:val="004C6B89"/>
    <w:rsid w:val="004C6BF1"/>
    <w:rsid w:val="004C6FA2"/>
    <w:rsid w:val="004D0723"/>
    <w:rsid w:val="004D23A1"/>
    <w:rsid w:val="004D3A57"/>
    <w:rsid w:val="004D467E"/>
    <w:rsid w:val="004D47B1"/>
    <w:rsid w:val="004D5055"/>
    <w:rsid w:val="004D57AA"/>
    <w:rsid w:val="004D68C8"/>
    <w:rsid w:val="004D6C08"/>
    <w:rsid w:val="004E0924"/>
    <w:rsid w:val="004E10D9"/>
    <w:rsid w:val="004E1A8B"/>
    <w:rsid w:val="004E2007"/>
    <w:rsid w:val="004E234A"/>
    <w:rsid w:val="004E31EE"/>
    <w:rsid w:val="004E36C7"/>
    <w:rsid w:val="004E4EB1"/>
    <w:rsid w:val="004E5C8A"/>
    <w:rsid w:val="004E5E29"/>
    <w:rsid w:val="004E6DBC"/>
    <w:rsid w:val="004E705C"/>
    <w:rsid w:val="004E77EA"/>
    <w:rsid w:val="004F0578"/>
    <w:rsid w:val="004F1F71"/>
    <w:rsid w:val="004F1FBB"/>
    <w:rsid w:val="004F2CBE"/>
    <w:rsid w:val="004F355E"/>
    <w:rsid w:val="004F50C7"/>
    <w:rsid w:val="004F5A90"/>
    <w:rsid w:val="004F5F2E"/>
    <w:rsid w:val="005009C1"/>
    <w:rsid w:val="00502D23"/>
    <w:rsid w:val="005055F0"/>
    <w:rsid w:val="005056A9"/>
    <w:rsid w:val="00506674"/>
    <w:rsid w:val="005070C9"/>
    <w:rsid w:val="0050738A"/>
    <w:rsid w:val="0051057A"/>
    <w:rsid w:val="00510812"/>
    <w:rsid w:val="00510DC6"/>
    <w:rsid w:val="00511E66"/>
    <w:rsid w:val="00512E1F"/>
    <w:rsid w:val="0051360D"/>
    <w:rsid w:val="0051385E"/>
    <w:rsid w:val="00513B2A"/>
    <w:rsid w:val="00513F62"/>
    <w:rsid w:val="0051431C"/>
    <w:rsid w:val="00514E77"/>
    <w:rsid w:val="00516951"/>
    <w:rsid w:val="005178A8"/>
    <w:rsid w:val="00520803"/>
    <w:rsid w:val="00520844"/>
    <w:rsid w:val="00521121"/>
    <w:rsid w:val="00522288"/>
    <w:rsid w:val="005222C8"/>
    <w:rsid w:val="00523BCC"/>
    <w:rsid w:val="005245E6"/>
    <w:rsid w:val="00524895"/>
    <w:rsid w:val="00525251"/>
    <w:rsid w:val="005275F4"/>
    <w:rsid w:val="00527CD6"/>
    <w:rsid w:val="0053046F"/>
    <w:rsid w:val="00531EBC"/>
    <w:rsid w:val="00532855"/>
    <w:rsid w:val="00532A5F"/>
    <w:rsid w:val="00533A80"/>
    <w:rsid w:val="005353A0"/>
    <w:rsid w:val="00536EF9"/>
    <w:rsid w:val="00537379"/>
    <w:rsid w:val="0054153E"/>
    <w:rsid w:val="00541A21"/>
    <w:rsid w:val="00541AD8"/>
    <w:rsid w:val="00542FDE"/>
    <w:rsid w:val="005433CA"/>
    <w:rsid w:val="0054355A"/>
    <w:rsid w:val="00543F99"/>
    <w:rsid w:val="00544629"/>
    <w:rsid w:val="00545604"/>
    <w:rsid w:val="005458A4"/>
    <w:rsid w:val="00545F8B"/>
    <w:rsid w:val="00546062"/>
    <w:rsid w:val="00547334"/>
    <w:rsid w:val="005477D0"/>
    <w:rsid w:val="0055036C"/>
    <w:rsid w:val="00550496"/>
    <w:rsid w:val="005506DF"/>
    <w:rsid w:val="005508C3"/>
    <w:rsid w:val="0055269C"/>
    <w:rsid w:val="0055428E"/>
    <w:rsid w:val="005545BF"/>
    <w:rsid w:val="00554AE0"/>
    <w:rsid w:val="0055507A"/>
    <w:rsid w:val="0055765F"/>
    <w:rsid w:val="005615DD"/>
    <w:rsid w:val="00563859"/>
    <w:rsid w:val="0056432D"/>
    <w:rsid w:val="00564743"/>
    <w:rsid w:val="005655C0"/>
    <w:rsid w:val="00565C44"/>
    <w:rsid w:val="00565E58"/>
    <w:rsid w:val="0056682B"/>
    <w:rsid w:val="0056755F"/>
    <w:rsid w:val="00567FD4"/>
    <w:rsid w:val="005703D9"/>
    <w:rsid w:val="00570BFC"/>
    <w:rsid w:val="005726F7"/>
    <w:rsid w:val="0057376C"/>
    <w:rsid w:val="00573892"/>
    <w:rsid w:val="0057485E"/>
    <w:rsid w:val="00576459"/>
    <w:rsid w:val="00577430"/>
    <w:rsid w:val="00577490"/>
    <w:rsid w:val="0058035D"/>
    <w:rsid w:val="005806FB"/>
    <w:rsid w:val="00580732"/>
    <w:rsid w:val="005808F9"/>
    <w:rsid w:val="00581F83"/>
    <w:rsid w:val="005851C9"/>
    <w:rsid w:val="005854AA"/>
    <w:rsid w:val="0058550F"/>
    <w:rsid w:val="005866D9"/>
    <w:rsid w:val="00586791"/>
    <w:rsid w:val="00586AE8"/>
    <w:rsid w:val="00590322"/>
    <w:rsid w:val="00592406"/>
    <w:rsid w:val="00592823"/>
    <w:rsid w:val="00593185"/>
    <w:rsid w:val="00593E6E"/>
    <w:rsid w:val="00594915"/>
    <w:rsid w:val="0059507F"/>
    <w:rsid w:val="00595E1A"/>
    <w:rsid w:val="00595FFE"/>
    <w:rsid w:val="00596576"/>
    <w:rsid w:val="0059689F"/>
    <w:rsid w:val="00596D35"/>
    <w:rsid w:val="005976A8"/>
    <w:rsid w:val="005979A1"/>
    <w:rsid w:val="00597A91"/>
    <w:rsid w:val="005A15B2"/>
    <w:rsid w:val="005A31F4"/>
    <w:rsid w:val="005A3590"/>
    <w:rsid w:val="005A65ED"/>
    <w:rsid w:val="005A6FE8"/>
    <w:rsid w:val="005A72C1"/>
    <w:rsid w:val="005B0AD1"/>
    <w:rsid w:val="005B13BC"/>
    <w:rsid w:val="005B2490"/>
    <w:rsid w:val="005B3B0C"/>
    <w:rsid w:val="005B46AC"/>
    <w:rsid w:val="005B5ECA"/>
    <w:rsid w:val="005B64C7"/>
    <w:rsid w:val="005B6952"/>
    <w:rsid w:val="005B714E"/>
    <w:rsid w:val="005B7717"/>
    <w:rsid w:val="005B7D3E"/>
    <w:rsid w:val="005B7F33"/>
    <w:rsid w:val="005C042F"/>
    <w:rsid w:val="005C266F"/>
    <w:rsid w:val="005C3417"/>
    <w:rsid w:val="005C3742"/>
    <w:rsid w:val="005C42DA"/>
    <w:rsid w:val="005C5929"/>
    <w:rsid w:val="005C5C02"/>
    <w:rsid w:val="005D0CB0"/>
    <w:rsid w:val="005D0EC4"/>
    <w:rsid w:val="005D0FB1"/>
    <w:rsid w:val="005D12DC"/>
    <w:rsid w:val="005D12F2"/>
    <w:rsid w:val="005D1493"/>
    <w:rsid w:val="005D292B"/>
    <w:rsid w:val="005D2EE9"/>
    <w:rsid w:val="005D3054"/>
    <w:rsid w:val="005D52BB"/>
    <w:rsid w:val="005D5AFC"/>
    <w:rsid w:val="005D63F3"/>
    <w:rsid w:val="005D66B4"/>
    <w:rsid w:val="005D672B"/>
    <w:rsid w:val="005D76F0"/>
    <w:rsid w:val="005E4C78"/>
    <w:rsid w:val="005E5A3E"/>
    <w:rsid w:val="005F0883"/>
    <w:rsid w:val="005F0ABE"/>
    <w:rsid w:val="005F1847"/>
    <w:rsid w:val="005F1BA6"/>
    <w:rsid w:val="005F2040"/>
    <w:rsid w:val="005F3D16"/>
    <w:rsid w:val="005F3D91"/>
    <w:rsid w:val="005F4B28"/>
    <w:rsid w:val="005F510B"/>
    <w:rsid w:val="005F6750"/>
    <w:rsid w:val="005F6F84"/>
    <w:rsid w:val="005F70C3"/>
    <w:rsid w:val="005F75AF"/>
    <w:rsid w:val="006008AA"/>
    <w:rsid w:val="006019A1"/>
    <w:rsid w:val="00601AF0"/>
    <w:rsid w:val="00601DFF"/>
    <w:rsid w:val="00601ED7"/>
    <w:rsid w:val="00602C17"/>
    <w:rsid w:val="00602C39"/>
    <w:rsid w:val="00603170"/>
    <w:rsid w:val="0060372E"/>
    <w:rsid w:val="00604394"/>
    <w:rsid w:val="00604D1B"/>
    <w:rsid w:val="00605806"/>
    <w:rsid w:val="00605B52"/>
    <w:rsid w:val="00605C25"/>
    <w:rsid w:val="00605D17"/>
    <w:rsid w:val="0060605A"/>
    <w:rsid w:val="00606555"/>
    <w:rsid w:val="00607DD8"/>
    <w:rsid w:val="006118A5"/>
    <w:rsid w:val="0061338A"/>
    <w:rsid w:val="00614966"/>
    <w:rsid w:val="00615D0C"/>
    <w:rsid w:val="0062034C"/>
    <w:rsid w:val="0062039B"/>
    <w:rsid w:val="006203F6"/>
    <w:rsid w:val="00620690"/>
    <w:rsid w:val="00621141"/>
    <w:rsid w:val="006212B6"/>
    <w:rsid w:val="00621CB0"/>
    <w:rsid w:val="00624F5E"/>
    <w:rsid w:val="006251DB"/>
    <w:rsid w:val="00625BC8"/>
    <w:rsid w:val="00626E9A"/>
    <w:rsid w:val="00627279"/>
    <w:rsid w:val="0063042E"/>
    <w:rsid w:val="006313B6"/>
    <w:rsid w:val="006313FE"/>
    <w:rsid w:val="00632E3D"/>
    <w:rsid w:val="00632E81"/>
    <w:rsid w:val="006363C5"/>
    <w:rsid w:val="00636DBC"/>
    <w:rsid w:val="0063771E"/>
    <w:rsid w:val="00637831"/>
    <w:rsid w:val="006379CF"/>
    <w:rsid w:val="00641D27"/>
    <w:rsid w:val="0064346A"/>
    <w:rsid w:val="006434E1"/>
    <w:rsid w:val="006435FE"/>
    <w:rsid w:val="00643920"/>
    <w:rsid w:val="00643B6B"/>
    <w:rsid w:val="00643E2F"/>
    <w:rsid w:val="0064423A"/>
    <w:rsid w:val="00644EA4"/>
    <w:rsid w:val="00645CAA"/>
    <w:rsid w:val="00646C14"/>
    <w:rsid w:val="006503AD"/>
    <w:rsid w:val="006503E6"/>
    <w:rsid w:val="00652431"/>
    <w:rsid w:val="0065313E"/>
    <w:rsid w:val="00654154"/>
    <w:rsid w:val="00655BE1"/>
    <w:rsid w:val="006562EE"/>
    <w:rsid w:val="00656DA8"/>
    <w:rsid w:val="00657004"/>
    <w:rsid w:val="00663022"/>
    <w:rsid w:val="006630F3"/>
    <w:rsid w:val="00663D8A"/>
    <w:rsid w:val="00665008"/>
    <w:rsid w:val="00665B34"/>
    <w:rsid w:val="00666746"/>
    <w:rsid w:val="00666830"/>
    <w:rsid w:val="00671701"/>
    <w:rsid w:val="0067441A"/>
    <w:rsid w:val="00674B7E"/>
    <w:rsid w:val="006765D5"/>
    <w:rsid w:val="00677690"/>
    <w:rsid w:val="006776ED"/>
    <w:rsid w:val="00680544"/>
    <w:rsid w:val="0068118F"/>
    <w:rsid w:val="0068186C"/>
    <w:rsid w:val="00681E62"/>
    <w:rsid w:val="00682CBE"/>
    <w:rsid w:val="00684448"/>
    <w:rsid w:val="0068445E"/>
    <w:rsid w:val="006846AB"/>
    <w:rsid w:val="0068492F"/>
    <w:rsid w:val="00684AB9"/>
    <w:rsid w:val="006863CF"/>
    <w:rsid w:val="0068640A"/>
    <w:rsid w:val="00686F13"/>
    <w:rsid w:val="00691941"/>
    <w:rsid w:val="00692B5B"/>
    <w:rsid w:val="0069309C"/>
    <w:rsid w:val="0069362C"/>
    <w:rsid w:val="006A0FAC"/>
    <w:rsid w:val="006A1425"/>
    <w:rsid w:val="006A28B4"/>
    <w:rsid w:val="006A34BA"/>
    <w:rsid w:val="006A4305"/>
    <w:rsid w:val="006A43ED"/>
    <w:rsid w:val="006A4A98"/>
    <w:rsid w:val="006A5BB4"/>
    <w:rsid w:val="006A7248"/>
    <w:rsid w:val="006B1058"/>
    <w:rsid w:val="006B1FA3"/>
    <w:rsid w:val="006B1FB4"/>
    <w:rsid w:val="006B2DC8"/>
    <w:rsid w:val="006B5F38"/>
    <w:rsid w:val="006B655F"/>
    <w:rsid w:val="006B6BC5"/>
    <w:rsid w:val="006C08F0"/>
    <w:rsid w:val="006C19A8"/>
    <w:rsid w:val="006C2AD0"/>
    <w:rsid w:val="006C2CAE"/>
    <w:rsid w:val="006C2FA6"/>
    <w:rsid w:val="006C3F31"/>
    <w:rsid w:val="006C496D"/>
    <w:rsid w:val="006C4A06"/>
    <w:rsid w:val="006C4AF3"/>
    <w:rsid w:val="006C5374"/>
    <w:rsid w:val="006C53B8"/>
    <w:rsid w:val="006C56BF"/>
    <w:rsid w:val="006C6561"/>
    <w:rsid w:val="006C6687"/>
    <w:rsid w:val="006C7128"/>
    <w:rsid w:val="006D0B89"/>
    <w:rsid w:val="006D155D"/>
    <w:rsid w:val="006D1C3A"/>
    <w:rsid w:val="006D27BC"/>
    <w:rsid w:val="006D4177"/>
    <w:rsid w:val="006D4738"/>
    <w:rsid w:val="006D495C"/>
    <w:rsid w:val="006D6560"/>
    <w:rsid w:val="006D6A3A"/>
    <w:rsid w:val="006E1135"/>
    <w:rsid w:val="006E198C"/>
    <w:rsid w:val="006E2283"/>
    <w:rsid w:val="006E324F"/>
    <w:rsid w:val="006E3C95"/>
    <w:rsid w:val="006E4438"/>
    <w:rsid w:val="006E677F"/>
    <w:rsid w:val="006E694B"/>
    <w:rsid w:val="006E73DC"/>
    <w:rsid w:val="006E7A64"/>
    <w:rsid w:val="006F0CF1"/>
    <w:rsid w:val="006F1C0E"/>
    <w:rsid w:val="006F1D0C"/>
    <w:rsid w:val="006F2A6A"/>
    <w:rsid w:val="006F2E25"/>
    <w:rsid w:val="006F44B6"/>
    <w:rsid w:val="006F7A34"/>
    <w:rsid w:val="00700A53"/>
    <w:rsid w:val="00702045"/>
    <w:rsid w:val="007043AB"/>
    <w:rsid w:val="007049F2"/>
    <w:rsid w:val="00704D10"/>
    <w:rsid w:val="00705924"/>
    <w:rsid w:val="00706D90"/>
    <w:rsid w:val="00707006"/>
    <w:rsid w:val="007070A5"/>
    <w:rsid w:val="00707179"/>
    <w:rsid w:val="007101D0"/>
    <w:rsid w:val="007108AC"/>
    <w:rsid w:val="007120CB"/>
    <w:rsid w:val="00712915"/>
    <w:rsid w:val="007131A9"/>
    <w:rsid w:val="00714B99"/>
    <w:rsid w:val="00714FF5"/>
    <w:rsid w:val="00716323"/>
    <w:rsid w:val="00717284"/>
    <w:rsid w:val="0072087E"/>
    <w:rsid w:val="00720CA6"/>
    <w:rsid w:val="00721D43"/>
    <w:rsid w:val="00721FEB"/>
    <w:rsid w:val="007222C2"/>
    <w:rsid w:val="0072244C"/>
    <w:rsid w:val="00722519"/>
    <w:rsid w:val="00723592"/>
    <w:rsid w:val="0072479C"/>
    <w:rsid w:val="00725306"/>
    <w:rsid w:val="00725F40"/>
    <w:rsid w:val="00726B83"/>
    <w:rsid w:val="00726F21"/>
    <w:rsid w:val="0072738F"/>
    <w:rsid w:val="0073119C"/>
    <w:rsid w:val="00731B5D"/>
    <w:rsid w:val="00731C2D"/>
    <w:rsid w:val="00732672"/>
    <w:rsid w:val="007329B9"/>
    <w:rsid w:val="00733682"/>
    <w:rsid w:val="007339BC"/>
    <w:rsid w:val="00733AA6"/>
    <w:rsid w:val="0073400C"/>
    <w:rsid w:val="0073432C"/>
    <w:rsid w:val="0073478D"/>
    <w:rsid w:val="00734E0B"/>
    <w:rsid w:val="007358A7"/>
    <w:rsid w:val="00736B52"/>
    <w:rsid w:val="0073785A"/>
    <w:rsid w:val="00737C03"/>
    <w:rsid w:val="0074172C"/>
    <w:rsid w:val="00741D95"/>
    <w:rsid w:val="00742929"/>
    <w:rsid w:val="00744E8C"/>
    <w:rsid w:val="0074594D"/>
    <w:rsid w:val="00745A4E"/>
    <w:rsid w:val="00745C43"/>
    <w:rsid w:val="0074601F"/>
    <w:rsid w:val="0075035F"/>
    <w:rsid w:val="0075079C"/>
    <w:rsid w:val="00750A44"/>
    <w:rsid w:val="00750C77"/>
    <w:rsid w:val="00751CE5"/>
    <w:rsid w:val="00751F25"/>
    <w:rsid w:val="00753949"/>
    <w:rsid w:val="00753A93"/>
    <w:rsid w:val="00754591"/>
    <w:rsid w:val="00754F12"/>
    <w:rsid w:val="0075596D"/>
    <w:rsid w:val="00760F52"/>
    <w:rsid w:val="00761B79"/>
    <w:rsid w:val="00762172"/>
    <w:rsid w:val="007639EA"/>
    <w:rsid w:val="007645B5"/>
    <w:rsid w:val="00765051"/>
    <w:rsid w:val="007662A8"/>
    <w:rsid w:val="00766920"/>
    <w:rsid w:val="007700E5"/>
    <w:rsid w:val="00770852"/>
    <w:rsid w:val="007716C6"/>
    <w:rsid w:val="00771733"/>
    <w:rsid w:val="00773145"/>
    <w:rsid w:val="00775632"/>
    <w:rsid w:val="007759E1"/>
    <w:rsid w:val="00776AE2"/>
    <w:rsid w:val="00777035"/>
    <w:rsid w:val="00777D42"/>
    <w:rsid w:val="00780DB7"/>
    <w:rsid w:val="00781E80"/>
    <w:rsid w:val="00782692"/>
    <w:rsid w:val="00782CDA"/>
    <w:rsid w:val="007832B8"/>
    <w:rsid w:val="00784898"/>
    <w:rsid w:val="00784EAA"/>
    <w:rsid w:val="00786EBE"/>
    <w:rsid w:val="00787B60"/>
    <w:rsid w:val="00792D34"/>
    <w:rsid w:val="0079307F"/>
    <w:rsid w:val="0079412B"/>
    <w:rsid w:val="007951B7"/>
    <w:rsid w:val="00795E53"/>
    <w:rsid w:val="00797282"/>
    <w:rsid w:val="007A0ACA"/>
    <w:rsid w:val="007A1771"/>
    <w:rsid w:val="007A35E3"/>
    <w:rsid w:val="007A5001"/>
    <w:rsid w:val="007A52EA"/>
    <w:rsid w:val="007A7074"/>
    <w:rsid w:val="007B015C"/>
    <w:rsid w:val="007B109B"/>
    <w:rsid w:val="007B1A87"/>
    <w:rsid w:val="007B31D2"/>
    <w:rsid w:val="007B40CE"/>
    <w:rsid w:val="007B5944"/>
    <w:rsid w:val="007B6F07"/>
    <w:rsid w:val="007C0B77"/>
    <w:rsid w:val="007C112D"/>
    <w:rsid w:val="007C2E6A"/>
    <w:rsid w:val="007C3A40"/>
    <w:rsid w:val="007C62AF"/>
    <w:rsid w:val="007C6840"/>
    <w:rsid w:val="007D0635"/>
    <w:rsid w:val="007D1A53"/>
    <w:rsid w:val="007D23E2"/>
    <w:rsid w:val="007D3594"/>
    <w:rsid w:val="007D3B98"/>
    <w:rsid w:val="007D6EC9"/>
    <w:rsid w:val="007E1EF3"/>
    <w:rsid w:val="007E264B"/>
    <w:rsid w:val="007E2C53"/>
    <w:rsid w:val="007E2D6C"/>
    <w:rsid w:val="007E30E9"/>
    <w:rsid w:val="007E47D3"/>
    <w:rsid w:val="007E47F3"/>
    <w:rsid w:val="007E5E58"/>
    <w:rsid w:val="007E6E7B"/>
    <w:rsid w:val="007E74D3"/>
    <w:rsid w:val="007F0590"/>
    <w:rsid w:val="007F062A"/>
    <w:rsid w:val="007F069A"/>
    <w:rsid w:val="007F161E"/>
    <w:rsid w:val="007F20A0"/>
    <w:rsid w:val="007F2E89"/>
    <w:rsid w:val="007F3479"/>
    <w:rsid w:val="007F61D1"/>
    <w:rsid w:val="007F6ADE"/>
    <w:rsid w:val="007F6E60"/>
    <w:rsid w:val="008000F2"/>
    <w:rsid w:val="008026BE"/>
    <w:rsid w:val="00803BEF"/>
    <w:rsid w:val="00804692"/>
    <w:rsid w:val="0080485C"/>
    <w:rsid w:val="0080489F"/>
    <w:rsid w:val="008073B3"/>
    <w:rsid w:val="00810D4B"/>
    <w:rsid w:val="00811516"/>
    <w:rsid w:val="00811A47"/>
    <w:rsid w:val="00811EAD"/>
    <w:rsid w:val="00812307"/>
    <w:rsid w:val="00812339"/>
    <w:rsid w:val="00814644"/>
    <w:rsid w:val="00815670"/>
    <w:rsid w:val="0081656B"/>
    <w:rsid w:val="00817D3C"/>
    <w:rsid w:val="0082008B"/>
    <w:rsid w:val="0082148C"/>
    <w:rsid w:val="00823B8F"/>
    <w:rsid w:val="00823C99"/>
    <w:rsid w:val="00824955"/>
    <w:rsid w:val="00824E07"/>
    <w:rsid w:val="0082530A"/>
    <w:rsid w:val="008253F3"/>
    <w:rsid w:val="00825B98"/>
    <w:rsid w:val="00825C6A"/>
    <w:rsid w:val="008262F6"/>
    <w:rsid w:val="00832F09"/>
    <w:rsid w:val="008331B3"/>
    <w:rsid w:val="00833969"/>
    <w:rsid w:val="008339FA"/>
    <w:rsid w:val="008342BB"/>
    <w:rsid w:val="008343C4"/>
    <w:rsid w:val="00834D16"/>
    <w:rsid w:val="0083558B"/>
    <w:rsid w:val="0083643A"/>
    <w:rsid w:val="00836692"/>
    <w:rsid w:val="008368A5"/>
    <w:rsid w:val="0083755F"/>
    <w:rsid w:val="00840AFE"/>
    <w:rsid w:val="00840D58"/>
    <w:rsid w:val="008412B3"/>
    <w:rsid w:val="00841C18"/>
    <w:rsid w:val="008444C2"/>
    <w:rsid w:val="008454A4"/>
    <w:rsid w:val="00845747"/>
    <w:rsid w:val="008458A6"/>
    <w:rsid w:val="00845C97"/>
    <w:rsid w:val="00845D31"/>
    <w:rsid w:val="0084608A"/>
    <w:rsid w:val="008469A6"/>
    <w:rsid w:val="008475F3"/>
    <w:rsid w:val="00847776"/>
    <w:rsid w:val="00850496"/>
    <w:rsid w:val="00851173"/>
    <w:rsid w:val="00851A9D"/>
    <w:rsid w:val="0085236F"/>
    <w:rsid w:val="0085274D"/>
    <w:rsid w:val="00853CBB"/>
    <w:rsid w:val="00856CBA"/>
    <w:rsid w:val="008570DA"/>
    <w:rsid w:val="008574EC"/>
    <w:rsid w:val="00857C2A"/>
    <w:rsid w:val="0086031C"/>
    <w:rsid w:val="00860D46"/>
    <w:rsid w:val="0086201F"/>
    <w:rsid w:val="0086246B"/>
    <w:rsid w:val="0086282F"/>
    <w:rsid w:val="00862D97"/>
    <w:rsid w:val="00865FD8"/>
    <w:rsid w:val="0086653F"/>
    <w:rsid w:val="00867963"/>
    <w:rsid w:val="00871105"/>
    <w:rsid w:val="00871C19"/>
    <w:rsid w:val="00872AB9"/>
    <w:rsid w:val="00872F93"/>
    <w:rsid w:val="008734AE"/>
    <w:rsid w:val="00873CA3"/>
    <w:rsid w:val="00875138"/>
    <w:rsid w:val="008758F9"/>
    <w:rsid w:val="008777D6"/>
    <w:rsid w:val="00880129"/>
    <w:rsid w:val="00880212"/>
    <w:rsid w:val="00881050"/>
    <w:rsid w:val="00881D68"/>
    <w:rsid w:val="0088285B"/>
    <w:rsid w:val="00882B16"/>
    <w:rsid w:val="00883D8A"/>
    <w:rsid w:val="008841D6"/>
    <w:rsid w:val="00885B9E"/>
    <w:rsid w:val="00886E79"/>
    <w:rsid w:val="008873E0"/>
    <w:rsid w:val="00890675"/>
    <w:rsid w:val="00890AF6"/>
    <w:rsid w:val="00892042"/>
    <w:rsid w:val="00892B99"/>
    <w:rsid w:val="00892F42"/>
    <w:rsid w:val="00892FC7"/>
    <w:rsid w:val="0089410D"/>
    <w:rsid w:val="00895614"/>
    <w:rsid w:val="00895876"/>
    <w:rsid w:val="0089689E"/>
    <w:rsid w:val="008A022D"/>
    <w:rsid w:val="008A0FBE"/>
    <w:rsid w:val="008A1493"/>
    <w:rsid w:val="008A440C"/>
    <w:rsid w:val="008A64BC"/>
    <w:rsid w:val="008A6516"/>
    <w:rsid w:val="008A7865"/>
    <w:rsid w:val="008B1589"/>
    <w:rsid w:val="008B339E"/>
    <w:rsid w:val="008B374F"/>
    <w:rsid w:val="008B4CA0"/>
    <w:rsid w:val="008B6DF1"/>
    <w:rsid w:val="008B7B34"/>
    <w:rsid w:val="008C050B"/>
    <w:rsid w:val="008C29AF"/>
    <w:rsid w:val="008C2D8E"/>
    <w:rsid w:val="008C37CE"/>
    <w:rsid w:val="008C3A92"/>
    <w:rsid w:val="008C429E"/>
    <w:rsid w:val="008C62D7"/>
    <w:rsid w:val="008C7796"/>
    <w:rsid w:val="008D01DB"/>
    <w:rsid w:val="008D131F"/>
    <w:rsid w:val="008D252C"/>
    <w:rsid w:val="008D3399"/>
    <w:rsid w:val="008D35EA"/>
    <w:rsid w:val="008D4061"/>
    <w:rsid w:val="008D597A"/>
    <w:rsid w:val="008D64BF"/>
    <w:rsid w:val="008D69C4"/>
    <w:rsid w:val="008D6C92"/>
    <w:rsid w:val="008D6FB1"/>
    <w:rsid w:val="008D7B1D"/>
    <w:rsid w:val="008E0AAA"/>
    <w:rsid w:val="008E0B48"/>
    <w:rsid w:val="008E20D7"/>
    <w:rsid w:val="008E44F0"/>
    <w:rsid w:val="008E4735"/>
    <w:rsid w:val="008E4F39"/>
    <w:rsid w:val="008E637B"/>
    <w:rsid w:val="008E73EC"/>
    <w:rsid w:val="008E7556"/>
    <w:rsid w:val="008F19AA"/>
    <w:rsid w:val="008F23C5"/>
    <w:rsid w:val="008F2E5E"/>
    <w:rsid w:val="008F35AC"/>
    <w:rsid w:val="008F416D"/>
    <w:rsid w:val="008F472B"/>
    <w:rsid w:val="008F48C5"/>
    <w:rsid w:val="008F48F4"/>
    <w:rsid w:val="008F4C78"/>
    <w:rsid w:val="008F5578"/>
    <w:rsid w:val="008F5B14"/>
    <w:rsid w:val="008F7B64"/>
    <w:rsid w:val="008F7E2F"/>
    <w:rsid w:val="00900045"/>
    <w:rsid w:val="00900D05"/>
    <w:rsid w:val="00900EC4"/>
    <w:rsid w:val="009011A6"/>
    <w:rsid w:val="009017B3"/>
    <w:rsid w:val="00901E24"/>
    <w:rsid w:val="00901F92"/>
    <w:rsid w:val="0090327F"/>
    <w:rsid w:val="009035E3"/>
    <w:rsid w:val="00903870"/>
    <w:rsid w:val="0090413B"/>
    <w:rsid w:val="00904DAC"/>
    <w:rsid w:val="00907D74"/>
    <w:rsid w:val="00910192"/>
    <w:rsid w:val="00912A9F"/>
    <w:rsid w:val="00912FCD"/>
    <w:rsid w:val="009137F9"/>
    <w:rsid w:val="009141ED"/>
    <w:rsid w:val="0091528F"/>
    <w:rsid w:val="00916592"/>
    <w:rsid w:val="0091714F"/>
    <w:rsid w:val="009200DD"/>
    <w:rsid w:val="00920DBC"/>
    <w:rsid w:val="00920FBE"/>
    <w:rsid w:val="009218B8"/>
    <w:rsid w:val="009218CE"/>
    <w:rsid w:val="009231B4"/>
    <w:rsid w:val="00924FF0"/>
    <w:rsid w:val="009257ED"/>
    <w:rsid w:val="00926CC1"/>
    <w:rsid w:val="00927D59"/>
    <w:rsid w:val="00927FF5"/>
    <w:rsid w:val="00930819"/>
    <w:rsid w:val="00930E09"/>
    <w:rsid w:val="00930EFB"/>
    <w:rsid w:val="0093239D"/>
    <w:rsid w:val="009328CF"/>
    <w:rsid w:val="00932F7C"/>
    <w:rsid w:val="009332D8"/>
    <w:rsid w:val="00934F6A"/>
    <w:rsid w:val="0093503D"/>
    <w:rsid w:val="00935603"/>
    <w:rsid w:val="0093704B"/>
    <w:rsid w:val="0094095F"/>
    <w:rsid w:val="00941512"/>
    <w:rsid w:val="00942826"/>
    <w:rsid w:val="00943152"/>
    <w:rsid w:val="00943367"/>
    <w:rsid w:val="00944BB8"/>
    <w:rsid w:val="00944D93"/>
    <w:rsid w:val="00947351"/>
    <w:rsid w:val="00947CE9"/>
    <w:rsid w:val="0095115A"/>
    <w:rsid w:val="009519AA"/>
    <w:rsid w:val="00951E70"/>
    <w:rsid w:val="009523B0"/>
    <w:rsid w:val="00952F99"/>
    <w:rsid w:val="00953C5A"/>
    <w:rsid w:val="009541EA"/>
    <w:rsid w:val="009548F2"/>
    <w:rsid w:val="00954BA5"/>
    <w:rsid w:val="00954FDF"/>
    <w:rsid w:val="009556DD"/>
    <w:rsid w:val="00956A29"/>
    <w:rsid w:val="00960B70"/>
    <w:rsid w:val="009654AD"/>
    <w:rsid w:val="009668C6"/>
    <w:rsid w:val="00967060"/>
    <w:rsid w:val="009670A3"/>
    <w:rsid w:val="00970492"/>
    <w:rsid w:val="009704FB"/>
    <w:rsid w:val="00971CC4"/>
    <w:rsid w:val="0097436A"/>
    <w:rsid w:val="00974BB7"/>
    <w:rsid w:val="009772E0"/>
    <w:rsid w:val="00980CD9"/>
    <w:rsid w:val="0098131A"/>
    <w:rsid w:val="00982808"/>
    <w:rsid w:val="00983BA5"/>
    <w:rsid w:val="009907B8"/>
    <w:rsid w:val="009911A5"/>
    <w:rsid w:val="009919B1"/>
    <w:rsid w:val="00992BEA"/>
    <w:rsid w:val="00992E38"/>
    <w:rsid w:val="00993D18"/>
    <w:rsid w:val="0099470E"/>
    <w:rsid w:val="00994FE9"/>
    <w:rsid w:val="00995A11"/>
    <w:rsid w:val="00996C94"/>
    <w:rsid w:val="00996D01"/>
    <w:rsid w:val="00996FEB"/>
    <w:rsid w:val="00997723"/>
    <w:rsid w:val="009A0DE1"/>
    <w:rsid w:val="009A14B1"/>
    <w:rsid w:val="009A1AFD"/>
    <w:rsid w:val="009A1C04"/>
    <w:rsid w:val="009A2806"/>
    <w:rsid w:val="009A559C"/>
    <w:rsid w:val="009A5804"/>
    <w:rsid w:val="009A64FA"/>
    <w:rsid w:val="009A73B8"/>
    <w:rsid w:val="009A7721"/>
    <w:rsid w:val="009B2253"/>
    <w:rsid w:val="009B22BF"/>
    <w:rsid w:val="009B2C01"/>
    <w:rsid w:val="009B2E8C"/>
    <w:rsid w:val="009B322C"/>
    <w:rsid w:val="009B3AD0"/>
    <w:rsid w:val="009B446C"/>
    <w:rsid w:val="009B62EE"/>
    <w:rsid w:val="009C04B9"/>
    <w:rsid w:val="009C074D"/>
    <w:rsid w:val="009C0A5D"/>
    <w:rsid w:val="009C0EA8"/>
    <w:rsid w:val="009C2113"/>
    <w:rsid w:val="009C31D8"/>
    <w:rsid w:val="009C3893"/>
    <w:rsid w:val="009C3B59"/>
    <w:rsid w:val="009C3C7E"/>
    <w:rsid w:val="009C3E42"/>
    <w:rsid w:val="009C41F3"/>
    <w:rsid w:val="009C5118"/>
    <w:rsid w:val="009C56DD"/>
    <w:rsid w:val="009C65EE"/>
    <w:rsid w:val="009C7304"/>
    <w:rsid w:val="009D0C36"/>
    <w:rsid w:val="009D1CCC"/>
    <w:rsid w:val="009D3028"/>
    <w:rsid w:val="009D37F3"/>
    <w:rsid w:val="009D49D4"/>
    <w:rsid w:val="009D61BE"/>
    <w:rsid w:val="009D68D9"/>
    <w:rsid w:val="009E0770"/>
    <w:rsid w:val="009E07E8"/>
    <w:rsid w:val="009E0831"/>
    <w:rsid w:val="009E121A"/>
    <w:rsid w:val="009E12E1"/>
    <w:rsid w:val="009E17DB"/>
    <w:rsid w:val="009E202F"/>
    <w:rsid w:val="009E449A"/>
    <w:rsid w:val="009E4C67"/>
    <w:rsid w:val="009E4E47"/>
    <w:rsid w:val="009E55FF"/>
    <w:rsid w:val="009E7629"/>
    <w:rsid w:val="009F28BE"/>
    <w:rsid w:val="009F2C92"/>
    <w:rsid w:val="009F3431"/>
    <w:rsid w:val="009F3FDB"/>
    <w:rsid w:val="009F525F"/>
    <w:rsid w:val="009F6281"/>
    <w:rsid w:val="009F67A9"/>
    <w:rsid w:val="009F6903"/>
    <w:rsid w:val="009F7425"/>
    <w:rsid w:val="009F7B64"/>
    <w:rsid w:val="009F7CB6"/>
    <w:rsid w:val="00A00D99"/>
    <w:rsid w:val="00A02180"/>
    <w:rsid w:val="00A03F04"/>
    <w:rsid w:val="00A04188"/>
    <w:rsid w:val="00A04984"/>
    <w:rsid w:val="00A05289"/>
    <w:rsid w:val="00A05E8F"/>
    <w:rsid w:val="00A06FC4"/>
    <w:rsid w:val="00A076D5"/>
    <w:rsid w:val="00A076DC"/>
    <w:rsid w:val="00A07B61"/>
    <w:rsid w:val="00A07F9C"/>
    <w:rsid w:val="00A10A3B"/>
    <w:rsid w:val="00A11EE3"/>
    <w:rsid w:val="00A12F32"/>
    <w:rsid w:val="00A134AE"/>
    <w:rsid w:val="00A13F6C"/>
    <w:rsid w:val="00A14BA7"/>
    <w:rsid w:val="00A15142"/>
    <w:rsid w:val="00A15D85"/>
    <w:rsid w:val="00A171BF"/>
    <w:rsid w:val="00A20A40"/>
    <w:rsid w:val="00A21732"/>
    <w:rsid w:val="00A219F5"/>
    <w:rsid w:val="00A222A1"/>
    <w:rsid w:val="00A227B6"/>
    <w:rsid w:val="00A233D5"/>
    <w:rsid w:val="00A26C1D"/>
    <w:rsid w:val="00A274BC"/>
    <w:rsid w:val="00A27C73"/>
    <w:rsid w:val="00A319B2"/>
    <w:rsid w:val="00A31C80"/>
    <w:rsid w:val="00A32367"/>
    <w:rsid w:val="00A32DEC"/>
    <w:rsid w:val="00A332FE"/>
    <w:rsid w:val="00A348E2"/>
    <w:rsid w:val="00A3749B"/>
    <w:rsid w:val="00A4031B"/>
    <w:rsid w:val="00A414B4"/>
    <w:rsid w:val="00A41A8C"/>
    <w:rsid w:val="00A41ACE"/>
    <w:rsid w:val="00A44DC4"/>
    <w:rsid w:val="00A46FD1"/>
    <w:rsid w:val="00A50A78"/>
    <w:rsid w:val="00A50E1E"/>
    <w:rsid w:val="00A51F5C"/>
    <w:rsid w:val="00A53546"/>
    <w:rsid w:val="00A5388F"/>
    <w:rsid w:val="00A53FE3"/>
    <w:rsid w:val="00A54A9F"/>
    <w:rsid w:val="00A54B31"/>
    <w:rsid w:val="00A559DB"/>
    <w:rsid w:val="00A5683B"/>
    <w:rsid w:val="00A573B1"/>
    <w:rsid w:val="00A60AEB"/>
    <w:rsid w:val="00A60CCD"/>
    <w:rsid w:val="00A6414C"/>
    <w:rsid w:val="00A6460B"/>
    <w:rsid w:val="00A64A9C"/>
    <w:rsid w:val="00A657EE"/>
    <w:rsid w:val="00A66963"/>
    <w:rsid w:val="00A67232"/>
    <w:rsid w:val="00A70A0B"/>
    <w:rsid w:val="00A70BC5"/>
    <w:rsid w:val="00A71B86"/>
    <w:rsid w:val="00A71ED4"/>
    <w:rsid w:val="00A7393A"/>
    <w:rsid w:val="00A74192"/>
    <w:rsid w:val="00A75355"/>
    <w:rsid w:val="00A80677"/>
    <w:rsid w:val="00A80A82"/>
    <w:rsid w:val="00A818C3"/>
    <w:rsid w:val="00A8260C"/>
    <w:rsid w:val="00A82731"/>
    <w:rsid w:val="00A8385A"/>
    <w:rsid w:val="00A84912"/>
    <w:rsid w:val="00A860C9"/>
    <w:rsid w:val="00A8676B"/>
    <w:rsid w:val="00A86FFA"/>
    <w:rsid w:val="00A91F20"/>
    <w:rsid w:val="00A92F95"/>
    <w:rsid w:val="00A92F98"/>
    <w:rsid w:val="00A9412F"/>
    <w:rsid w:val="00A9425E"/>
    <w:rsid w:val="00A9487A"/>
    <w:rsid w:val="00A955E3"/>
    <w:rsid w:val="00A95B2C"/>
    <w:rsid w:val="00AA1DCD"/>
    <w:rsid w:val="00AA1F29"/>
    <w:rsid w:val="00AA27D5"/>
    <w:rsid w:val="00AA4B13"/>
    <w:rsid w:val="00AA529B"/>
    <w:rsid w:val="00AA612F"/>
    <w:rsid w:val="00AA7088"/>
    <w:rsid w:val="00AB08DC"/>
    <w:rsid w:val="00AB27F1"/>
    <w:rsid w:val="00AB4376"/>
    <w:rsid w:val="00AB55EA"/>
    <w:rsid w:val="00AB5885"/>
    <w:rsid w:val="00AB7893"/>
    <w:rsid w:val="00AB7EEF"/>
    <w:rsid w:val="00AC0FE7"/>
    <w:rsid w:val="00AC15F1"/>
    <w:rsid w:val="00AC1656"/>
    <w:rsid w:val="00AC216A"/>
    <w:rsid w:val="00AC2964"/>
    <w:rsid w:val="00AC2ACD"/>
    <w:rsid w:val="00AC30C5"/>
    <w:rsid w:val="00AC5FDC"/>
    <w:rsid w:val="00AC63DE"/>
    <w:rsid w:val="00AC6406"/>
    <w:rsid w:val="00AC7081"/>
    <w:rsid w:val="00AC7A17"/>
    <w:rsid w:val="00AD0B55"/>
    <w:rsid w:val="00AD12F5"/>
    <w:rsid w:val="00AD238A"/>
    <w:rsid w:val="00AD4FCC"/>
    <w:rsid w:val="00AD5025"/>
    <w:rsid w:val="00AD6A10"/>
    <w:rsid w:val="00AD6D16"/>
    <w:rsid w:val="00AD6FCF"/>
    <w:rsid w:val="00AE0271"/>
    <w:rsid w:val="00AE1199"/>
    <w:rsid w:val="00AE11D5"/>
    <w:rsid w:val="00AE195C"/>
    <w:rsid w:val="00AE1E89"/>
    <w:rsid w:val="00AE1F7F"/>
    <w:rsid w:val="00AE36FD"/>
    <w:rsid w:val="00AE5CEA"/>
    <w:rsid w:val="00AF01D7"/>
    <w:rsid w:val="00AF089B"/>
    <w:rsid w:val="00AF0B7C"/>
    <w:rsid w:val="00AF1AB9"/>
    <w:rsid w:val="00AF25CE"/>
    <w:rsid w:val="00AF36CD"/>
    <w:rsid w:val="00AF46A1"/>
    <w:rsid w:val="00AF5362"/>
    <w:rsid w:val="00AF6297"/>
    <w:rsid w:val="00AF669F"/>
    <w:rsid w:val="00AF698F"/>
    <w:rsid w:val="00B008D9"/>
    <w:rsid w:val="00B046FF"/>
    <w:rsid w:val="00B04801"/>
    <w:rsid w:val="00B05BFC"/>
    <w:rsid w:val="00B0609C"/>
    <w:rsid w:val="00B076B6"/>
    <w:rsid w:val="00B07AE8"/>
    <w:rsid w:val="00B11B66"/>
    <w:rsid w:val="00B133EE"/>
    <w:rsid w:val="00B135FB"/>
    <w:rsid w:val="00B13D24"/>
    <w:rsid w:val="00B14389"/>
    <w:rsid w:val="00B1533F"/>
    <w:rsid w:val="00B15366"/>
    <w:rsid w:val="00B16D8F"/>
    <w:rsid w:val="00B210B0"/>
    <w:rsid w:val="00B214E5"/>
    <w:rsid w:val="00B2178E"/>
    <w:rsid w:val="00B22235"/>
    <w:rsid w:val="00B2257F"/>
    <w:rsid w:val="00B23604"/>
    <w:rsid w:val="00B253B0"/>
    <w:rsid w:val="00B2621A"/>
    <w:rsid w:val="00B26735"/>
    <w:rsid w:val="00B26B4A"/>
    <w:rsid w:val="00B27047"/>
    <w:rsid w:val="00B270D1"/>
    <w:rsid w:val="00B3067B"/>
    <w:rsid w:val="00B30DA5"/>
    <w:rsid w:val="00B3106F"/>
    <w:rsid w:val="00B321B3"/>
    <w:rsid w:val="00B3383C"/>
    <w:rsid w:val="00B34883"/>
    <w:rsid w:val="00B376C4"/>
    <w:rsid w:val="00B37F72"/>
    <w:rsid w:val="00B4081D"/>
    <w:rsid w:val="00B409C6"/>
    <w:rsid w:val="00B4162C"/>
    <w:rsid w:val="00B41EB9"/>
    <w:rsid w:val="00B42873"/>
    <w:rsid w:val="00B42EBC"/>
    <w:rsid w:val="00B439FB"/>
    <w:rsid w:val="00B440AB"/>
    <w:rsid w:val="00B440FD"/>
    <w:rsid w:val="00B44667"/>
    <w:rsid w:val="00B44B86"/>
    <w:rsid w:val="00B4574B"/>
    <w:rsid w:val="00B45793"/>
    <w:rsid w:val="00B457C6"/>
    <w:rsid w:val="00B4588D"/>
    <w:rsid w:val="00B45B0D"/>
    <w:rsid w:val="00B476A7"/>
    <w:rsid w:val="00B47B1D"/>
    <w:rsid w:val="00B50E27"/>
    <w:rsid w:val="00B51798"/>
    <w:rsid w:val="00B51D8F"/>
    <w:rsid w:val="00B539AE"/>
    <w:rsid w:val="00B539D0"/>
    <w:rsid w:val="00B54DFB"/>
    <w:rsid w:val="00B56CB5"/>
    <w:rsid w:val="00B5722F"/>
    <w:rsid w:val="00B57527"/>
    <w:rsid w:val="00B5773D"/>
    <w:rsid w:val="00B60707"/>
    <w:rsid w:val="00B62404"/>
    <w:rsid w:val="00B65A77"/>
    <w:rsid w:val="00B65E59"/>
    <w:rsid w:val="00B668EE"/>
    <w:rsid w:val="00B66A07"/>
    <w:rsid w:val="00B67185"/>
    <w:rsid w:val="00B7008C"/>
    <w:rsid w:val="00B7124D"/>
    <w:rsid w:val="00B72225"/>
    <w:rsid w:val="00B724CC"/>
    <w:rsid w:val="00B7330E"/>
    <w:rsid w:val="00B73E20"/>
    <w:rsid w:val="00B74A31"/>
    <w:rsid w:val="00B75481"/>
    <w:rsid w:val="00B754BB"/>
    <w:rsid w:val="00B7664B"/>
    <w:rsid w:val="00B80D2A"/>
    <w:rsid w:val="00B81E23"/>
    <w:rsid w:val="00B831B7"/>
    <w:rsid w:val="00B83448"/>
    <w:rsid w:val="00B83DDE"/>
    <w:rsid w:val="00B84AAF"/>
    <w:rsid w:val="00B85C7D"/>
    <w:rsid w:val="00B87166"/>
    <w:rsid w:val="00B87C37"/>
    <w:rsid w:val="00B9118F"/>
    <w:rsid w:val="00B929A1"/>
    <w:rsid w:val="00B935EC"/>
    <w:rsid w:val="00B9443F"/>
    <w:rsid w:val="00B94CE9"/>
    <w:rsid w:val="00B9520C"/>
    <w:rsid w:val="00B95724"/>
    <w:rsid w:val="00B95ECE"/>
    <w:rsid w:val="00BA1672"/>
    <w:rsid w:val="00BA22F0"/>
    <w:rsid w:val="00BA2452"/>
    <w:rsid w:val="00BA33D4"/>
    <w:rsid w:val="00BA3EAA"/>
    <w:rsid w:val="00BA4987"/>
    <w:rsid w:val="00BA4C37"/>
    <w:rsid w:val="00BA4F6C"/>
    <w:rsid w:val="00BA5048"/>
    <w:rsid w:val="00BA773B"/>
    <w:rsid w:val="00BB089B"/>
    <w:rsid w:val="00BB21C2"/>
    <w:rsid w:val="00BB24A4"/>
    <w:rsid w:val="00BB263D"/>
    <w:rsid w:val="00BB3884"/>
    <w:rsid w:val="00BB38F6"/>
    <w:rsid w:val="00BB4D60"/>
    <w:rsid w:val="00BB5056"/>
    <w:rsid w:val="00BB5DBA"/>
    <w:rsid w:val="00BB66B3"/>
    <w:rsid w:val="00BB66EA"/>
    <w:rsid w:val="00BB7847"/>
    <w:rsid w:val="00BC0370"/>
    <w:rsid w:val="00BC1B4E"/>
    <w:rsid w:val="00BC2E59"/>
    <w:rsid w:val="00BC4697"/>
    <w:rsid w:val="00BC4C10"/>
    <w:rsid w:val="00BC6477"/>
    <w:rsid w:val="00BC7C68"/>
    <w:rsid w:val="00BD1344"/>
    <w:rsid w:val="00BD14F8"/>
    <w:rsid w:val="00BD1558"/>
    <w:rsid w:val="00BD2C03"/>
    <w:rsid w:val="00BD2DE2"/>
    <w:rsid w:val="00BD3BE5"/>
    <w:rsid w:val="00BD3F66"/>
    <w:rsid w:val="00BD403B"/>
    <w:rsid w:val="00BD4484"/>
    <w:rsid w:val="00BD5355"/>
    <w:rsid w:val="00BD6B1F"/>
    <w:rsid w:val="00BE1FAE"/>
    <w:rsid w:val="00BE2786"/>
    <w:rsid w:val="00BE2D07"/>
    <w:rsid w:val="00BE4ABB"/>
    <w:rsid w:val="00BE646E"/>
    <w:rsid w:val="00BE6808"/>
    <w:rsid w:val="00BE7644"/>
    <w:rsid w:val="00BF0EB6"/>
    <w:rsid w:val="00BF1A2F"/>
    <w:rsid w:val="00BF29D3"/>
    <w:rsid w:val="00BF3F00"/>
    <w:rsid w:val="00BF41D0"/>
    <w:rsid w:val="00BF4C36"/>
    <w:rsid w:val="00BF52BE"/>
    <w:rsid w:val="00BF54E3"/>
    <w:rsid w:val="00BF5B25"/>
    <w:rsid w:val="00BF77A7"/>
    <w:rsid w:val="00BF797C"/>
    <w:rsid w:val="00C00497"/>
    <w:rsid w:val="00C03E38"/>
    <w:rsid w:val="00C0505C"/>
    <w:rsid w:val="00C057F4"/>
    <w:rsid w:val="00C060C0"/>
    <w:rsid w:val="00C07444"/>
    <w:rsid w:val="00C10D10"/>
    <w:rsid w:val="00C116F4"/>
    <w:rsid w:val="00C11F51"/>
    <w:rsid w:val="00C131FE"/>
    <w:rsid w:val="00C13527"/>
    <w:rsid w:val="00C13B3E"/>
    <w:rsid w:val="00C14138"/>
    <w:rsid w:val="00C14760"/>
    <w:rsid w:val="00C14D13"/>
    <w:rsid w:val="00C15F31"/>
    <w:rsid w:val="00C1674F"/>
    <w:rsid w:val="00C169E8"/>
    <w:rsid w:val="00C20601"/>
    <w:rsid w:val="00C21425"/>
    <w:rsid w:val="00C21B38"/>
    <w:rsid w:val="00C21D51"/>
    <w:rsid w:val="00C22556"/>
    <w:rsid w:val="00C229E3"/>
    <w:rsid w:val="00C22F7B"/>
    <w:rsid w:val="00C23587"/>
    <w:rsid w:val="00C247B6"/>
    <w:rsid w:val="00C254CC"/>
    <w:rsid w:val="00C25A8A"/>
    <w:rsid w:val="00C25EAD"/>
    <w:rsid w:val="00C26944"/>
    <w:rsid w:val="00C2744D"/>
    <w:rsid w:val="00C30F2F"/>
    <w:rsid w:val="00C3418F"/>
    <w:rsid w:val="00C3612E"/>
    <w:rsid w:val="00C36B1A"/>
    <w:rsid w:val="00C36FEE"/>
    <w:rsid w:val="00C36FF6"/>
    <w:rsid w:val="00C403F7"/>
    <w:rsid w:val="00C40504"/>
    <w:rsid w:val="00C42861"/>
    <w:rsid w:val="00C44D62"/>
    <w:rsid w:val="00C470D2"/>
    <w:rsid w:val="00C50420"/>
    <w:rsid w:val="00C5071B"/>
    <w:rsid w:val="00C50EF8"/>
    <w:rsid w:val="00C513D2"/>
    <w:rsid w:val="00C51AA9"/>
    <w:rsid w:val="00C56A7A"/>
    <w:rsid w:val="00C60D0C"/>
    <w:rsid w:val="00C61828"/>
    <w:rsid w:val="00C626C0"/>
    <w:rsid w:val="00C634B4"/>
    <w:rsid w:val="00C65BC0"/>
    <w:rsid w:val="00C6638D"/>
    <w:rsid w:val="00C668CD"/>
    <w:rsid w:val="00C670BB"/>
    <w:rsid w:val="00C671BB"/>
    <w:rsid w:val="00C67B68"/>
    <w:rsid w:val="00C716B7"/>
    <w:rsid w:val="00C72D5D"/>
    <w:rsid w:val="00C754E9"/>
    <w:rsid w:val="00C755FF"/>
    <w:rsid w:val="00C758DC"/>
    <w:rsid w:val="00C75A3D"/>
    <w:rsid w:val="00C77A11"/>
    <w:rsid w:val="00C77BB5"/>
    <w:rsid w:val="00C80A8D"/>
    <w:rsid w:val="00C80C46"/>
    <w:rsid w:val="00C81C6C"/>
    <w:rsid w:val="00C81CE2"/>
    <w:rsid w:val="00C8230E"/>
    <w:rsid w:val="00C82568"/>
    <w:rsid w:val="00C825AD"/>
    <w:rsid w:val="00C8366A"/>
    <w:rsid w:val="00C83BAC"/>
    <w:rsid w:val="00C85C1C"/>
    <w:rsid w:val="00C86CB8"/>
    <w:rsid w:val="00C9039E"/>
    <w:rsid w:val="00C907F5"/>
    <w:rsid w:val="00C90955"/>
    <w:rsid w:val="00C914DC"/>
    <w:rsid w:val="00C919B2"/>
    <w:rsid w:val="00C92DBD"/>
    <w:rsid w:val="00C932A7"/>
    <w:rsid w:val="00C952E9"/>
    <w:rsid w:val="00C95B52"/>
    <w:rsid w:val="00C9632A"/>
    <w:rsid w:val="00C96974"/>
    <w:rsid w:val="00C96B0C"/>
    <w:rsid w:val="00C97FA2"/>
    <w:rsid w:val="00CA0136"/>
    <w:rsid w:val="00CA0190"/>
    <w:rsid w:val="00CA01FA"/>
    <w:rsid w:val="00CA0211"/>
    <w:rsid w:val="00CA0291"/>
    <w:rsid w:val="00CA1995"/>
    <w:rsid w:val="00CA1CF0"/>
    <w:rsid w:val="00CA2B01"/>
    <w:rsid w:val="00CA41D7"/>
    <w:rsid w:val="00CA49C3"/>
    <w:rsid w:val="00CA4C10"/>
    <w:rsid w:val="00CA4D06"/>
    <w:rsid w:val="00CA740B"/>
    <w:rsid w:val="00CB0C74"/>
    <w:rsid w:val="00CB12AF"/>
    <w:rsid w:val="00CB18A3"/>
    <w:rsid w:val="00CB2045"/>
    <w:rsid w:val="00CB3B92"/>
    <w:rsid w:val="00CB4EB0"/>
    <w:rsid w:val="00CB510C"/>
    <w:rsid w:val="00CB7045"/>
    <w:rsid w:val="00CC0FF6"/>
    <w:rsid w:val="00CC1433"/>
    <w:rsid w:val="00CC147A"/>
    <w:rsid w:val="00CC20F6"/>
    <w:rsid w:val="00CC2575"/>
    <w:rsid w:val="00CC268F"/>
    <w:rsid w:val="00CC3034"/>
    <w:rsid w:val="00CC31B4"/>
    <w:rsid w:val="00CC37FD"/>
    <w:rsid w:val="00CC44CF"/>
    <w:rsid w:val="00CC4B92"/>
    <w:rsid w:val="00CC5D6C"/>
    <w:rsid w:val="00CC66C1"/>
    <w:rsid w:val="00CC7DEC"/>
    <w:rsid w:val="00CD16A0"/>
    <w:rsid w:val="00CD279E"/>
    <w:rsid w:val="00CD40AF"/>
    <w:rsid w:val="00CD4BB3"/>
    <w:rsid w:val="00CD5320"/>
    <w:rsid w:val="00CD5474"/>
    <w:rsid w:val="00CD6ED1"/>
    <w:rsid w:val="00CD754F"/>
    <w:rsid w:val="00CE0B2D"/>
    <w:rsid w:val="00CE0B41"/>
    <w:rsid w:val="00CE1C33"/>
    <w:rsid w:val="00CE4750"/>
    <w:rsid w:val="00CE54BB"/>
    <w:rsid w:val="00CE6B7B"/>
    <w:rsid w:val="00CE71D1"/>
    <w:rsid w:val="00CE79B3"/>
    <w:rsid w:val="00CF396B"/>
    <w:rsid w:val="00CF4FD2"/>
    <w:rsid w:val="00CF55AC"/>
    <w:rsid w:val="00CF65A7"/>
    <w:rsid w:val="00CF6B9A"/>
    <w:rsid w:val="00CF705B"/>
    <w:rsid w:val="00CF7729"/>
    <w:rsid w:val="00D00058"/>
    <w:rsid w:val="00D025F0"/>
    <w:rsid w:val="00D02E49"/>
    <w:rsid w:val="00D03FB6"/>
    <w:rsid w:val="00D04F67"/>
    <w:rsid w:val="00D057EA"/>
    <w:rsid w:val="00D05BD6"/>
    <w:rsid w:val="00D06A47"/>
    <w:rsid w:val="00D07DED"/>
    <w:rsid w:val="00D10157"/>
    <w:rsid w:val="00D10272"/>
    <w:rsid w:val="00D10CF8"/>
    <w:rsid w:val="00D10ECD"/>
    <w:rsid w:val="00D13B6B"/>
    <w:rsid w:val="00D14A98"/>
    <w:rsid w:val="00D1561D"/>
    <w:rsid w:val="00D16682"/>
    <w:rsid w:val="00D16703"/>
    <w:rsid w:val="00D17186"/>
    <w:rsid w:val="00D21673"/>
    <w:rsid w:val="00D21D3F"/>
    <w:rsid w:val="00D2240B"/>
    <w:rsid w:val="00D23884"/>
    <w:rsid w:val="00D238B9"/>
    <w:rsid w:val="00D23B79"/>
    <w:rsid w:val="00D2488D"/>
    <w:rsid w:val="00D25AF2"/>
    <w:rsid w:val="00D267BA"/>
    <w:rsid w:val="00D27564"/>
    <w:rsid w:val="00D304C3"/>
    <w:rsid w:val="00D30B57"/>
    <w:rsid w:val="00D30C38"/>
    <w:rsid w:val="00D3176C"/>
    <w:rsid w:val="00D329C6"/>
    <w:rsid w:val="00D32A04"/>
    <w:rsid w:val="00D3354C"/>
    <w:rsid w:val="00D34369"/>
    <w:rsid w:val="00D34CC3"/>
    <w:rsid w:val="00D34D79"/>
    <w:rsid w:val="00D36DE0"/>
    <w:rsid w:val="00D37365"/>
    <w:rsid w:val="00D425C4"/>
    <w:rsid w:val="00D42A4E"/>
    <w:rsid w:val="00D44F4B"/>
    <w:rsid w:val="00D45581"/>
    <w:rsid w:val="00D462F9"/>
    <w:rsid w:val="00D47214"/>
    <w:rsid w:val="00D51DC6"/>
    <w:rsid w:val="00D524D5"/>
    <w:rsid w:val="00D52B63"/>
    <w:rsid w:val="00D54495"/>
    <w:rsid w:val="00D5543B"/>
    <w:rsid w:val="00D56110"/>
    <w:rsid w:val="00D6023B"/>
    <w:rsid w:val="00D61202"/>
    <w:rsid w:val="00D6245B"/>
    <w:rsid w:val="00D62A3F"/>
    <w:rsid w:val="00D65A97"/>
    <w:rsid w:val="00D67006"/>
    <w:rsid w:val="00D6735E"/>
    <w:rsid w:val="00D70F43"/>
    <w:rsid w:val="00D71D9C"/>
    <w:rsid w:val="00D73704"/>
    <w:rsid w:val="00D742B0"/>
    <w:rsid w:val="00D7558E"/>
    <w:rsid w:val="00D75CE5"/>
    <w:rsid w:val="00D76FF5"/>
    <w:rsid w:val="00D77525"/>
    <w:rsid w:val="00D77AEC"/>
    <w:rsid w:val="00D77EC6"/>
    <w:rsid w:val="00D801C3"/>
    <w:rsid w:val="00D81DAC"/>
    <w:rsid w:val="00D825E3"/>
    <w:rsid w:val="00D8385F"/>
    <w:rsid w:val="00D83D6E"/>
    <w:rsid w:val="00D83F76"/>
    <w:rsid w:val="00D8417D"/>
    <w:rsid w:val="00D85C42"/>
    <w:rsid w:val="00D86167"/>
    <w:rsid w:val="00D87B3C"/>
    <w:rsid w:val="00D91C8C"/>
    <w:rsid w:val="00D92B20"/>
    <w:rsid w:val="00D92E52"/>
    <w:rsid w:val="00D938A1"/>
    <w:rsid w:val="00D960F8"/>
    <w:rsid w:val="00D963F6"/>
    <w:rsid w:val="00D977AC"/>
    <w:rsid w:val="00DA025B"/>
    <w:rsid w:val="00DA119A"/>
    <w:rsid w:val="00DA1228"/>
    <w:rsid w:val="00DA1390"/>
    <w:rsid w:val="00DA13B3"/>
    <w:rsid w:val="00DA2E60"/>
    <w:rsid w:val="00DA3D71"/>
    <w:rsid w:val="00DA488D"/>
    <w:rsid w:val="00DA4FEF"/>
    <w:rsid w:val="00DA555E"/>
    <w:rsid w:val="00DA6D3C"/>
    <w:rsid w:val="00DB1CE1"/>
    <w:rsid w:val="00DB2BDC"/>
    <w:rsid w:val="00DB3CA0"/>
    <w:rsid w:val="00DB51F8"/>
    <w:rsid w:val="00DB526E"/>
    <w:rsid w:val="00DB73C2"/>
    <w:rsid w:val="00DC1A24"/>
    <w:rsid w:val="00DC1A26"/>
    <w:rsid w:val="00DC1A75"/>
    <w:rsid w:val="00DC1F7F"/>
    <w:rsid w:val="00DC4EAA"/>
    <w:rsid w:val="00DC5724"/>
    <w:rsid w:val="00DC67DA"/>
    <w:rsid w:val="00DC78E0"/>
    <w:rsid w:val="00DD168C"/>
    <w:rsid w:val="00DD19DA"/>
    <w:rsid w:val="00DD3048"/>
    <w:rsid w:val="00DD3AA5"/>
    <w:rsid w:val="00DD41A6"/>
    <w:rsid w:val="00DD4A17"/>
    <w:rsid w:val="00DD55CB"/>
    <w:rsid w:val="00DD56AB"/>
    <w:rsid w:val="00DD5BB0"/>
    <w:rsid w:val="00DD698C"/>
    <w:rsid w:val="00DD72BB"/>
    <w:rsid w:val="00DD7AE0"/>
    <w:rsid w:val="00DE4D29"/>
    <w:rsid w:val="00DE625E"/>
    <w:rsid w:val="00DE6B76"/>
    <w:rsid w:val="00DF0014"/>
    <w:rsid w:val="00DF1318"/>
    <w:rsid w:val="00DF1D36"/>
    <w:rsid w:val="00DF1D98"/>
    <w:rsid w:val="00DF3266"/>
    <w:rsid w:val="00DF4835"/>
    <w:rsid w:val="00DF50F2"/>
    <w:rsid w:val="00DF662E"/>
    <w:rsid w:val="00DF6F32"/>
    <w:rsid w:val="00DF72A9"/>
    <w:rsid w:val="00DF77AA"/>
    <w:rsid w:val="00E00560"/>
    <w:rsid w:val="00E008CA"/>
    <w:rsid w:val="00E009C5"/>
    <w:rsid w:val="00E01540"/>
    <w:rsid w:val="00E02E77"/>
    <w:rsid w:val="00E02EB3"/>
    <w:rsid w:val="00E03356"/>
    <w:rsid w:val="00E04E85"/>
    <w:rsid w:val="00E050E5"/>
    <w:rsid w:val="00E0520F"/>
    <w:rsid w:val="00E07F29"/>
    <w:rsid w:val="00E101E1"/>
    <w:rsid w:val="00E10F9A"/>
    <w:rsid w:val="00E12376"/>
    <w:rsid w:val="00E1254E"/>
    <w:rsid w:val="00E12834"/>
    <w:rsid w:val="00E13A94"/>
    <w:rsid w:val="00E13FFB"/>
    <w:rsid w:val="00E16F40"/>
    <w:rsid w:val="00E17195"/>
    <w:rsid w:val="00E17EE3"/>
    <w:rsid w:val="00E22320"/>
    <w:rsid w:val="00E22508"/>
    <w:rsid w:val="00E2263D"/>
    <w:rsid w:val="00E22689"/>
    <w:rsid w:val="00E2268C"/>
    <w:rsid w:val="00E233D0"/>
    <w:rsid w:val="00E237D3"/>
    <w:rsid w:val="00E2647B"/>
    <w:rsid w:val="00E2695F"/>
    <w:rsid w:val="00E26D15"/>
    <w:rsid w:val="00E27947"/>
    <w:rsid w:val="00E3144E"/>
    <w:rsid w:val="00E31650"/>
    <w:rsid w:val="00E31980"/>
    <w:rsid w:val="00E32B68"/>
    <w:rsid w:val="00E339CE"/>
    <w:rsid w:val="00E339F0"/>
    <w:rsid w:val="00E34C2F"/>
    <w:rsid w:val="00E3573E"/>
    <w:rsid w:val="00E35D90"/>
    <w:rsid w:val="00E373F2"/>
    <w:rsid w:val="00E3746A"/>
    <w:rsid w:val="00E37C4C"/>
    <w:rsid w:val="00E37EEE"/>
    <w:rsid w:val="00E40032"/>
    <w:rsid w:val="00E40E1C"/>
    <w:rsid w:val="00E414DF"/>
    <w:rsid w:val="00E42705"/>
    <w:rsid w:val="00E42744"/>
    <w:rsid w:val="00E4320D"/>
    <w:rsid w:val="00E43370"/>
    <w:rsid w:val="00E43685"/>
    <w:rsid w:val="00E44666"/>
    <w:rsid w:val="00E44684"/>
    <w:rsid w:val="00E44EEE"/>
    <w:rsid w:val="00E4500E"/>
    <w:rsid w:val="00E462AD"/>
    <w:rsid w:val="00E4729A"/>
    <w:rsid w:val="00E4775D"/>
    <w:rsid w:val="00E609E8"/>
    <w:rsid w:val="00E60E21"/>
    <w:rsid w:val="00E629D6"/>
    <w:rsid w:val="00E637F8"/>
    <w:rsid w:val="00E63843"/>
    <w:rsid w:val="00E64A1F"/>
    <w:rsid w:val="00E659D6"/>
    <w:rsid w:val="00E65EC5"/>
    <w:rsid w:val="00E66B43"/>
    <w:rsid w:val="00E674A8"/>
    <w:rsid w:val="00E67721"/>
    <w:rsid w:val="00E7018C"/>
    <w:rsid w:val="00E70EEC"/>
    <w:rsid w:val="00E718F5"/>
    <w:rsid w:val="00E71C81"/>
    <w:rsid w:val="00E71D93"/>
    <w:rsid w:val="00E73717"/>
    <w:rsid w:val="00E738C2"/>
    <w:rsid w:val="00E74D9D"/>
    <w:rsid w:val="00E7604C"/>
    <w:rsid w:val="00E7693B"/>
    <w:rsid w:val="00E76E07"/>
    <w:rsid w:val="00E772B7"/>
    <w:rsid w:val="00E80C94"/>
    <w:rsid w:val="00E81526"/>
    <w:rsid w:val="00E81EEC"/>
    <w:rsid w:val="00E82908"/>
    <w:rsid w:val="00E832E9"/>
    <w:rsid w:val="00E834A5"/>
    <w:rsid w:val="00E839CF"/>
    <w:rsid w:val="00E84224"/>
    <w:rsid w:val="00E8468A"/>
    <w:rsid w:val="00E85AED"/>
    <w:rsid w:val="00E864B6"/>
    <w:rsid w:val="00E914EB"/>
    <w:rsid w:val="00E930C4"/>
    <w:rsid w:val="00E93B63"/>
    <w:rsid w:val="00E95034"/>
    <w:rsid w:val="00E952A9"/>
    <w:rsid w:val="00E9556A"/>
    <w:rsid w:val="00E95F85"/>
    <w:rsid w:val="00E96415"/>
    <w:rsid w:val="00E9757A"/>
    <w:rsid w:val="00E97BFD"/>
    <w:rsid w:val="00EA18A9"/>
    <w:rsid w:val="00EA227E"/>
    <w:rsid w:val="00EA415E"/>
    <w:rsid w:val="00EA567C"/>
    <w:rsid w:val="00EA5B01"/>
    <w:rsid w:val="00EA78AD"/>
    <w:rsid w:val="00EA7F0E"/>
    <w:rsid w:val="00EB0132"/>
    <w:rsid w:val="00EB0238"/>
    <w:rsid w:val="00EB20F4"/>
    <w:rsid w:val="00EB469A"/>
    <w:rsid w:val="00EB55B1"/>
    <w:rsid w:val="00EB5723"/>
    <w:rsid w:val="00EB580A"/>
    <w:rsid w:val="00EB5E06"/>
    <w:rsid w:val="00EB686D"/>
    <w:rsid w:val="00EC0030"/>
    <w:rsid w:val="00EC0938"/>
    <w:rsid w:val="00EC109C"/>
    <w:rsid w:val="00EC4DC4"/>
    <w:rsid w:val="00EC4F9C"/>
    <w:rsid w:val="00EC5DDA"/>
    <w:rsid w:val="00EC6476"/>
    <w:rsid w:val="00EC716C"/>
    <w:rsid w:val="00ED0861"/>
    <w:rsid w:val="00ED18B8"/>
    <w:rsid w:val="00ED2399"/>
    <w:rsid w:val="00ED2672"/>
    <w:rsid w:val="00ED3DF5"/>
    <w:rsid w:val="00ED410E"/>
    <w:rsid w:val="00ED538C"/>
    <w:rsid w:val="00ED54DC"/>
    <w:rsid w:val="00ED6793"/>
    <w:rsid w:val="00ED71D1"/>
    <w:rsid w:val="00ED71D7"/>
    <w:rsid w:val="00EE0F56"/>
    <w:rsid w:val="00EE2658"/>
    <w:rsid w:val="00EE318C"/>
    <w:rsid w:val="00EE3EDF"/>
    <w:rsid w:val="00EE44F3"/>
    <w:rsid w:val="00EE462F"/>
    <w:rsid w:val="00EE4A11"/>
    <w:rsid w:val="00EE52C2"/>
    <w:rsid w:val="00EE63A8"/>
    <w:rsid w:val="00EF1715"/>
    <w:rsid w:val="00EF198E"/>
    <w:rsid w:val="00EF19F5"/>
    <w:rsid w:val="00EF1D24"/>
    <w:rsid w:val="00EF4481"/>
    <w:rsid w:val="00EF48AF"/>
    <w:rsid w:val="00EF4B25"/>
    <w:rsid w:val="00EF61F9"/>
    <w:rsid w:val="00EF6379"/>
    <w:rsid w:val="00EF6B3B"/>
    <w:rsid w:val="00EF6F8B"/>
    <w:rsid w:val="00F01722"/>
    <w:rsid w:val="00F0369F"/>
    <w:rsid w:val="00F044BD"/>
    <w:rsid w:val="00F04B35"/>
    <w:rsid w:val="00F05A4C"/>
    <w:rsid w:val="00F05D18"/>
    <w:rsid w:val="00F05E4E"/>
    <w:rsid w:val="00F067A7"/>
    <w:rsid w:val="00F07AEB"/>
    <w:rsid w:val="00F113E3"/>
    <w:rsid w:val="00F11A7B"/>
    <w:rsid w:val="00F11C96"/>
    <w:rsid w:val="00F11D9D"/>
    <w:rsid w:val="00F121D9"/>
    <w:rsid w:val="00F1357D"/>
    <w:rsid w:val="00F13ED3"/>
    <w:rsid w:val="00F13F50"/>
    <w:rsid w:val="00F14D4F"/>
    <w:rsid w:val="00F15665"/>
    <w:rsid w:val="00F157BE"/>
    <w:rsid w:val="00F1649D"/>
    <w:rsid w:val="00F165B3"/>
    <w:rsid w:val="00F16FBD"/>
    <w:rsid w:val="00F17952"/>
    <w:rsid w:val="00F2060A"/>
    <w:rsid w:val="00F20835"/>
    <w:rsid w:val="00F2244D"/>
    <w:rsid w:val="00F23DD9"/>
    <w:rsid w:val="00F25F21"/>
    <w:rsid w:val="00F26778"/>
    <w:rsid w:val="00F279D1"/>
    <w:rsid w:val="00F31EF6"/>
    <w:rsid w:val="00F32279"/>
    <w:rsid w:val="00F330B8"/>
    <w:rsid w:val="00F33BE3"/>
    <w:rsid w:val="00F33E3D"/>
    <w:rsid w:val="00F34601"/>
    <w:rsid w:val="00F359DB"/>
    <w:rsid w:val="00F35C2C"/>
    <w:rsid w:val="00F418B2"/>
    <w:rsid w:val="00F418BE"/>
    <w:rsid w:val="00F43521"/>
    <w:rsid w:val="00F44FC4"/>
    <w:rsid w:val="00F45431"/>
    <w:rsid w:val="00F45FEC"/>
    <w:rsid w:val="00F4608D"/>
    <w:rsid w:val="00F47055"/>
    <w:rsid w:val="00F47095"/>
    <w:rsid w:val="00F5105E"/>
    <w:rsid w:val="00F51F0E"/>
    <w:rsid w:val="00F5333D"/>
    <w:rsid w:val="00F53599"/>
    <w:rsid w:val="00F53C0F"/>
    <w:rsid w:val="00F60263"/>
    <w:rsid w:val="00F6176F"/>
    <w:rsid w:val="00F6191A"/>
    <w:rsid w:val="00F644DD"/>
    <w:rsid w:val="00F66510"/>
    <w:rsid w:val="00F666CA"/>
    <w:rsid w:val="00F6703E"/>
    <w:rsid w:val="00F67DF0"/>
    <w:rsid w:val="00F705C4"/>
    <w:rsid w:val="00F71134"/>
    <w:rsid w:val="00F71C11"/>
    <w:rsid w:val="00F72B1E"/>
    <w:rsid w:val="00F72CA1"/>
    <w:rsid w:val="00F7394A"/>
    <w:rsid w:val="00F74065"/>
    <w:rsid w:val="00F74FB2"/>
    <w:rsid w:val="00F75116"/>
    <w:rsid w:val="00F75460"/>
    <w:rsid w:val="00F7766B"/>
    <w:rsid w:val="00F8024A"/>
    <w:rsid w:val="00F8066E"/>
    <w:rsid w:val="00F80E8F"/>
    <w:rsid w:val="00F81D24"/>
    <w:rsid w:val="00F83DAE"/>
    <w:rsid w:val="00F8549F"/>
    <w:rsid w:val="00F854B6"/>
    <w:rsid w:val="00F85893"/>
    <w:rsid w:val="00F862A1"/>
    <w:rsid w:val="00F875B7"/>
    <w:rsid w:val="00F91172"/>
    <w:rsid w:val="00F92273"/>
    <w:rsid w:val="00F936A9"/>
    <w:rsid w:val="00F9386E"/>
    <w:rsid w:val="00F93E07"/>
    <w:rsid w:val="00F9525C"/>
    <w:rsid w:val="00FA1252"/>
    <w:rsid w:val="00FA159F"/>
    <w:rsid w:val="00FA1A1F"/>
    <w:rsid w:val="00FA336C"/>
    <w:rsid w:val="00FA38BF"/>
    <w:rsid w:val="00FA474D"/>
    <w:rsid w:val="00FA531E"/>
    <w:rsid w:val="00FA53C3"/>
    <w:rsid w:val="00FA5FAA"/>
    <w:rsid w:val="00FB13C2"/>
    <w:rsid w:val="00FB1444"/>
    <w:rsid w:val="00FB1C39"/>
    <w:rsid w:val="00FB1CE3"/>
    <w:rsid w:val="00FB1FD6"/>
    <w:rsid w:val="00FB2351"/>
    <w:rsid w:val="00FB377B"/>
    <w:rsid w:val="00FB3F36"/>
    <w:rsid w:val="00FB4B0F"/>
    <w:rsid w:val="00FB4B87"/>
    <w:rsid w:val="00FB50EB"/>
    <w:rsid w:val="00FC01C2"/>
    <w:rsid w:val="00FC05CD"/>
    <w:rsid w:val="00FC28B3"/>
    <w:rsid w:val="00FC314D"/>
    <w:rsid w:val="00FC3AE9"/>
    <w:rsid w:val="00FC3E8A"/>
    <w:rsid w:val="00FC5381"/>
    <w:rsid w:val="00FC5716"/>
    <w:rsid w:val="00FC6521"/>
    <w:rsid w:val="00FC66F0"/>
    <w:rsid w:val="00FC7351"/>
    <w:rsid w:val="00FC77AF"/>
    <w:rsid w:val="00FC790C"/>
    <w:rsid w:val="00FC7B28"/>
    <w:rsid w:val="00FD08C5"/>
    <w:rsid w:val="00FD21DA"/>
    <w:rsid w:val="00FD23A4"/>
    <w:rsid w:val="00FD306F"/>
    <w:rsid w:val="00FD3909"/>
    <w:rsid w:val="00FD6DD4"/>
    <w:rsid w:val="00FD73EF"/>
    <w:rsid w:val="00FE2AF9"/>
    <w:rsid w:val="00FE32BC"/>
    <w:rsid w:val="00FE3F02"/>
    <w:rsid w:val="00FE62EB"/>
    <w:rsid w:val="00FE6F22"/>
    <w:rsid w:val="00FE76E2"/>
    <w:rsid w:val="00FE7996"/>
    <w:rsid w:val="00FF0A34"/>
    <w:rsid w:val="00FF0FD9"/>
    <w:rsid w:val="00FF17B2"/>
    <w:rsid w:val="00FF1824"/>
    <w:rsid w:val="00FF3EA3"/>
    <w:rsid w:val="00FF4DC3"/>
    <w:rsid w:val="00FF5A95"/>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FE47C19"/>
  <w15:docId w15:val="{AB1D8D0F-F0BD-4DA4-A6CF-BD8A2B97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08B"/>
    <w:rPr>
      <w:rFonts w:ascii="Arial" w:hAnsi="Arial"/>
    </w:rPr>
  </w:style>
  <w:style w:type="paragraph" w:styleId="Heading1">
    <w:name w:val="heading 1"/>
    <w:basedOn w:val="Normal"/>
    <w:next w:val="Normal"/>
    <w:link w:val="Heading1Char"/>
    <w:uiPriority w:val="9"/>
    <w:qFormat/>
    <w:rsid w:val="00AF669F"/>
    <w:pPr>
      <w:keepNext/>
      <w:keepLines/>
      <w:spacing w:before="480" w:after="0"/>
      <w:jc w:val="both"/>
      <w:outlineLvl w:val="0"/>
    </w:pPr>
    <w:rPr>
      <w:rFonts w:asciiTheme="majorHAnsi" w:eastAsiaTheme="majorEastAsia" w:hAnsiTheme="majorHAnsi" w:cstheme="majorBidi"/>
      <w:b/>
      <w:bCs/>
      <w:color w:val="002060"/>
      <w:sz w:val="40"/>
      <w:szCs w:val="28"/>
    </w:rPr>
  </w:style>
  <w:style w:type="paragraph" w:styleId="Heading2">
    <w:name w:val="heading 2"/>
    <w:basedOn w:val="Normal"/>
    <w:next w:val="Normal"/>
    <w:link w:val="Heading2Char"/>
    <w:uiPriority w:val="9"/>
    <w:unhideWhenUsed/>
    <w:qFormat/>
    <w:rsid w:val="00AF669F"/>
    <w:pPr>
      <w:keepNext/>
      <w:keepLines/>
      <w:spacing w:before="200" w:after="0"/>
      <w:jc w:val="both"/>
      <w:outlineLvl w:val="1"/>
    </w:pPr>
    <w:rPr>
      <w:rFonts w:asciiTheme="majorHAnsi" w:eastAsiaTheme="majorEastAsia" w:hAnsiTheme="majorHAnsi" w:cstheme="majorBidi"/>
      <w:b/>
      <w:bCs/>
      <w:color w:val="002060"/>
      <w:sz w:val="32"/>
      <w:szCs w:val="26"/>
    </w:rPr>
  </w:style>
  <w:style w:type="paragraph" w:styleId="Heading3">
    <w:name w:val="heading 3"/>
    <w:basedOn w:val="Normal"/>
    <w:next w:val="Normal"/>
    <w:link w:val="Heading3Char"/>
    <w:uiPriority w:val="9"/>
    <w:unhideWhenUsed/>
    <w:qFormat/>
    <w:rsid w:val="00C26944"/>
    <w:pPr>
      <w:keepNext/>
      <w:keepLines/>
      <w:spacing w:before="200" w:after="0"/>
      <w:jc w:val="both"/>
      <w:outlineLvl w:val="2"/>
    </w:pPr>
    <w:rPr>
      <w:rFonts w:asciiTheme="majorHAnsi" w:eastAsiaTheme="majorEastAsia" w:hAnsiTheme="majorHAnsi" w:cstheme="majorBidi"/>
      <w:b/>
      <w:bCs/>
      <w:color w:val="002060"/>
      <w:sz w:val="28"/>
    </w:rPr>
  </w:style>
  <w:style w:type="paragraph" w:styleId="Heading4">
    <w:name w:val="heading 4"/>
    <w:basedOn w:val="Normal"/>
    <w:next w:val="Normal"/>
    <w:link w:val="Heading4Char"/>
    <w:uiPriority w:val="9"/>
    <w:unhideWhenUsed/>
    <w:qFormat/>
    <w:rsid w:val="00C26944"/>
    <w:pPr>
      <w:keepNext/>
      <w:keepLines/>
      <w:spacing w:before="200" w:after="0"/>
      <w:jc w:val="both"/>
      <w:outlineLvl w:val="3"/>
    </w:pPr>
    <w:rPr>
      <w:rFonts w:asciiTheme="majorHAnsi" w:eastAsiaTheme="majorEastAsia" w:hAnsiTheme="majorHAnsi" w:cstheme="majorBidi"/>
      <w:b/>
      <w:bCs/>
      <w:iCs/>
      <w:color w:val="002060"/>
    </w:rPr>
  </w:style>
  <w:style w:type="paragraph" w:styleId="Heading5">
    <w:name w:val="heading 5"/>
    <w:basedOn w:val="Normal"/>
    <w:next w:val="Normal"/>
    <w:link w:val="Heading5Char"/>
    <w:uiPriority w:val="9"/>
    <w:unhideWhenUsed/>
    <w:qFormat/>
    <w:rsid w:val="003A22A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FD9"/>
    <w:rPr>
      <w:rFonts w:ascii="Tahoma" w:hAnsi="Tahoma" w:cs="Tahoma"/>
      <w:sz w:val="16"/>
      <w:szCs w:val="16"/>
    </w:rPr>
  </w:style>
  <w:style w:type="paragraph" w:styleId="Title">
    <w:name w:val="Title"/>
    <w:basedOn w:val="Normal"/>
    <w:next w:val="Normal"/>
    <w:link w:val="TitleChar"/>
    <w:uiPriority w:val="10"/>
    <w:qFormat/>
    <w:rsid w:val="001F0E1D"/>
    <w:pPr>
      <w:spacing w:before="1560" w:after="300" w:line="240" w:lineRule="auto"/>
      <w:contextualSpacing/>
      <w:jc w:val="center"/>
    </w:pPr>
    <w:rPr>
      <w:rFonts w:asciiTheme="majorHAnsi" w:eastAsiaTheme="majorEastAsia" w:hAnsiTheme="majorHAnsi"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1F0E1D"/>
    <w:rPr>
      <w:rFonts w:asciiTheme="majorHAnsi" w:eastAsiaTheme="majorEastAsia" w:hAnsiTheme="majorHAnsi"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1F0E1D"/>
    <w:pPr>
      <w:numPr>
        <w:ilvl w:val="1"/>
      </w:numPr>
      <w:spacing w:before="720"/>
      <w:jc w:val="center"/>
    </w:pPr>
    <w:rPr>
      <w:rFonts w:asciiTheme="majorHAnsi" w:eastAsiaTheme="majorEastAsia" w:hAnsiTheme="majorHAnsi" w:cstheme="majorBidi"/>
      <w:b/>
      <w:iCs/>
      <w:color w:val="17365D" w:themeColor="text2" w:themeShade="BF"/>
      <w:spacing w:val="15"/>
      <w:sz w:val="40"/>
      <w:szCs w:val="40"/>
    </w:rPr>
  </w:style>
  <w:style w:type="character" w:customStyle="1" w:styleId="SubtitleChar">
    <w:name w:val="Subtitle Char"/>
    <w:basedOn w:val="DefaultParagraphFont"/>
    <w:link w:val="Subtitle"/>
    <w:uiPriority w:val="11"/>
    <w:rsid w:val="001F0E1D"/>
    <w:rPr>
      <w:rFonts w:asciiTheme="majorHAnsi" w:eastAsiaTheme="majorEastAsia" w:hAnsiTheme="majorHAnsi" w:cstheme="majorBidi"/>
      <w:b/>
      <w:iCs/>
      <w:color w:val="17365D" w:themeColor="text2" w:themeShade="BF"/>
      <w:spacing w:val="15"/>
      <w:sz w:val="40"/>
      <w:szCs w:val="40"/>
    </w:rPr>
  </w:style>
  <w:style w:type="paragraph" w:customStyle="1" w:styleId="TitlePagedate">
    <w:name w:val="TitlePage date"/>
    <w:basedOn w:val="Normal"/>
    <w:link w:val="TitlePagedateChar"/>
    <w:qFormat/>
    <w:rsid w:val="00753949"/>
    <w:pPr>
      <w:numPr>
        <w:ilvl w:val="1"/>
      </w:numPr>
      <w:spacing w:before="1920"/>
      <w:jc w:val="center"/>
    </w:pPr>
    <w:rPr>
      <w:rFonts w:asciiTheme="majorHAnsi" w:eastAsiaTheme="majorEastAsia" w:hAnsiTheme="majorHAnsi" w:cstheme="majorBidi"/>
      <w:b/>
      <w:iCs/>
      <w:color w:val="17365D" w:themeColor="text2" w:themeShade="BF"/>
      <w:spacing w:val="15"/>
      <w:sz w:val="40"/>
      <w:szCs w:val="40"/>
    </w:rPr>
  </w:style>
  <w:style w:type="paragraph" w:customStyle="1" w:styleId="TitlePageStatement">
    <w:name w:val="Title Page Statement"/>
    <w:basedOn w:val="Normal"/>
    <w:link w:val="TitlePageStatementChar"/>
    <w:rsid w:val="00EC0938"/>
    <w:pPr>
      <w:spacing w:before="1680"/>
    </w:pPr>
    <w:rPr>
      <w:color w:val="000000" w:themeColor="text1"/>
    </w:rPr>
  </w:style>
  <w:style w:type="character" w:customStyle="1" w:styleId="TitlePagedateChar">
    <w:name w:val="TitlePage date Char"/>
    <w:basedOn w:val="DefaultParagraphFont"/>
    <w:link w:val="TitlePagedate"/>
    <w:rsid w:val="00753949"/>
    <w:rPr>
      <w:rFonts w:asciiTheme="majorHAnsi" w:eastAsiaTheme="majorEastAsia" w:hAnsiTheme="majorHAnsi" w:cstheme="majorBidi"/>
      <w:b/>
      <w:iCs/>
      <w:color w:val="17365D" w:themeColor="text2" w:themeShade="BF"/>
      <w:spacing w:val="15"/>
      <w:sz w:val="40"/>
      <w:szCs w:val="40"/>
    </w:rPr>
  </w:style>
  <w:style w:type="character" w:customStyle="1" w:styleId="TitlePageStatementChar">
    <w:name w:val="Title Page Statement Char"/>
    <w:basedOn w:val="DefaultParagraphFont"/>
    <w:link w:val="TitlePageStatement"/>
    <w:rsid w:val="00EC0938"/>
    <w:rPr>
      <w:color w:val="000000" w:themeColor="text1"/>
    </w:rPr>
  </w:style>
  <w:style w:type="character" w:customStyle="1" w:styleId="Heading1Char">
    <w:name w:val="Heading 1 Char"/>
    <w:basedOn w:val="DefaultParagraphFont"/>
    <w:link w:val="Heading1"/>
    <w:uiPriority w:val="9"/>
    <w:rsid w:val="00AF669F"/>
    <w:rPr>
      <w:rFonts w:asciiTheme="majorHAnsi" w:eastAsiaTheme="majorEastAsia" w:hAnsiTheme="majorHAnsi" w:cstheme="majorBidi"/>
      <w:b/>
      <w:bCs/>
      <w:color w:val="002060"/>
      <w:sz w:val="40"/>
      <w:szCs w:val="28"/>
    </w:rPr>
  </w:style>
  <w:style w:type="character" w:customStyle="1" w:styleId="Heading2Char">
    <w:name w:val="Heading 2 Char"/>
    <w:basedOn w:val="DefaultParagraphFont"/>
    <w:link w:val="Heading2"/>
    <w:uiPriority w:val="9"/>
    <w:rsid w:val="00AF669F"/>
    <w:rPr>
      <w:rFonts w:asciiTheme="majorHAnsi" w:eastAsiaTheme="majorEastAsia" w:hAnsiTheme="majorHAnsi" w:cstheme="majorBidi"/>
      <w:b/>
      <w:bCs/>
      <w:color w:val="002060"/>
      <w:sz w:val="32"/>
      <w:szCs w:val="26"/>
    </w:rPr>
  </w:style>
  <w:style w:type="character" w:customStyle="1" w:styleId="Heading3Char">
    <w:name w:val="Heading 3 Char"/>
    <w:basedOn w:val="DefaultParagraphFont"/>
    <w:link w:val="Heading3"/>
    <w:uiPriority w:val="9"/>
    <w:rsid w:val="00C26944"/>
    <w:rPr>
      <w:rFonts w:asciiTheme="majorHAnsi" w:eastAsiaTheme="majorEastAsia" w:hAnsiTheme="majorHAnsi" w:cstheme="majorBidi"/>
      <w:b/>
      <w:bCs/>
      <w:color w:val="002060"/>
      <w:sz w:val="28"/>
    </w:rPr>
  </w:style>
  <w:style w:type="character" w:customStyle="1" w:styleId="Heading4Char">
    <w:name w:val="Heading 4 Char"/>
    <w:basedOn w:val="DefaultParagraphFont"/>
    <w:link w:val="Heading4"/>
    <w:uiPriority w:val="9"/>
    <w:rsid w:val="00C26944"/>
    <w:rPr>
      <w:rFonts w:asciiTheme="majorHAnsi" w:eastAsiaTheme="majorEastAsia" w:hAnsiTheme="majorHAnsi" w:cstheme="majorBidi"/>
      <w:b/>
      <w:bCs/>
      <w:iCs/>
      <w:color w:val="002060"/>
    </w:rPr>
  </w:style>
  <w:style w:type="table" w:styleId="TableGrid">
    <w:name w:val="Table Grid"/>
    <w:basedOn w:val="TableNormal"/>
    <w:uiPriority w:val="39"/>
    <w:rsid w:val="0076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4C6304"/>
    <w:pPr>
      <w:keepNext/>
      <w:spacing w:line="240" w:lineRule="auto"/>
    </w:pPr>
    <w:rPr>
      <w:sz w:val="24"/>
      <w:szCs w:val="24"/>
    </w:rPr>
  </w:style>
  <w:style w:type="paragraph" w:styleId="Header">
    <w:name w:val="header"/>
    <w:basedOn w:val="Normal"/>
    <w:link w:val="HeaderChar"/>
    <w:uiPriority w:val="99"/>
    <w:unhideWhenUsed/>
    <w:rsid w:val="00AE1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F7F"/>
  </w:style>
  <w:style w:type="paragraph" w:styleId="Footer">
    <w:name w:val="footer"/>
    <w:basedOn w:val="Normal"/>
    <w:link w:val="FooterChar"/>
    <w:uiPriority w:val="99"/>
    <w:unhideWhenUsed/>
    <w:rsid w:val="00AE1F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F7F"/>
  </w:style>
  <w:style w:type="paragraph" w:styleId="FootnoteText">
    <w:name w:val="footnote text"/>
    <w:basedOn w:val="Normal"/>
    <w:link w:val="FootnoteTextChar"/>
    <w:uiPriority w:val="99"/>
    <w:unhideWhenUsed/>
    <w:rsid w:val="00AE1F7F"/>
    <w:pPr>
      <w:spacing w:after="0" w:line="240" w:lineRule="auto"/>
    </w:pPr>
    <w:rPr>
      <w:sz w:val="20"/>
      <w:szCs w:val="20"/>
    </w:rPr>
  </w:style>
  <w:style w:type="character" w:customStyle="1" w:styleId="FootnoteTextChar">
    <w:name w:val="Footnote Text Char"/>
    <w:basedOn w:val="DefaultParagraphFont"/>
    <w:link w:val="FootnoteText"/>
    <w:uiPriority w:val="99"/>
    <w:rsid w:val="00AE1F7F"/>
    <w:rPr>
      <w:sz w:val="20"/>
      <w:szCs w:val="20"/>
    </w:rPr>
  </w:style>
  <w:style w:type="character" w:styleId="FootnoteReference">
    <w:name w:val="footnote reference"/>
    <w:basedOn w:val="DefaultParagraphFont"/>
    <w:uiPriority w:val="99"/>
    <w:semiHidden/>
    <w:unhideWhenUsed/>
    <w:rsid w:val="00AE1F7F"/>
    <w:rPr>
      <w:vertAlign w:val="superscript"/>
    </w:rPr>
  </w:style>
  <w:style w:type="paragraph" w:customStyle="1" w:styleId="BlockQuote">
    <w:name w:val="Block Quote"/>
    <w:basedOn w:val="Normal"/>
    <w:link w:val="BlockQuoteChar"/>
    <w:qFormat/>
    <w:rsid w:val="003358E4"/>
    <w:pPr>
      <w:pBdr>
        <w:bottom w:val="single" w:sz="4" w:space="4" w:color="4F81BD" w:themeColor="accent1"/>
      </w:pBdr>
      <w:spacing w:before="200" w:after="280"/>
      <w:ind w:left="936" w:right="936"/>
      <w:jc w:val="both"/>
    </w:pPr>
    <w:rPr>
      <w:b/>
      <w:bCs/>
      <w:i/>
      <w:iCs/>
      <w:lang w:val="en"/>
    </w:rPr>
  </w:style>
  <w:style w:type="paragraph" w:styleId="TOCHeading">
    <w:name w:val="TOC Heading"/>
    <w:basedOn w:val="Heading1"/>
    <w:next w:val="Normal"/>
    <w:uiPriority w:val="39"/>
    <w:semiHidden/>
    <w:unhideWhenUsed/>
    <w:qFormat/>
    <w:rsid w:val="003A22A1"/>
    <w:pPr>
      <w:jc w:val="left"/>
      <w:outlineLvl w:val="9"/>
    </w:pPr>
    <w:rPr>
      <w:color w:val="365F91" w:themeColor="accent1" w:themeShade="BF"/>
      <w:sz w:val="28"/>
      <w:lang w:val="en-US" w:eastAsia="ja-JP"/>
    </w:rPr>
  </w:style>
  <w:style w:type="character" w:customStyle="1" w:styleId="BlockQuoteChar">
    <w:name w:val="Block Quote Char"/>
    <w:basedOn w:val="DefaultParagraphFont"/>
    <w:link w:val="BlockQuote"/>
    <w:rsid w:val="003358E4"/>
    <w:rPr>
      <w:b/>
      <w:bCs/>
      <w:i/>
      <w:iCs/>
      <w:lang w:val="en"/>
    </w:rPr>
  </w:style>
  <w:style w:type="paragraph" w:styleId="TOC1">
    <w:name w:val="toc 1"/>
    <w:basedOn w:val="Normal"/>
    <w:next w:val="Normal"/>
    <w:autoRedefine/>
    <w:uiPriority w:val="39"/>
    <w:unhideWhenUsed/>
    <w:rsid w:val="003108B7"/>
    <w:pPr>
      <w:tabs>
        <w:tab w:val="right" w:leader="dot" w:pos="9016"/>
      </w:tabs>
      <w:spacing w:after="100"/>
    </w:pPr>
  </w:style>
  <w:style w:type="paragraph" w:styleId="TOC2">
    <w:name w:val="toc 2"/>
    <w:basedOn w:val="Normal"/>
    <w:next w:val="Normal"/>
    <w:autoRedefine/>
    <w:uiPriority w:val="39"/>
    <w:unhideWhenUsed/>
    <w:rsid w:val="003108B7"/>
    <w:pPr>
      <w:tabs>
        <w:tab w:val="right" w:leader="dot" w:pos="9016"/>
      </w:tabs>
      <w:spacing w:after="100"/>
      <w:ind w:left="220"/>
    </w:pPr>
  </w:style>
  <w:style w:type="paragraph" w:styleId="TOC3">
    <w:name w:val="toc 3"/>
    <w:basedOn w:val="Normal"/>
    <w:next w:val="Normal"/>
    <w:autoRedefine/>
    <w:uiPriority w:val="39"/>
    <w:unhideWhenUsed/>
    <w:rsid w:val="003108B7"/>
    <w:pPr>
      <w:tabs>
        <w:tab w:val="right" w:leader="dot" w:pos="9016"/>
      </w:tabs>
      <w:spacing w:after="100"/>
      <w:ind w:left="440"/>
    </w:pPr>
  </w:style>
  <w:style w:type="character" w:styleId="Hyperlink">
    <w:name w:val="Hyperlink"/>
    <w:basedOn w:val="DefaultParagraphFont"/>
    <w:uiPriority w:val="99"/>
    <w:unhideWhenUsed/>
    <w:rsid w:val="003A22A1"/>
    <w:rPr>
      <w:color w:val="0000FF" w:themeColor="hyperlink"/>
      <w:u w:val="single"/>
    </w:rPr>
  </w:style>
  <w:style w:type="character" w:customStyle="1" w:styleId="Heading5Char">
    <w:name w:val="Heading 5 Char"/>
    <w:basedOn w:val="DefaultParagraphFont"/>
    <w:link w:val="Heading5"/>
    <w:uiPriority w:val="9"/>
    <w:rsid w:val="003A22A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qFormat/>
    <w:rsid w:val="003A22A1"/>
    <w:pPr>
      <w:spacing w:after="120"/>
    </w:pPr>
  </w:style>
  <w:style w:type="character" w:customStyle="1" w:styleId="BodyTextChar">
    <w:name w:val="Body Text Char"/>
    <w:basedOn w:val="DefaultParagraphFont"/>
    <w:link w:val="BodyText"/>
    <w:uiPriority w:val="99"/>
    <w:rsid w:val="003A22A1"/>
  </w:style>
  <w:style w:type="paragraph" w:styleId="BodyTextIndent">
    <w:name w:val="Body Text Indent"/>
    <w:basedOn w:val="Normal"/>
    <w:link w:val="BodyTextIndentChar"/>
    <w:uiPriority w:val="99"/>
    <w:rsid w:val="00054A01"/>
    <w:pPr>
      <w:spacing w:after="120"/>
      <w:ind w:left="283"/>
    </w:pPr>
  </w:style>
  <w:style w:type="character" w:customStyle="1" w:styleId="BodyTextIndentChar">
    <w:name w:val="Body Text Indent Char"/>
    <w:basedOn w:val="DefaultParagraphFont"/>
    <w:link w:val="BodyTextIndent"/>
    <w:uiPriority w:val="99"/>
    <w:rsid w:val="00054A01"/>
  </w:style>
  <w:style w:type="paragraph" w:styleId="BlockText">
    <w:name w:val="Block Text"/>
    <w:basedOn w:val="Normal"/>
    <w:uiPriority w:val="99"/>
    <w:rsid w:val="00CC5D6C"/>
    <w:pPr>
      <w:ind w:left="284" w:right="284"/>
    </w:pPr>
    <w:rPr>
      <w:rFonts w:eastAsiaTheme="minorEastAsia"/>
      <w:i/>
      <w:iCs/>
    </w:rPr>
  </w:style>
  <w:style w:type="character" w:styleId="Emphasis">
    <w:name w:val="Emphasis"/>
    <w:basedOn w:val="DefaultParagraphFont"/>
    <w:uiPriority w:val="20"/>
    <w:qFormat/>
    <w:rsid w:val="00E2695F"/>
    <w:rPr>
      <w:i/>
      <w:iCs/>
    </w:rPr>
  </w:style>
  <w:style w:type="character" w:styleId="Strong">
    <w:name w:val="Strong"/>
    <w:basedOn w:val="DefaultParagraphFont"/>
    <w:uiPriority w:val="22"/>
    <w:qFormat/>
    <w:rsid w:val="00E2695F"/>
    <w:rPr>
      <w:b/>
      <w:bCs/>
    </w:rPr>
  </w:style>
  <w:style w:type="paragraph" w:styleId="ListBullet">
    <w:name w:val="List Bullet"/>
    <w:basedOn w:val="Normal"/>
    <w:link w:val="ListBulletChar"/>
    <w:uiPriority w:val="99"/>
    <w:rsid w:val="00337EEB"/>
    <w:pPr>
      <w:numPr>
        <w:numId w:val="1"/>
      </w:numPr>
      <w:contextualSpacing/>
    </w:pPr>
  </w:style>
  <w:style w:type="paragraph" w:styleId="ListNumber">
    <w:name w:val="List Number"/>
    <w:basedOn w:val="Normal"/>
    <w:uiPriority w:val="99"/>
    <w:rsid w:val="00916592"/>
    <w:pPr>
      <w:numPr>
        <w:numId w:val="2"/>
      </w:numPr>
      <w:contextualSpacing/>
    </w:pPr>
  </w:style>
  <w:style w:type="paragraph" w:styleId="ListParagraph">
    <w:name w:val="List Paragraph"/>
    <w:basedOn w:val="Normal"/>
    <w:uiPriority w:val="34"/>
    <w:qFormat/>
    <w:rsid w:val="00DA4FEF"/>
    <w:pPr>
      <w:ind w:left="720"/>
      <w:contextualSpacing/>
    </w:pPr>
  </w:style>
  <w:style w:type="paragraph" w:customStyle="1" w:styleId="Multilevelbullet">
    <w:name w:val="Multi level bullet"/>
    <w:basedOn w:val="ListBullet"/>
    <w:link w:val="MultilevelbulletChar"/>
    <w:qFormat/>
    <w:rsid w:val="009A5804"/>
    <w:pPr>
      <w:numPr>
        <w:numId w:val="3"/>
      </w:numPr>
    </w:pPr>
  </w:style>
  <w:style w:type="numbering" w:customStyle="1" w:styleId="Multi-levelnumbered0">
    <w:name w:val="Multi-level numbered"/>
    <w:uiPriority w:val="99"/>
    <w:rsid w:val="009A5804"/>
    <w:pPr>
      <w:numPr>
        <w:numId w:val="4"/>
      </w:numPr>
    </w:pPr>
  </w:style>
  <w:style w:type="character" w:customStyle="1" w:styleId="ListBulletChar">
    <w:name w:val="List Bullet Char"/>
    <w:basedOn w:val="DefaultParagraphFont"/>
    <w:link w:val="ListBullet"/>
    <w:uiPriority w:val="99"/>
    <w:rsid w:val="009A5804"/>
    <w:rPr>
      <w:rFonts w:ascii="Arial" w:hAnsi="Arial"/>
    </w:rPr>
  </w:style>
  <w:style w:type="character" w:customStyle="1" w:styleId="MultilevelbulletChar">
    <w:name w:val="Multi level bullet Char"/>
    <w:basedOn w:val="ListBulletChar"/>
    <w:link w:val="Multilevelbullet"/>
    <w:rsid w:val="009A5804"/>
    <w:rPr>
      <w:rFonts w:ascii="Arial" w:hAnsi="Arial"/>
    </w:rPr>
  </w:style>
  <w:style w:type="paragraph" w:customStyle="1" w:styleId="Multi-levelNumbered">
    <w:name w:val="Multi-level Numbered"/>
    <w:basedOn w:val="ListBullet"/>
    <w:link w:val="Multi-levelNumberedChar"/>
    <w:qFormat/>
    <w:rsid w:val="009A5804"/>
    <w:pPr>
      <w:numPr>
        <w:numId w:val="5"/>
      </w:numPr>
    </w:pPr>
  </w:style>
  <w:style w:type="character" w:customStyle="1" w:styleId="Multi-levelNumberedChar">
    <w:name w:val="Multi-level Numbered Char"/>
    <w:basedOn w:val="ListBulletChar"/>
    <w:link w:val="Multi-levelNumbered"/>
    <w:rsid w:val="009A5804"/>
    <w:rPr>
      <w:rFonts w:ascii="Arial" w:hAnsi="Arial"/>
    </w:rPr>
  </w:style>
  <w:style w:type="character" w:styleId="FollowedHyperlink">
    <w:name w:val="FollowedHyperlink"/>
    <w:basedOn w:val="DefaultParagraphFont"/>
    <w:uiPriority w:val="99"/>
    <w:semiHidden/>
    <w:unhideWhenUsed/>
    <w:rsid w:val="00B476A7"/>
    <w:rPr>
      <w:color w:val="800080" w:themeColor="followedHyperlink"/>
      <w:u w:val="single"/>
    </w:rPr>
  </w:style>
  <w:style w:type="paragraph" w:customStyle="1" w:styleId="Default">
    <w:name w:val="Default"/>
    <w:rsid w:val="00250D1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semiHidden/>
    <w:unhideWhenUsed/>
    <w:rsid w:val="00533A80"/>
    <w:rPr>
      <w:sz w:val="16"/>
      <w:szCs w:val="16"/>
    </w:rPr>
  </w:style>
  <w:style w:type="paragraph" w:styleId="CommentText">
    <w:name w:val="annotation text"/>
    <w:basedOn w:val="Normal"/>
    <w:link w:val="CommentTextChar"/>
    <w:uiPriority w:val="99"/>
    <w:unhideWhenUsed/>
    <w:rsid w:val="00533A80"/>
    <w:pPr>
      <w:spacing w:line="240" w:lineRule="auto"/>
    </w:pPr>
    <w:rPr>
      <w:sz w:val="20"/>
      <w:szCs w:val="20"/>
    </w:rPr>
  </w:style>
  <w:style w:type="character" w:customStyle="1" w:styleId="CommentTextChar">
    <w:name w:val="Comment Text Char"/>
    <w:basedOn w:val="DefaultParagraphFont"/>
    <w:link w:val="CommentText"/>
    <w:uiPriority w:val="99"/>
    <w:rsid w:val="00533A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33A80"/>
    <w:rPr>
      <w:b/>
      <w:bCs/>
    </w:rPr>
  </w:style>
  <w:style w:type="character" w:customStyle="1" w:styleId="CommentSubjectChar">
    <w:name w:val="Comment Subject Char"/>
    <w:basedOn w:val="CommentTextChar"/>
    <w:link w:val="CommentSubject"/>
    <w:uiPriority w:val="99"/>
    <w:semiHidden/>
    <w:rsid w:val="00533A80"/>
    <w:rPr>
      <w:rFonts w:ascii="Arial" w:hAnsi="Arial"/>
      <w:b/>
      <w:bCs/>
      <w:sz w:val="20"/>
      <w:szCs w:val="20"/>
    </w:rPr>
  </w:style>
  <w:style w:type="paragraph" w:customStyle="1" w:styleId="Heading-Legal">
    <w:name w:val="Heading-Legal"/>
    <w:basedOn w:val="Normal"/>
    <w:link w:val="Heading-LegalChar"/>
    <w:rsid w:val="004507E2"/>
    <w:pPr>
      <w:keepLines/>
      <w:pBdr>
        <w:top w:val="single" w:sz="24" w:space="1" w:color="17365F"/>
        <w:bottom w:val="single" w:sz="24" w:space="1" w:color="17365F"/>
      </w:pBdr>
      <w:shd w:val="clear" w:color="auto" w:fill="17365F"/>
      <w:spacing w:before="240" w:after="120" w:line="360" w:lineRule="auto"/>
      <w:ind w:firstLine="284"/>
      <w:jc w:val="both"/>
    </w:pPr>
    <w:rPr>
      <w:rFonts w:eastAsia="Times New Roman" w:cs="Times"/>
      <w:b/>
      <w:color w:val="FFFFFF"/>
      <w:sz w:val="24"/>
      <w:szCs w:val="24"/>
    </w:rPr>
  </w:style>
  <w:style w:type="character" w:customStyle="1" w:styleId="Heading-LegalChar">
    <w:name w:val="Heading-Legal Char"/>
    <w:basedOn w:val="DefaultParagraphFont"/>
    <w:link w:val="Heading-Legal"/>
    <w:rsid w:val="004507E2"/>
    <w:rPr>
      <w:rFonts w:ascii="Arial" w:eastAsia="Times New Roman" w:hAnsi="Arial" w:cs="Times"/>
      <w:b/>
      <w:color w:val="FFFFFF"/>
      <w:sz w:val="24"/>
      <w:szCs w:val="24"/>
      <w:shd w:val="clear" w:color="auto" w:fill="17365F"/>
    </w:rPr>
  </w:style>
  <w:style w:type="paragraph" w:customStyle="1" w:styleId="TableBody">
    <w:name w:val="Table Body"/>
    <w:basedOn w:val="BodyText"/>
    <w:qFormat/>
    <w:rsid w:val="009C0A5D"/>
    <w:pPr>
      <w:spacing w:before="60" w:after="60" w:line="240" w:lineRule="auto"/>
    </w:pPr>
    <w:rPr>
      <w:rFonts w:eastAsia="Times New Roman" w:cs="Times New Roman"/>
      <w:sz w:val="24"/>
      <w:szCs w:val="24"/>
      <w:lang w:eastAsia="en-AU"/>
    </w:rPr>
  </w:style>
  <w:style w:type="paragraph" w:customStyle="1" w:styleId="TableHeading">
    <w:name w:val="Table Heading"/>
    <w:basedOn w:val="TableBody"/>
    <w:autoRedefine/>
    <w:qFormat/>
    <w:rsid w:val="009C0A5D"/>
    <w:pPr>
      <w:keepNext/>
    </w:pPr>
    <w:rPr>
      <w:b/>
      <w:color w:val="FFFFFF" w:themeColor="background1"/>
    </w:rPr>
  </w:style>
  <w:style w:type="table" w:customStyle="1" w:styleId="TableGrid1">
    <w:name w:val="Table Grid1"/>
    <w:basedOn w:val="TableNormal"/>
    <w:next w:val="TableGrid"/>
    <w:uiPriority w:val="39"/>
    <w:rsid w:val="009C0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73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ref-journal">
    <w:name w:val="ref-journal"/>
    <w:basedOn w:val="DefaultParagraphFont"/>
    <w:rsid w:val="0056682B"/>
  </w:style>
  <w:style w:type="character" w:customStyle="1" w:styleId="ref-vol">
    <w:name w:val="ref-vol"/>
    <w:basedOn w:val="DefaultParagraphFont"/>
    <w:rsid w:val="0056682B"/>
  </w:style>
  <w:style w:type="character" w:customStyle="1" w:styleId="UnresolvedMention1">
    <w:name w:val="Unresolved Mention1"/>
    <w:basedOn w:val="DefaultParagraphFont"/>
    <w:uiPriority w:val="99"/>
    <w:semiHidden/>
    <w:unhideWhenUsed/>
    <w:rsid w:val="00D00058"/>
    <w:rPr>
      <w:color w:val="605E5C"/>
      <w:shd w:val="clear" w:color="auto" w:fill="E1DFDD"/>
    </w:rPr>
  </w:style>
  <w:style w:type="character" w:customStyle="1" w:styleId="author">
    <w:name w:val="author"/>
    <w:basedOn w:val="DefaultParagraphFont"/>
    <w:rsid w:val="00EC5DDA"/>
  </w:style>
  <w:style w:type="character" w:customStyle="1" w:styleId="articletitle">
    <w:name w:val="articletitle"/>
    <w:basedOn w:val="DefaultParagraphFont"/>
    <w:rsid w:val="00EC5DDA"/>
  </w:style>
  <w:style w:type="character" w:customStyle="1" w:styleId="pubyear">
    <w:name w:val="pubyear"/>
    <w:basedOn w:val="DefaultParagraphFont"/>
    <w:rsid w:val="00EC5DDA"/>
  </w:style>
  <w:style w:type="character" w:customStyle="1" w:styleId="vol">
    <w:name w:val="vol"/>
    <w:basedOn w:val="DefaultParagraphFont"/>
    <w:rsid w:val="00EC5DDA"/>
  </w:style>
  <w:style w:type="character" w:customStyle="1" w:styleId="pagefirst">
    <w:name w:val="pagefirst"/>
    <w:basedOn w:val="DefaultParagraphFont"/>
    <w:rsid w:val="00EC5DDA"/>
  </w:style>
  <w:style w:type="character" w:customStyle="1" w:styleId="pagelast">
    <w:name w:val="pagelast"/>
    <w:basedOn w:val="DefaultParagraphFont"/>
    <w:rsid w:val="00EC5DDA"/>
  </w:style>
  <w:style w:type="paragraph" w:styleId="EndnoteText">
    <w:name w:val="endnote text"/>
    <w:basedOn w:val="Normal"/>
    <w:link w:val="EndnoteTextChar"/>
    <w:uiPriority w:val="99"/>
    <w:semiHidden/>
    <w:unhideWhenUsed/>
    <w:rsid w:val="007247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479C"/>
    <w:rPr>
      <w:rFonts w:ascii="Arial" w:hAnsi="Arial"/>
      <w:sz w:val="20"/>
      <w:szCs w:val="20"/>
    </w:rPr>
  </w:style>
  <w:style w:type="character" w:styleId="EndnoteReference">
    <w:name w:val="endnote reference"/>
    <w:basedOn w:val="DefaultParagraphFont"/>
    <w:uiPriority w:val="99"/>
    <w:semiHidden/>
    <w:unhideWhenUsed/>
    <w:rsid w:val="0072479C"/>
    <w:rPr>
      <w:vertAlign w:val="superscript"/>
    </w:rPr>
  </w:style>
  <w:style w:type="paragraph" w:styleId="Quote">
    <w:name w:val="Quote"/>
    <w:basedOn w:val="Normal"/>
    <w:next w:val="Normal"/>
    <w:link w:val="QuoteChar"/>
    <w:uiPriority w:val="29"/>
    <w:qFormat/>
    <w:rsid w:val="00EC4F9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4F9C"/>
    <w:rPr>
      <w:rFonts w:ascii="Arial" w:hAnsi="Arial"/>
      <w:i/>
      <w:iCs/>
      <w:color w:val="404040" w:themeColor="text1" w:themeTint="BF"/>
    </w:rPr>
  </w:style>
  <w:style w:type="paragraph" w:styleId="NormalWeb">
    <w:name w:val="Normal (Web)"/>
    <w:basedOn w:val="Normal"/>
    <w:uiPriority w:val="99"/>
    <w:semiHidden/>
    <w:unhideWhenUsed/>
    <w:rsid w:val="0054733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4B3728"/>
  </w:style>
  <w:style w:type="character" w:customStyle="1" w:styleId="author-ref">
    <w:name w:val="author-ref"/>
    <w:basedOn w:val="DefaultParagraphFont"/>
    <w:rsid w:val="004B3728"/>
  </w:style>
  <w:style w:type="character" w:styleId="PlaceholderText">
    <w:name w:val="Placeholder Text"/>
    <w:basedOn w:val="DefaultParagraphFont"/>
    <w:uiPriority w:val="99"/>
    <w:semiHidden/>
    <w:rsid w:val="00053173"/>
    <w:rPr>
      <w:color w:val="808080"/>
    </w:rPr>
  </w:style>
  <w:style w:type="paragraph" w:styleId="Revision">
    <w:name w:val="Revision"/>
    <w:hidden/>
    <w:uiPriority w:val="99"/>
    <w:semiHidden/>
    <w:rsid w:val="00942826"/>
    <w:pPr>
      <w:spacing w:after="0" w:line="240" w:lineRule="auto"/>
    </w:pPr>
    <w:rPr>
      <w:rFonts w:ascii="Arial" w:hAnsi="Arial"/>
    </w:rPr>
  </w:style>
  <w:style w:type="character" w:customStyle="1" w:styleId="UnresolvedMention2">
    <w:name w:val="Unresolved Mention2"/>
    <w:basedOn w:val="DefaultParagraphFont"/>
    <w:uiPriority w:val="99"/>
    <w:semiHidden/>
    <w:unhideWhenUsed/>
    <w:rsid w:val="009A1C04"/>
    <w:rPr>
      <w:color w:val="605E5C"/>
      <w:shd w:val="clear" w:color="auto" w:fill="E1DFDD"/>
    </w:rPr>
  </w:style>
  <w:style w:type="character" w:customStyle="1" w:styleId="UnresolvedMention3">
    <w:name w:val="Unresolved Mention3"/>
    <w:basedOn w:val="DefaultParagraphFont"/>
    <w:uiPriority w:val="99"/>
    <w:semiHidden/>
    <w:unhideWhenUsed/>
    <w:rsid w:val="00FE6F22"/>
    <w:rPr>
      <w:color w:val="605E5C"/>
      <w:shd w:val="clear" w:color="auto" w:fill="E1DFDD"/>
    </w:rPr>
  </w:style>
  <w:style w:type="character" w:customStyle="1" w:styleId="UnresolvedMention4">
    <w:name w:val="Unresolved Mention4"/>
    <w:basedOn w:val="DefaultParagraphFont"/>
    <w:uiPriority w:val="99"/>
    <w:semiHidden/>
    <w:unhideWhenUsed/>
    <w:rsid w:val="007E264B"/>
    <w:rPr>
      <w:color w:val="605E5C"/>
      <w:shd w:val="clear" w:color="auto" w:fill="E1DFDD"/>
    </w:rPr>
  </w:style>
  <w:style w:type="character" w:customStyle="1" w:styleId="UnresolvedMention5">
    <w:name w:val="Unresolved Mention5"/>
    <w:basedOn w:val="DefaultParagraphFont"/>
    <w:uiPriority w:val="99"/>
    <w:semiHidden/>
    <w:unhideWhenUsed/>
    <w:rsid w:val="008D6FB1"/>
    <w:rPr>
      <w:color w:val="605E5C"/>
      <w:shd w:val="clear" w:color="auto" w:fill="E1DFDD"/>
    </w:rPr>
  </w:style>
  <w:style w:type="paragraph" w:styleId="NoSpacing">
    <w:name w:val="No Spacing"/>
    <w:uiPriority w:val="1"/>
    <w:qFormat/>
    <w:rsid w:val="009E7629"/>
    <w:pPr>
      <w:spacing w:after="0" w:line="240" w:lineRule="auto"/>
    </w:pPr>
    <w:rPr>
      <w:rFonts w:ascii="Arial" w:hAnsi="Arial"/>
    </w:rPr>
  </w:style>
  <w:style w:type="table" w:customStyle="1" w:styleId="TableGrid2">
    <w:name w:val="Table Grid2"/>
    <w:basedOn w:val="TableNormal"/>
    <w:next w:val="TableGrid"/>
    <w:rsid w:val="002F6CE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53C5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7389">
      <w:bodyDiv w:val="1"/>
      <w:marLeft w:val="0"/>
      <w:marRight w:val="0"/>
      <w:marTop w:val="0"/>
      <w:marBottom w:val="0"/>
      <w:divBdr>
        <w:top w:val="none" w:sz="0" w:space="0" w:color="auto"/>
        <w:left w:val="none" w:sz="0" w:space="0" w:color="auto"/>
        <w:bottom w:val="none" w:sz="0" w:space="0" w:color="auto"/>
        <w:right w:val="none" w:sz="0" w:space="0" w:color="auto"/>
      </w:divBdr>
    </w:div>
    <w:div w:id="34233090">
      <w:bodyDiv w:val="1"/>
      <w:marLeft w:val="0"/>
      <w:marRight w:val="0"/>
      <w:marTop w:val="0"/>
      <w:marBottom w:val="0"/>
      <w:divBdr>
        <w:top w:val="none" w:sz="0" w:space="0" w:color="auto"/>
        <w:left w:val="none" w:sz="0" w:space="0" w:color="auto"/>
        <w:bottom w:val="none" w:sz="0" w:space="0" w:color="auto"/>
        <w:right w:val="none" w:sz="0" w:space="0" w:color="auto"/>
      </w:divBdr>
    </w:div>
    <w:div w:id="64956874">
      <w:bodyDiv w:val="1"/>
      <w:marLeft w:val="0"/>
      <w:marRight w:val="0"/>
      <w:marTop w:val="0"/>
      <w:marBottom w:val="0"/>
      <w:divBdr>
        <w:top w:val="none" w:sz="0" w:space="0" w:color="auto"/>
        <w:left w:val="none" w:sz="0" w:space="0" w:color="auto"/>
        <w:bottom w:val="none" w:sz="0" w:space="0" w:color="auto"/>
        <w:right w:val="none" w:sz="0" w:space="0" w:color="auto"/>
      </w:divBdr>
    </w:div>
    <w:div w:id="66151304">
      <w:bodyDiv w:val="1"/>
      <w:marLeft w:val="0"/>
      <w:marRight w:val="0"/>
      <w:marTop w:val="0"/>
      <w:marBottom w:val="0"/>
      <w:divBdr>
        <w:top w:val="none" w:sz="0" w:space="0" w:color="auto"/>
        <w:left w:val="none" w:sz="0" w:space="0" w:color="auto"/>
        <w:bottom w:val="none" w:sz="0" w:space="0" w:color="auto"/>
        <w:right w:val="none" w:sz="0" w:space="0" w:color="auto"/>
      </w:divBdr>
    </w:div>
    <w:div w:id="81875407">
      <w:bodyDiv w:val="1"/>
      <w:marLeft w:val="0"/>
      <w:marRight w:val="0"/>
      <w:marTop w:val="0"/>
      <w:marBottom w:val="0"/>
      <w:divBdr>
        <w:top w:val="none" w:sz="0" w:space="0" w:color="auto"/>
        <w:left w:val="none" w:sz="0" w:space="0" w:color="auto"/>
        <w:bottom w:val="none" w:sz="0" w:space="0" w:color="auto"/>
        <w:right w:val="none" w:sz="0" w:space="0" w:color="auto"/>
      </w:divBdr>
    </w:div>
    <w:div w:id="85005923">
      <w:bodyDiv w:val="1"/>
      <w:marLeft w:val="0"/>
      <w:marRight w:val="0"/>
      <w:marTop w:val="0"/>
      <w:marBottom w:val="0"/>
      <w:divBdr>
        <w:top w:val="none" w:sz="0" w:space="0" w:color="auto"/>
        <w:left w:val="none" w:sz="0" w:space="0" w:color="auto"/>
        <w:bottom w:val="none" w:sz="0" w:space="0" w:color="auto"/>
        <w:right w:val="none" w:sz="0" w:space="0" w:color="auto"/>
      </w:divBdr>
    </w:div>
    <w:div w:id="102044901">
      <w:bodyDiv w:val="1"/>
      <w:marLeft w:val="0"/>
      <w:marRight w:val="0"/>
      <w:marTop w:val="0"/>
      <w:marBottom w:val="0"/>
      <w:divBdr>
        <w:top w:val="none" w:sz="0" w:space="0" w:color="auto"/>
        <w:left w:val="none" w:sz="0" w:space="0" w:color="auto"/>
        <w:bottom w:val="none" w:sz="0" w:space="0" w:color="auto"/>
        <w:right w:val="none" w:sz="0" w:space="0" w:color="auto"/>
      </w:divBdr>
      <w:divsChild>
        <w:div w:id="1941135080">
          <w:marLeft w:val="0"/>
          <w:marRight w:val="0"/>
          <w:marTop w:val="0"/>
          <w:marBottom w:val="0"/>
          <w:divBdr>
            <w:top w:val="none" w:sz="0" w:space="0" w:color="auto"/>
            <w:left w:val="none" w:sz="0" w:space="0" w:color="auto"/>
            <w:bottom w:val="none" w:sz="0" w:space="0" w:color="auto"/>
            <w:right w:val="none" w:sz="0" w:space="0" w:color="auto"/>
          </w:divBdr>
        </w:div>
      </w:divsChild>
    </w:div>
    <w:div w:id="108598060">
      <w:bodyDiv w:val="1"/>
      <w:marLeft w:val="0"/>
      <w:marRight w:val="0"/>
      <w:marTop w:val="0"/>
      <w:marBottom w:val="0"/>
      <w:divBdr>
        <w:top w:val="none" w:sz="0" w:space="0" w:color="auto"/>
        <w:left w:val="none" w:sz="0" w:space="0" w:color="auto"/>
        <w:bottom w:val="none" w:sz="0" w:space="0" w:color="auto"/>
        <w:right w:val="none" w:sz="0" w:space="0" w:color="auto"/>
      </w:divBdr>
    </w:div>
    <w:div w:id="125123809">
      <w:bodyDiv w:val="1"/>
      <w:marLeft w:val="0"/>
      <w:marRight w:val="0"/>
      <w:marTop w:val="0"/>
      <w:marBottom w:val="0"/>
      <w:divBdr>
        <w:top w:val="none" w:sz="0" w:space="0" w:color="auto"/>
        <w:left w:val="none" w:sz="0" w:space="0" w:color="auto"/>
        <w:bottom w:val="none" w:sz="0" w:space="0" w:color="auto"/>
        <w:right w:val="none" w:sz="0" w:space="0" w:color="auto"/>
      </w:divBdr>
    </w:div>
    <w:div w:id="138691118">
      <w:bodyDiv w:val="1"/>
      <w:marLeft w:val="0"/>
      <w:marRight w:val="0"/>
      <w:marTop w:val="0"/>
      <w:marBottom w:val="0"/>
      <w:divBdr>
        <w:top w:val="none" w:sz="0" w:space="0" w:color="auto"/>
        <w:left w:val="none" w:sz="0" w:space="0" w:color="auto"/>
        <w:bottom w:val="none" w:sz="0" w:space="0" w:color="auto"/>
        <w:right w:val="none" w:sz="0" w:space="0" w:color="auto"/>
      </w:divBdr>
    </w:div>
    <w:div w:id="140539533">
      <w:bodyDiv w:val="1"/>
      <w:marLeft w:val="0"/>
      <w:marRight w:val="0"/>
      <w:marTop w:val="0"/>
      <w:marBottom w:val="0"/>
      <w:divBdr>
        <w:top w:val="none" w:sz="0" w:space="0" w:color="auto"/>
        <w:left w:val="none" w:sz="0" w:space="0" w:color="auto"/>
        <w:bottom w:val="none" w:sz="0" w:space="0" w:color="auto"/>
        <w:right w:val="none" w:sz="0" w:space="0" w:color="auto"/>
      </w:divBdr>
    </w:div>
    <w:div w:id="161549259">
      <w:bodyDiv w:val="1"/>
      <w:marLeft w:val="0"/>
      <w:marRight w:val="0"/>
      <w:marTop w:val="0"/>
      <w:marBottom w:val="0"/>
      <w:divBdr>
        <w:top w:val="none" w:sz="0" w:space="0" w:color="auto"/>
        <w:left w:val="none" w:sz="0" w:space="0" w:color="auto"/>
        <w:bottom w:val="none" w:sz="0" w:space="0" w:color="auto"/>
        <w:right w:val="none" w:sz="0" w:space="0" w:color="auto"/>
      </w:divBdr>
    </w:div>
    <w:div w:id="190725601">
      <w:bodyDiv w:val="1"/>
      <w:marLeft w:val="0"/>
      <w:marRight w:val="0"/>
      <w:marTop w:val="0"/>
      <w:marBottom w:val="0"/>
      <w:divBdr>
        <w:top w:val="none" w:sz="0" w:space="0" w:color="auto"/>
        <w:left w:val="none" w:sz="0" w:space="0" w:color="auto"/>
        <w:bottom w:val="none" w:sz="0" w:space="0" w:color="auto"/>
        <w:right w:val="none" w:sz="0" w:space="0" w:color="auto"/>
      </w:divBdr>
    </w:div>
    <w:div w:id="195507429">
      <w:bodyDiv w:val="1"/>
      <w:marLeft w:val="0"/>
      <w:marRight w:val="0"/>
      <w:marTop w:val="0"/>
      <w:marBottom w:val="0"/>
      <w:divBdr>
        <w:top w:val="none" w:sz="0" w:space="0" w:color="auto"/>
        <w:left w:val="none" w:sz="0" w:space="0" w:color="auto"/>
        <w:bottom w:val="none" w:sz="0" w:space="0" w:color="auto"/>
        <w:right w:val="none" w:sz="0" w:space="0" w:color="auto"/>
      </w:divBdr>
    </w:div>
    <w:div w:id="201330720">
      <w:bodyDiv w:val="1"/>
      <w:marLeft w:val="0"/>
      <w:marRight w:val="0"/>
      <w:marTop w:val="0"/>
      <w:marBottom w:val="0"/>
      <w:divBdr>
        <w:top w:val="none" w:sz="0" w:space="0" w:color="auto"/>
        <w:left w:val="none" w:sz="0" w:space="0" w:color="auto"/>
        <w:bottom w:val="none" w:sz="0" w:space="0" w:color="auto"/>
        <w:right w:val="none" w:sz="0" w:space="0" w:color="auto"/>
      </w:divBdr>
    </w:div>
    <w:div w:id="224535459">
      <w:bodyDiv w:val="1"/>
      <w:marLeft w:val="0"/>
      <w:marRight w:val="0"/>
      <w:marTop w:val="0"/>
      <w:marBottom w:val="0"/>
      <w:divBdr>
        <w:top w:val="none" w:sz="0" w:space="0" w:color="auto"/>
        <w:left w:val="none" w:sz="0" w:space="0" w:color="auto"/>
        <w:bottom w:val="none" w:sz="0" w:space="0" w:color="auto"/>
        <w:right w:val="none" w:sz="0" w:space="0" w:color="auto"/>
      </w:divBdr>
    </w:div>
    <w:div w:id="234560195">
      <w:bodyDiv w:val="1"/>
      <w:marLeft w:val="0"/>
      <w:marRight w:val="0"/>
      <w:marTop w:val="0"/>
      <w:marBottom w:val="0"/>
      <w:divBdr>
        <w:top w:val="none" w:sz="0" w:space="0" w:color="auto"/>
        <w:left w:val="none" w:sz="0" w:space="0" w:color="auto"/>
        <w:bottom w:val="none" w:sz="0" w:space="0" w:color="auto"/>
        <w:right w:val="none" w:sz="0" w:space="0" w:color="auto"/>
      </w:divBdr>
    </w:div>
    <w:div w:id="382679597">
      <w:bodyDiv w:val="1"/>
      <w:marLeft w:val="0"/>
      <w:marRight w:val="0"/>
      <w:marTop w:val="0"/>
      <w:marBottom w:val="0"/>
      <w:divBdr>
        <w:top w:val="none" w:sz="0" w:space="0" w:color="auto"/>
        <w:left w:val="none" w:sz="0" w:space="0" w:color="auto"/>
        <w:bottom w:val="none" w:sz="0" w:space="0" w:color="auto"/>
        <w:right w:val="none" w:sz="0" w:space="0" w:color="auto"/>
      </w:divBdr>
    </w:div>
    <w:div w:id="424544755">
      <w:bodyDiv w:val="1"/>
      <w:marLeft w:val="0"/>
      <w:marRight w:val="0"/>
      <w:marTop w:val="0"/>
      <w:marBottom w:val="0"/>
      <w:divBdr>
        <w:top w:val="none" w:sz="0" w:space="0" w:color="auto"/>
        <w:left w:val="none" w:sz="0" w:space="0" w:color="auto"/>
        <w:bottom w:val="none" w:sz="0" w:space="0" w:color="auto"/>
        <w:right w:val="none" w:sz="0" w:space="0" w:color="auto"/>
      </w:divBdr>
    </w:div>
    <w:div w:id="449515409">
      <w:bodyDiv w:val="1"/>
      <w:marLeft w:val="0"/>
      <w:marRight w:val="0"/>
      <w:marTop w:val="0"/>
      <w:marBottom w:val="0"/>
      <w:divBdr>
        <w:top w:val="none" w:sz="0" w:space="0" w:color="auto"/>
        <w:left w:val="none" w:sz="0" w:space="0" w:color="auto"/>
        <w:bottom w:val="none" w:sz="0" w:space="0" w:color="auto"/>
        <w:right w:val="none" w:sz="0" w:space="0" w:color="auto"/>
      </w:divBdr>
    </w:div>
    <w:div w:id="493303414">
      <w:bodyDiv w:val="1"/>
      <w:marLeft w:val="0"/>
      <w:marRight w:val="0"/>
      <w:marTop w:val="0"/>
      <w:marBottom w:val="0"/>
      <w:divBdr>
        <w:top w:val="none" w:sz="0" w:space="0" w:color="auto"/>
        <w:left w:val="none" w:sz="0" w:space="0" w:color="auto"/>
        <w:bottom w:val="none" w:sz="0" w:space="0" w:color="auto"/>
        <w:right w:val="none" w:sz="0" w:space="0" w:color="auto"/>
      </w:divBdr>
    </w:div>
    <w:div w:id="503276581">
      <w:bodyDiv w:val="1"/>
      <w:marLeft w:val="0"/>
      <w:marRight w:val="0"/>
      <w:marTop w:val="0"/>
      <w:marBottom w:val="0"/>
      <w:divBdr>
        <w:top w:val="none" w:sz="0" w:space="0" w:color="auto"/>
        <w:left w:val="none" w:sz="0" w:space="0" w:color="auto"/>
        <w:bottom w:val="none" w:sz="0" w:space="0" w:color="auto"/>
        <w:right w:val="none" w:sz="0" w:space="0" w:color="auto"/>
      </w:divBdr>
    </w:div>
    <w:div w:id="556627269">
      <w:bodyDiv w:val="1"/>
      <w:marLeft w:val="0"/>
      <w:marRight w:val="0"/>
      <w:marTop w:val="0"/>
      <w:marBottom w:val="0"/>
      <w:divBdr>
        <w:top w:val="none" w:sz="0" w:space="0" w:color="auto"/>
        <w:left w:val="none" w:sz="0" w:space="0" w:color="auto"/>
        <w:bottom w:val="none" w:sz="0" w:space="0" w:color="auto"/>
        <w:right w:val="none" w:sz="0" w:space="0" w:color="auto"/>
      </w:divBdr>
    </w:div>
    <w:div w:id="568423351">
      <w:bodyDiv w:val="1"/>
      <w:marLeft w:val="0"/>
      <w:marRight w:val="0"/>
      <w:marTop w:val="0"/>
      <w:marBottom w:val="0"/>
      <w:divBdr>
        <w:top w:val="none" w:sz="0" w:space="0" w:color="auto"/>
        <w:left w:val="none" w:sz="0" w:space="0" w:color="auto"/>
        <w:bottom w:val="none" w:sz="0" w:space="0" w:color="auto"/>
        <w:right w:val="none" w:sz="0" w:space="0" w:color="auto"/>
      </w:divBdr>
    </w:div>
    <w:div w:id="568660932">
      <w:bodyDiv w:val="1"/>
      <w:marLeft w:val="0"/>
      <w:marRight w:val="0"/>
      <w:marTop w:val="0"/>
      <w:marBottom w:val="0"/>
      <w:divBdr>
        <w:top w:val="none" w:sz="0" w:space="0" w:color="auto"/>
        <w:left w:val="none" w:sz="0" w:space="0" w:color="auto"/>
        <w:bottom w:val="none" w:sz="0" w:space="0" w:color="auto"/>
        <w:right w:val="none" w:sz="0" w:space="0" w:color="auto"/>
      </w:divBdr>
    </w:div>
    <w:div w:id="588195912">
      <w:bodyDiv w:val="1"/>
      <w:marLeft w:val="0"/>
      <w:marRight w:val="0"/>
      <w:marTop w:val="0"/>
      <w:marBottom w:val="0"/>
      <w:divBdr>
        <w:top w:val="none" w:sz="0" w:space="0" w:color="auto"/>
        <w:left w:val="none" w:sz="0" w:space="0" w:color="auto"/>
        <w:bottom w:val="none" w:sz="0" w:space="0" w:color="auto"/>
        <w:right w:val="none" w:sz="0" w:space="0" w:color="auto"/>
      </w:divBdr>
    </w:div>
    <w:div w:id="608397032">
      <w:bodyDiv w:val="1"/>
      <w:marLeft w:val="0"/>
      <w:marRight w:val="0"/>
      <w:marTop w:val="0"/>
      <w:marBottom w:val="0"/>
      <w:divBdr>
        <w:top w:val="none" w:sz="0" w:space="0" w:color="auto"/>
        <w:left w:val="none" w:sz="0" w:space="0" w:color="auto"/>
        <w:bottom w:val="none" w:sz="0" w:space="0" w:color="auto"/>
        <w:right w:val="none" w:sz="0" w:space="0" w:color="auto"/>
      </w:divBdr>
    </w:div>
    <w:div w:id="641693876">
      <w:bodyDiv w:val="1"/>
      <w:marLeft w:val="0"/>
      <w:marRight w:val="0"/>
      <w:marTop w:val="0"/>
      <w:marBottom w:val="0"/>
      <w:divBdr>
        <w:top w:val="none" w:sz="0" w:space="0" w:color="auto"/>
        <w:left w:val="none" w:sz="0" w:space="0" w:color="auto"/>
        <w:bottom w:val="none" w:sz="0" w:space="0" w:color="auto"/>
        <w:right w:val="none" w:sz="0" w:space="0" w:color="auto"/>
      </w:divBdr>
    </w:div>
    <w:div w:id="656037558">
      <w:bodyDiv w:val="1"/>
      <w:marLeft w:val="0"/>
      <w:marRight w:val="0"/>
      <w:marTop w:val="0"/>
      <w:marBottom w:val="0"/>
      <w:divBdr>
        <w:top w:val="none" w:sz="0" w:space="0" w:color="auto"/>
        <w:left w:val="none" w:sz="0" w:space="0" w:color="auto"/>
        <w:bottom w:val="none" w:sz="0" w:space="0" w:color="auto"/>
        <w:right w:val="none" w:sz="0" w:space="0" w:color="auto"/>
      </w:divBdr>
    </w:div>
    <w:div w:id="659816625">
      <w:bodyDiv w:val="1"/>
      <w:marLeft w:val="0"/>
      <w:marRight w:val="0"/>
      <w:marTop w:val="0"/>
      <w:marBottom w:val="0"/>
      <w:divBdr>
        <w:top w:val="none" w:sz="0" w:space="0" w:color="auto"/>
        <w:left w:val="none" w:sz="0" w:space="0" w:color="auto"/>
        <w:bottom w:val="none" w:sz="0" w:space="0" w:color="auto"/>
        <w:right w:val="none" w:sz="0" w:space="0" w:color="auto"/>
      </w:divBdr>
    </w:div>
    <w:div w:id="707025181">
      <w:bodyDiv w:val="1"/>
      <w:marLeft w:val="0"/>
      <w:marRight w:val="0"/>
      <w:marTop w:val="0"/>
      <w:marBottom w:val="0"/>
      <w:divBdr>
        <w:top w:val="none" w:sz="0" w:space="0" w:color="auto"/>
        <w:left w:val="none" w:sz="0" w:space="0" w:color="auto"/>
        <w:bottom w:val="none" w:sz="0" w:space="0" w:color="auto"/>
        <w:right w:val="none" w:sz="0" w:space="0" w:color="auto"/>
      </w:divBdr>
    </w:div>
    <w:div w:id="805003059">
      <w:bodyDiv w:val="1"/>
      <w:marLeft w:val="0"/>
      <w:marRight w:val="0"/>
      <w:marTop w:val="0"/>
      <w:marBottom w:val="0"/>
      <w:divBdr>
        <w:top w:val="none" w:sz="0" w:space="0" w:color="auto"/>
        <w:left w:val="none" w:sz="0" w:space="0" w:color="auto"/>
        <w:bottom w:val="none" w:sz="0" w:space="0" w:color="auto"/>
        <w:right w:val="none" w:sz="0" w:space="0" w:color="auto"/>
      </w:divBdr>
    </w:div>
    <w:div w:id="832180528">
      <w:bodyDiv w:val="1"/>
      <w:marLeft w:val="0"/>
      <w:marRight w:val="0"/>
      <w:marTop w:val="0"/>
      <w:marBottom w:val="0"/>
      <w:divBdr>
        <w:top w:val="none" w:sz="0" w:space="0" w:color="auto"/>
        <w:left w:val="none" w:sz="0" w:space="0" w:color="auto"/>
        <w:bottom w:val="none" w:sz="0" w:space="0" w:color="auto"/>
        <w:right w:val="none" w:sz="0" w:space="0" w:color="auto"/>
      </w:divBdr>
    </w:div>
    <w:div w:id="839656007">
      <w:bodyDiv w:val="1"/>
      <w:marLeft w:val="0"/>
      <w:marRight w:val="0"/>
      <w:marTop w:val="0"/>
      <w:marBottom w:val="0"/>
      <w:divBdr>
        <w:top w:val="none" w:sz="0" w:space="0" w:color="auto"/>
        <w:left w:val="none" w:sz="0" w:space="0" w:color="auto"/>
        <w:bottom w:val="none" w:sz="0" w:space="0" w:color="auto"/>
        <w:right w:val="none" w:sz="0" w:space="0" w:color="auto"/>
      </w:divBdr>
    </w:div>
    <w:div w:id="855078932">
      <w:bodyDiv w:val="1"/>
      <w:marLeft w:val="0"/>
      <w:marRight w:val="0"/>
      <w:marTop w:val="0"/>
      <w:marBottom w:val="0"/>
      <w:divBdr>
        <w:top w:val="none" w:sz="0" w:space="0" w:color="auto"/>
        <w:left w:val="none" w:sz="0" w:space="0" w:color="auto"/>
        <w:bottom w:val="none" w:sz="0" w:space="0" w:color="auto"/>
        <w:right w:val="none" w:sz="0" w:space="0" w:color="auto"/>
      </w:divBdr>
    </w:div>
    <w:div w:id="865365532">
      <w:bodyDiv w:val="1"/>
      <w:marLeft w:val="0"/>
      <w:marRight w:val="0"/>
      <w:marTop w:val="0"/>
      <w:marBottom w:val="0"/>
      <w:divBdr>
        <w:top w:val="none" w:sz="0" w:space="0" w:color="auto"/>
        <w:left w:val="none" w:sz="0" w:space="0" w:color="auto"/>
        <w:bottom w:val="none" w:sz="0" w:space="0" w:color="auto"/>
        <w:right w:val="none" w:sz="0" w:space="0" w:color="auto"/>
      </w:divBdr>
    </w:div>
    <w:div w:id="870219572">
      <w:bodyDiv w:val="1"/>
      <w:marLeft w:val="0"/>
      <w:marRight w:val="0"/>
      <w:marTop w:val="0"/>
      <w:marBottom w:val="0"/>
      <w:divBdr>
        <w:top w:val="none" w:sz="0" w:space="0" w:color="auto"/>
        <w:left w:val="none" w:sz="0" w:space="0" w:color="auto"/>
        <w:bottom w:val="none" w:sz="0" w:space="0" w:color="auto"/>
        <w:right w:val="none" w:sz="0" w:space="0" w:color="auto"/>
      </w:divBdr>
    </w:div>
    <w:div w:id="923488797">
      <w:bodyDiv w:val="1"/>
      <w:marLeft w:val="0"/>
      <w:marRight w:val="0"/>
      <w:marTop w:val="0"/>
      <w:marBottom w:val="0"/>
      <w:divBdr>
        <w:top w:val="none" w:sz="0" w:space="0" w:color="auto"/>
        <w:left w:val="none" w:sz="0" w:space="0" w:color="auto"/>
        <w:bottom w:val="none" w:sz="0" w:space="0" w:color="auto"/>
        <w:right w:val="none" w:sz="0" w:space="0" w:color="auto"/>
      </w:divBdr>
    </w:div>
    <w:div w:id="930968303">
      <w:bodyDiv w:val="1"/>
      <w:marLeft w:val="0"/>
      <w:marRight w:val="0"/>
      <w:marTop w:val="0"/>
      <w:marBottom w:val="0"/>
      <w:divBdr>
        <w:top w:val="none" w:sz="0" w:space="0" w:color="auto"/>
        <w:left w:val="none" w:sz="0" w:space="0" w:color="auto"/>
        <w:bottom w:val="none" w:sz="0" w:space="0" w:color="auto"/>
        <w:right w:val="none" w:sz="0" w:space="0" w:color="auto"/>
      </w:divBdr>
      <w:divsChild>
        <w:div w:id="1177503523">
          <w:marLeft w:val="0"/>
          <w:marRight w:val="0"/>
          <w:marTop w:val="0"/>
          <w:marBottom w:val="0"/>
          <w:divBdr>
            <w:top w:val="none" w:sz="0" w:space="0" w:color="auto"/>
            <w:left w:val="none" w:sz="0" w:space="0" w:color="auto"/>
            <w:bottom w:val="none" w:sz="0" w:space="0" w:color="auto"/>
            <w:right w:val="none" w:sz="0" w:space="0" w:color="auto"/>
          </w:divBdr>
        </w:div>
      </w:divsChild>
    </w:div>
    <w:div w:id="939147345">
      <w:bodyDiv w:val="1"/>
      <w:marLeft w:val="0"/>
      <w:marRight w:val="0"/>
      <w:marTop w:val="0"/>
      <w:marBottom w:val="0"/>
      <w:divBdr>
        <w:top w:val="none" w:sz="0" w:space="0" w:color="auto"/>
        <w:left w:val="none" w:sz="0" w:space="0" w:color="auto"/>
        <w:bottom w:val="none" w:sz="0" w:space="0" w:color="auto"/>
        <w:right w:val="none" w:sz="0" w:space="0" w:color="auto"/>
      </w:divBdr>
    </w:div>
    <w:div w:id="940065045">
      <w:bodyDiv w:val="1"/>
      <w:marLeft w:val="0"/>
      <w:marRight w:val="0"/>
      <w:marTop w:val="0"/>
      <w:marBottom w:val="0"/>
      <w:divBdr>
        <w:top w:val="none" w:sz="0" w:space="0" w:color="auto"/>
        <w:left w:val="none" w:sz="0" w:space="0" w:color="auto"/>
        <w:bottom w:val="none" w:sz="0" w:space="0" w:color="auto"/>
        <w:right w:val="none" w:sz="0" w:space="0" w:color="auto"/>
      </w:divBdr>
    </w:div>
    <w:div w:id="1030305663">
      <w:bodyDiv w:val="1"/>
      <w:marLeft w:val="0"/>
      <w:marRight w:val="0"/>
      <w:marTop w:val="0"/>
      <w:marBottom w:val="0"/>
      <w:divBdr>
        <w:top w:val="none" w:sz="0" w:space="0" w:color="auto"/>
        <w:left w:val="none" w:sz="0" w:space="0" w:color="auto"/>
        <w:bottom w:val="none" w:sz="0" w:space="0" w:color="auto"/>
        <w:right w:val="none" w:sz="0" w:space="0" w:color="auto"/>
      </w:divBdr>
    </w:div>
    <w:div w:id="1040864500">
      <w:bodyDiv w:val="1"/>
      <w:marLeft w:val="0"/>
      <w:marRight w:val="0"/>
      <w:marTop w:val="0"/>
      <w:marBottom w:val="0"/>
      <w:divBdr>
        <w:top w:val="none" w:sz="0" w:space="0" w:color="auto"/>
        <w:left w:val="none" w:sz="0" w:space="0" w:color="auto"/>
        <w:bottom w:val="none" w:sz="0" w:space="0" w:color="auto"/>
        <w:right w:val="none" w:sz="0" w:space="0" w:color="auto"/>
      </w:divBdr>
    </w:div>
    <w:div w:id="1120150577">
      <w:bodyDiv w:val="1"/>
      <w:marLeft w:val="0"/>
      <w:marRight w:val="0"/>
      <w:marTop w:val="0"/>
      <w:marBottom w:val="0"/>
      <w:divBdr>
        <w:top w:val="none" w:sz="0" w:space="0" w:color="auto"/>
        <w:left w:val="none" w:sz="0" w:space="0" w:color="auto"/>
        <w:bottom w:val="none" w:sz="0" w:space="0" w:color="auto"/>
        <w:right w:val="none" w:sz="0" w:space="0" w:color="auto"/>
      </w:divBdr>
    </w:div>
    <w:div w:id="1139491612">
      <w:bodyDiv w:val="1"/>
      <w:marLeft w:val="0"/>
      <w:marRight w:val="0"/>
      <w:marTop w:val="0"/>
      <w:marBottom w:val="0"/>
      <w:divBdr>
        <w:top w:val="none" w:sz="0" w:space="0" w:color="auto"/>
        <w:left w:val="none" w:sz="0" w:space="0" w:color="auto"/>
        <w:bottom w:val="none" w:sz="0" w:space="0" w:color="auto"/>
        <w:right w:val="none" w:sz="0" w:space="0" w:color="auto"/>
      </w:divBdr>
    </w:div>
    <w:div w:id="1164202579">
      <w:bodyDiv w:val="1"/>
      <w:marLeft w:val="0"/>
      <w:marRight w:val="0"/>
      <w:marTop w:val="0"/>
      <w:marBottom w:val="0"/>
      <w:divBdr>
        <w:top w:val="none" w:sz="0" w:space="0" w:color="auto"/>
        <w:left w:val="none" w:sz="0" w:space="0" w:color="auto"/>
        <w:bottom w:val="none" w:sz="0" w:space="0" w:color="auto"/>
        <w:right w:val="none" w:sz="0" w:space="0" w:color="auto"/>
      </w:divBdr>
    </w:div>
    <w:div w:id="1214849738">
      <w:bodyDiv w:val="1"/>
      <w:marLeft w:val="0"/>
      <w:marRight w:val="0"/>
      <w:marTop w:val="0"/>
      <w:marBottom w:val="0"/>
      <w:divBdr>
        <w:top w:val="none" w:sz="0" w:space="0" w:color="auto"/>
        <w:left w:val="none" w:sz="0" w:space="0" w:color="auto"/>
        <w:bottom w:val="none" w:sz="0" w:space="0" w:color="auto"/>
        <w:right w:val="none" w:sz="0" w:space="0" w:color="auto"/>
      </w:divBdr>
    </w:div>
    <w:div w:id="1245258091">
      <w:bodyDiv w:val="1"/>
      <w:marLeft w:val="0"/>
      <w:marRight w:val="0"/>
      <w:marTop w:val="0"/>
      <w:marBottom w:val="0"/>
      <w:divBdr>
        <w:top w:val="none" w:sz="0" w:space="0" w:color="auto"/>
        <w:left w:val="none" w:sz="0" w:space="0" w:color="auto"/>
        <w:bottom w:val="none" w:sz="0" w:space="0" w:color="auto"/>
        <w:right w:val="none" w:sz="0" w:space="0" w:color="auto"/>
      </w:divBdr>
    </w:div>
    <w:div w:id="1255092106">
      <w:bodyDiv w:val="1"/>
      <w:marLeft w:val="0"/>
      <w:marRight w:val="0"/>
      <w:marTop w:val="0"/>
      <w:marBottom w:val="0"/>
      <w:divBdr>
        <w:top w:val="none" w:sz="0" w:space="0" w:color="auto"/>
        <w:left w:val="none" w:sz="0" w:space="0" w:color="auto"/>
        <w:bottom w:val="none" w:sz="0" w:space="0" w:color="auto"/>
        <w:right w:val="none" w:sz="0" w:space="0" w:color="auto"/>
      </w:divBdr>
    </w:div>
    <w:div w:id="1312253298">
      <w:bodyDiv w:val="1"/>
      <w:marLeft w:val="0"/>
      <w:marRight w:val="0"/>
      <w:marTop w:val="0"/>
      <w:marBottom w:val="0"/>
      <w:divBdr>
        <w:top w:val="none" w:sz="0" w:space="0" w:color="auto"/>
        <w:left w:val="none" w:sz="0" w:space="0" w:color="auto"/>
        <w:bottom w:val="none" w:sz="0" w:space="0" w:color="auto"/>
        <w:right w:val="none" w:sz="0" w:space="0" w:color="auto"/>
      </w:divBdr>
    </w:div>
    <w:div w:id="1366323415">
      <w:bodyDiv w:val="1"/>
      <w:marLeft w:val="0"/>
      <w:marRight w:val="0"/>
      <w:marTop w:val="0"/>
      <w:marBottom w:val="0"/>
      <w:divBdr>
        <w:top w:val="none" w:sz="0" w:space="0" w:color="auto"/>
        <w:left w:val="none" w:sz="0" w:space="0" w:color="auto"/>
        <w:bottom w:val="none" w:sz="0" w:space="0" w:color="auto"/>
        <w:right w:val="none" w:sz="0" w:space="0" w:color="auto"/>
      </w:divBdr>
    </w:div>
    <w:div w:id="1384410074">
      <w:bodyDiv w:val="1"/>
      <w:marLeft w:val="0"/>
      <w:marRight w:val="0"/>
      <w:marTop w:val="0"/>
      <w:marBottom w:val="0"/>
      <w:divBdr>
        <w:top w:val="none" w:sz="0" w:space="0" w:color="auto"/>
        <w:left w:val="none" w:sz="0" w:space="0" w:color="auto"/>
        <w:bottom w:val="none" w:sz="0" w:space="0" w:color="auto"/>
        <w:right w:val="none" w:sz="0" w:space="0" w:color="auto"/>
      </w:divBdr>
    </w:div>
    <w:div w:id="1438476799">
      <w:bodyDiv w:val="1"/>
      <w:marLeft w:val="0"/>
      <w:marRight w:val="0"/>
      <w:marTop w:val="0"/>
      <w:marBottom w:val="0"/>
      <w:divBdr>
        <w:top w:val="none" w:sz="0" w:space="0" w:color="auto"/>
        <w:left w:val="none" w:sz="0" w:space="0" w:color="auto"/>
        <w:bottom w:val="none" w:sz="0" w:space="0" w:color="auto"/>
        <w:right w:val="none" w:sz="0" w:space="0" w:color="auto"/>
      </w:divBdr>
    </w:div>
    <w:div w:id="1473258031">
      <w:bodyDiv w:val="1"/>
      <w:marLeft w:val="0"/>
      <w:marRight w:val="0"/>
      <w:marTop w:val="0"/>
      <w:marBottom w:val="0"/>
      <w:divBdr>
        <w:top w:val="none" w:sz="0" w:space="0" w:color="auto"/>
        <w:left w:val="none" w:sz="0" w:space="0" w:color="auto"/>
        <w:bottom w:val="none" w:sz="0" w:space="0" w:color="auto"/>
        <w:right w:val="none" w:sz="0" w:space="0" w:color="auto"/>
      </w:divBdr>
    </w:div>
    <w:div w:id="1488748263">
      <w:bodyDiv w:val="1"/>
      <w:marLeft w:val="0"/>
      <w:marRight w:val="0"/>
      <w:marTop w:val="0"/>
      <w:marBottom w:val="0"/>
      <w:divBdr>
        <w:top w:val="none" w:sz="0" w:space="0" w:color="auto"/>
        <w:left w:val="none" w:sz="0" w:space="0" w:color="auto"/>
        <w:bottom w:val="none" w:sz="0" w:space="0" w:color="auto"/>
        <w:right w:val="none" w:sz="0" w:space="0" w:color="auto"/>
      </w:divBdr>
    </w:div>
    <w:div w:id="1494369247">
      <w:bodyDiv w:val="1"/>
      <w:marLeft w:val="0"/>
      <w:marRight w:val="0"/>
      <w:marTop w:val="0"/>
      <w:marBottom w:val="0"/>
      <w:divBdr>
        <w:top w:val="none" w:sz="0" w:space="0" w:color="auto"/>
        <w:left w:val="none" w:sz="0" w:space="0" w:color="auto"/>
        <w:bottom w:val="none" w:sz="0" w:space="0" w:color="auto"/>
        <w:right w:val="none" w:sz="0" w:space="0" w:color="auto"/>
      </w:divBdr>
    </w:div>
    <w:div w:id="1562129142">
      <w:bodyDiv w:val="1"/>
      <w:marLeft w:val="0"/>
      <w:marRight w:val="0"/>
      <w:marTop w:val="0"/>
      <w:marBottom w:val="0"/>
      <w:divBdr>
        <w:top w:val="none" w:sz="0" w:space="0" w:color="auto"/>
        <w:left w:val="none" w:sz="0" w:space="0" w:color="auto"/>
        <w:bottom w:val="none" w:sz="0" w:space="0" w:color="auto"/>
        <w:right w:val="none" w:sz="0" w:space="0" w:color="auto"/>
      </w:divBdr>
    </w:div>
    <w:div w:id="1580022821">
      <w:bodyDiv w:val="1"/>
      <w:marLeft w:val="0"/>
      <w:marRight w:val="0"/>
      <w:marTop w:val="0"/>
      <w:marBottom w:val="0"/>
      <w:divBdr>
        <w:top w:val="none" w:sz="0" w:space="0" w:color="auto"/>
        <w:left w:val="none" w:sz="0" w:space="0" w:color="auto"/>
        <w:bottom w:val="none" w:sz="0" w:space="0" w:color="auto"/>
        <w:right w:val="none" w:sz="0" w:space="0" w:color="auto"/>
      </w:divBdr>
    </w:div>
    <w:div w:id="1608729918">
      <w:bodyDiv w:val="1"/>
      <w:marLeft w:val="0"/>
      <w:marRight w:val="0"/>
      <w:marTop w:val="0"/>
      <w:marBottom w:val="0"/>
      <w:divBdr>
        <w:top w:val="none" w:sz="0" w:space="0" w:color="auto"/>
        <w:left w:val="none" w:sz="0" w:space="0" w:color="auto"/>
        <w:bottom w:val="none" w:sz="0" w:space="0" w:color="auto"/>
        <w:right w:val="none" w:sz="0" w:space="0" w:color="auto"/>
      </w:divBdr>
    </w:div>
    <w:div w:id="1615866550">
      <w:bodyDiv w:val="1"/>
      <w:marLeft w:val="0"/>
      <w:marRight w:val="0"/>
      <w:marTop w:val="0"/>
      <w:marBottom w:val="0"/>
      <w:divBdr>
        <w:top w:val="none" w:sz="0" w:space="0" w:color="auto"/>
        <w:left w:val="none" w:sz="0" w:space="0" w:color="auto"/>
        <w:bottom w:val="none" w:sz="0" w:space="0" w:color="auto"/>
        <w:right w:val="none" w:sz="0" w:space="0" w:color="auto"/>
      </w:divBdr>
    </w:div>
    <w:div w:id="1667392767">
      <w:bodyDiv w:val="1"/>
      <w:marLeft w:val="0"/>
      <w:marRight w:val="0"/>
      <w:marTop w:val="0"/>
      <w:marBottom w:val="0"/>
      <w:divBdr>
        <w:top w:val="none" w:sz="0" w:space="0" w:color="auto"/>
        <w:left w:val="none" w:sz="0" w:space="0" w:color="auto"/>
        <w:bottom w:val="none" w:sz="0" w:space="0" w:color="auto"/>
        <w:right w:val="none" w:sz="0" w:space="0" w:color="auto"/>
      </w:divBdr>
    </w:div>
    <w:div w:id="1668284863">
      <w:bodyDiv w:val="1"/>
      <w:marLeft w:val="0"/>
      <w:marRight w:val="0"/>
      <w:marTop w:val="0"/>
      <w:marBottom w:val="0"/>
      <w:divBdr>
        <w:top w:val="none" w:sz="0" w:space="0" w:color="auto"/>
        <w:left w:val="none" w:sz="0" w:space="0" w:color="auto"/>
        <w:bottom w:val="none" w:sz="0" w:space="0" w:color="auto"/>
        <w:right w:val="none" w:sz="0" w:space="0" w:color="auto"/>
      </w:divBdr>
    </w:div>
    <w:div w:id="1710836982">
      <w:bodyDiv w:val="1"/>
      <w:marLeft w:val="0"/>
      <w:marRight w:val="0"/>
      <w:marTop w:val="0"/>
      <w:marBottom w:val="0"/>
      <w:divBdr>
        <w:top w:val="none" w:sz="0" w:space="0" w:color="auto"/>
        <w:left w:val="none" w:sz="0" w:space="0" w:color="auto"/>
        <w:bottom w:val="none" w:sz="0" w:space="0" w:color="auto"/>
        <w:right w:val="none" w:sz="0" w:space="0" w:color="auto"/>
      </w:divBdr>
    </w:div>
    <w:div w:id="1732575605">
      <w:bodyDiv w:val="1"/>
      <w:marLeft w:val="0"/>
      <w:marRight w:val="0"/>
      <w:marTop w:val="0"/>
      <w:marBottom w:val="0"/>
      <w:divBdr>
        <w:top w:val="none" w:sz="0" w:space="0" w:color="auto"/>
        <w:left w:val="none" w:sz="0" w:space="0" w:color="auto"/>
        <w:bottom w:val="none" w:sz="0" w:space="0" w:color="auto"/>
        <w:right w:val="none" w:sz="0" w:space="0" w:color="auto"/>
      </w:divBdr>
    </w:div>
    <w:div w:id="1745492307">
      <w:bodyDiv w:val="1"/>
      <w:marLeft w:val="0"/>
      <w:marRight w:val="0"/>
      <w:marTop w:val="0"/>
      <w:marBottom w:val="0"/>
      <w:divBdr>
        <w:top w:val="none" w:sz="0" w:space="0" w:color="auto"/>
        <w:left w:val="none" w:sz="0" w:space="0" w:color="auto"/>
        <w:bottom w:val="none" w:sz="0" w:space="0" w:color="auto"/>
        <w:right w:val="none" w:sz="0" w:space="0" w:color="auto"/>
      </w:divBdr>
    </w:div>
    <w:div w:id="1771923438">
      <w:bodyDiv w:val="1"/>
      <w:marLeft w:val="0"/>
      <w:marRight w:val="0"/>
      <w:marTop w:val="0"/>
      <w:marBottom w:val="0"/>
      <w:divBdr>
        <w:top w:val="none" w:sz="0" w:space="0" w:color="auto"/>
        <w:left w:val="none" w:sz="0" w:space="0" w:color="auto"/>
        <w:bottom w:val="none" w:sz="0" w:space="0" w:color="auto"/>
        <w:right w:val="none" w:sz="0" w:space="0" w:color="auto"/>
      </w:divBdr>
    </w:div>
    <w:div w:id="1808886922">
      <w:bodyDiv w:val="1"/>
      <w:marLeft w:val="0"/>
      <w:marRight w:val="0"/>
      <w:marTop w:val="0"/>
      <w:marBottom w:val="0"/>
      <w:divBdr>
        <w:top w:val="none" w:sz="0" w:space="0" w:color="auto"/>
        <w:left w:val="none" w:sz="0" w:space="0" w:color="auto"/>
        <w:bottom w:val="none" w:sz="0" w:space="0" w:color="auto"/>
        <w:right w:val="none" w:sz="0" w:space="0" w:color="auto"/>
      </w:divBdr>
    </w:div>
    <w:div w:id="1812743278">
      <w:bodyDiv w:val="1"/>
      <w:marLeft w:val="0"/>
      <w:marRight w:val="0"/>
      <w:marTop w:val="0"/>
      <w:marBottom w:val="0"/>
      <w:divBdr>
        <w:top w:val="none" w:sz="0" w:space="0" w:color="auto"/>
        <w:left w:val="none" w:sz="0" w:space="0" w:color="auto"/>
        <w:bottom w:val="none" w:sz="0" w:space="0" w:color="auto"/>
        <w:right w:val="none" w:sz="0" w:space="0" w:color="auto"/>
      </w:divBdr>
    </w:div>
    <w:div w:id="1848903564">
      <w:bodyDiv w:val="1"/>
      <w:marLeft w:val="0"/>
      <w:marRight w:val="0"/>
      <w:marTop w:val="0"/>
      <w:marBottom w:val="0"/>
      <w:divBdr>
        <w:top w:val="none" w:sz="0" w:space="0" w:color="auto"/>
        <w:left w:val="none" w:sz="0" w:space="0" w:color="auto"/>
        <w:bottom w:val="none" w:sz="0" w:space="0" w:color="auto"/>
        <w:right w:val="none" w:sz="0" w:space="0" w:color="auto"/>
      </w:divBdr>
    </w:div>
    <w:div w:id="1878084099">
      <w:bodyDiv w:val="1"/>
      <w:marLeft w:val="0"/>
      <w:marRight w:val="0"/>
      <w:marTop w:val="0"/>
      <w:marBottom w:val="0"/>
      <w:divBdr>
        <w:top w:val="none" w:sz="0" w:space="0" w:color="auto"/>
        <w:left w:val="none" w:sz="0" w:space="0" w:color="auto"/>
        <w:bottom w:val="none" w:sz="0" w:space="0" w:color="auto"/>
        <w:right w:val="none" w:sz="0" w:space="0" w:color="auto"/>
      </w:divBdr>
    </w:div>
    <w:div w:id="1882398102">
      <w:bodyDiv w:val="1"/>
      <w:marLeft w:val="0"/>
      <w:marRight w:val="0"/>
      <w:marTop w:val="0"/>
      <w:marBottom w:val="0"/>
      <w:divBdr>
        <w:top w:val="none" w:sz="0" w:space="0" w:color="auto"/>
        <w:left w:val="none" w:sz="0" w:space="0" w:color="auto"/>
        <w:bottom w:val="none" w:sz="0" w:space="0" w:color="auto"/>
        <w:right w:val="none" w:sz="0" w:space="0" w:color="auto"/>
      </w:divBdr>
    </w:div>
    <w:div w:id="1901938913">
      <w:bodyDiv w:val="1"/>
      <w:marLeft w:val="0"/>
      <w:marRight w:val="0"/>
      <w:marTop w:val="0"/>
      <w:marBottom w:val="0"/>
      <w:divBdr>
        <w:top w:val="none" w:sz="0" w:space="0" w:color="auto"/>
        <w:left w:val="none" w:sz="0" w:space="0" w:color="auto"/>
        <w:bottom w:val="none" w:sz="0" w:space="0" w:color="auto"/>
        <w:right w:val="none" w:sz="0" w:space="0" w:color="auto"/>
      </w:divBdr>
    </w:div>
    <w:div w:id="1924560823">
      <w:bodyDiv w:val="1"/>
      <w:marLeft w:val="0"/>
      <w:marRight w:val="0"/>
      <w:marTop w:val="0"/>
      <w:marBottom w:val="0"/>
      <w:divBdr>
        <w:top w:val="none" w:sz="0" w:space="0" w:color="auto"/>
        <w:left w:val="none" w:sz="0" w:space="0" w:color="auto"/>
        <w:bottom w:val="none" w:sz="0" w:space="0" w:color="auto"/>
        <w:right w:val="none" w:sz="0" w:space="0" w:color="auto"/>
      </w:divBdr>
    </w:div>
    <w:div w:id="1958901282">
      <w:bodyDiv w:val="1"/>
      <w:marLeft w:val="0"/>
      <w:marRight w:val="0"/>
      <w:marTop w:val="0"/>
      <w:marBottom w:val="0"/>
      <w:divBdr>
        <w:top w:val="none" w:sz="0" w:space="0" w:color="auto"/>
        <w:left w:val="none" w:sz="0" w:space="0" w:color="auto"/>
        <w:bottom w:val="none" w:sz="0" w:space="0" w:color="auto"/>
        <w:right w:val="none" w:sz="0" w:space="0" w:color="auto"/>
      </w:divBdr>
    </w:div>
    <w:div w:id="2024280760">
      <w:bodyDiv w:val="1"/>
      <w:marLeft w:val="0"/>
      <w:marRight w:val="0"/>
      <w:marTop w:val="0"/>
      <w:marBottom w:val="0"/>
      <w:divBdr>
        <w:top w:val="none" w:sz="0" w:space="0" w:color="auto"/>
        <w:left w:val="none" w:sz="0" w:space="0" w:color="auto"/>
        <w:bottom w:val="none" w:sz="0" w:space="0" w:color="auto"/>
        <w:right w:val="none" w:sz="0" w:space="0" w:color="auto"/>
      </w:divBdr>
    </w:div>
    <w:div w:id="2056004805">
      <w:bodyDiv w:val="1"/>
      <w:marLeft w:val="0"/>
      <w:marRight w:val="0"/>
      <w:marTop w:val="0"/>
      <w:marBottom w:val="0"/>
      <w:divBdr>
        <w:top w:val="none" w:sz="0" w:space="0" w:color="auto"/>
        <w:left w:val="none" w:sz="0" w:space="0" w:color="auto"/>
        <w:bottom w:val="none" w:sz="0" w:space="0" w:color="auto"/>
        <w:right w:val="none" w:sz="0" w:space="0" w:color="auto"/>
      </w:divBdr>
      <w:divsChild>
        <w:div w:id="1527867756">
          <w:marLeft w:val="75"/>
          <w:marRight w:val="0"/>
          <w:marTop w:val="0"/>
          <w:marBottom w:val="0"/>
          <w:divBdr>
            <w:top w:val="none" w:sz="0" w:space="0" w:color="auto"/>
            <w:left w:val="none" w:sz="0" w:space="0" w:color="auto"/>
            <w:bottom w:val="none" w:sz="0" w:space="0" w:color="auto"/>
            <w:right w:val="none" w:sz="0" w:space="0" w:color="auto"/>
          </w:divBdr>
          <w:divsChild>
            <w:div w:id="1522358300">
              <w:marLeft w:val="-1650"/>
              <w:marRight w:val="0"/>
              <w:marTop w:val="0"/>
              <w:marBottom w:val="0"/>
              <w:divBdr>
                <w:top w:val="single" w:sz="6" w:space="4" w:color="DC9179"/>
                <w:left w:val="single" w:sz="6" w:space="2" w:color="DC9179"/>
                <w:bottom w:val="single" w:sz="6" w:space="4" w:color="DC9179"/>
                <w:right w:val="single" w:sz="6" w:space="2" w:color="DC9179"/>
              </w:divBdr>
            </w:div>
          </w:divsChild>
        </w:div>
      </w:divsChild>
    </w:div>
    <w:div w:id="2073502865">
      <w:bodyDiv w:val="1"/>
      <w:marLeft w:val="0"/>
      <w:marRight w:val="0"/>
      <w:marTop w:val="0"/>
      <w:marBottom w:val="0"/>
      <w:divBdr>
        <w:top w:val="none" w:sz="0" w:space="0" w:color="auto"/>
        <w:left w:val="none" w:sz="0" w:space="0" w:color="auto"/>
        <w:bottom w:val="none" w:sz="0" w:space="0" w:color="auto"/>
        <w:right w:val="none" w:sz="0" w:space="0" w:color="auto"/>
      </w:divBdr>
      <w:divsChild>
        <w:div w:id="473763583">
          <w:marLeft w:val="0"/>
          <w:marRight w:val="0"/>
          <w:marTop w:val="0"/>
          <w:marBottom w:val="0"/>
          <w:divBdr>
            <w:top w:val="none" w:sz="0" w:space="0" w:color="auto"/>
            <w:left w:val="none" w:sz="0" w:space="0" w:color="auto"/>
            <w:bottom w:val="none" w:sz="0" w:space="0" w:color="auto"/>
            <w:right w:val="none" w:sz="0" w:space="0" w:color="auto"/>
          </w:divBdr>
        </w:div>
        <w:div w:id="930892769">
          <w:marLeft w:val="0"/>
          <w:marRight w:val="0"/>
          <w:marTop w:val="0"/>
          <w:marBottom w:val="0"/>
          <w:divBdr>
            <w:top w:val="none" w:sz="0" w:space="0" w:color="auto"/>
            <w:left w:val="none" w:sz="0" w:space="0" w:color="auto"/>
            <w:bottom w:val="none" w:sz="0" w:space="0" w:color="auto"/>
            <w:right w:val="none" w:sz="0" w:space="0" w:color="auto"/>
          </w:divBdr>
        </w:div>
        <w:div w:id="1215653233">
          <w:marLeft w:val="0"/>
          <w:marRight w:val="0"/>
          <w:marTop w:val="0"/>
          <w:marBottom w:val="0"/>
          <w:divBdr>
            <w:top w:val="none" w:sz="0" w:space="0" w:color="auto"/>
            <w:left w:val="none" w:sz="0" w:space="0" w:color="auto"/>
            <w:bottom w:val="none" w:sz="0" w:space="0" w:color="auto"/>
            <w:right w:val="none" w:sz="0" w:space="0" w:color="auto"/>
          </w:divBdr>
        </w:div>
        <w:div w:id="1523280981">
          <w:marLeft w:val="0"/>
          <w:marRight w:val="0"/>
          <w:marTop w:val="0"/>
          <w:marBottom w:val="0"/>
          <w:divBdr>
            <w:top w:val="none" w:sz="0" w:space="0" w:color="auto"/>
            <w:left w:val="none" w:sz="0" w:space="0" w:color="auto"/>
            <w:bottom w:val="none" w:sz="0" w:space="0" w:color="auto"/>
            <w:right w:val="none" w:sz="0" w:space="0" w:color="auto"/>
          </w:divBdr>
        </w:div>
      </w:divsChild>
    </w:div>
    <w:div w:id="2099013140">
      <w:bodyDiv w:val="1"/>
      <w:marLeft w:val="0"/>
      <w:marRight w:val="0"/>
      <w:marTop w:val="0"/>
      <w:marBottom w:val="0"/>
      <w:divBdr>
        <w:top w:val="none" w:sz="0" w:space="0" w:color="auto"/>
        <w:left w:val="none" w:sz="0" w:space="0" w:color="auto"/>
        <w:bottom w:val="none" w:sz="0" w:space="0" w:color="auto"/>
        <w:right w:val="none" w:sz="0" w:space="0" w:color="auto"/>
      </w:divBdr>
    </w:div>
    <w:div w:id="2108229665">
      <w:bodyDiv w:val="1"/>
      <w:marLeft w:val="0"/>
      <w:marRight w:val="0"/>
      <w:marTop w:val="0"/>
      <w:marBottom w:val="0"/>
      <w:divBdr>
        <w:top w:val="none" w:sz="0" w:space="0" w:color="auto"/>
        <w:left w:val="none" w:sz="0" w:space="0" w:color="auto"/>
        <w:bottom w:val="none" w:sz="0" w:space="0" w:color="auto"/>
        <w:right w:val="none" w:sz="0" w:space="0" w:color="auto"/>
      </w:divBdr>
    </w:div>
    <w:div w:id="21463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cb.gov.au/" TargetMode="External"/><Relationship Id="rId18" Type="http://schemas.openxmlformats.org/officeDocument/2006/relationships/hyperlink" Target="https://www.abcb.gov.au/" TargetMode="External"/><Relationship Id="rId26" Type="http://schemas.openxmlformats.org/officeDocument/2006/relationships/hyperlink" Target="http://www.abcb.gov.au/" TargetMode="Externa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bcb.gov.au/" TargetMode="External"/><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cc@abcb.gov.au"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reativecommons.org/licenses/by/4.0" TargetMode="External"/><Relationship Id="rId23" Type="http://schemas.openxmlformats.org/officeDocument/2006/relationships/image" Target="media/image5.png"/><Relationship Id="rId28" Type="http://schemas.openxmlformats.org/officeDocument/2006/relationships/hyperlink" Target="https://www.lenntech.com/Periodic-chart-elements/Cu-en.htm" TargetMode="External"/><Relationship Id="rId10" Type="http://schemas.openxmlformats.org/officeDocument/2006/relationships/footnotes" Target="footnotes.xml"/><Relationship Id="rId19" Type="http://schemas.openxmlformats.org/officeDocument/2006/relationships/hyperlink" Target="https://consultation.abcb.gov.au/" TargetMode="External"/><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cid:image001.jpg@01D64BB1.B0E21730" TargetMode="External"/><Relationship Id="rId27" Type="http://schemas.openxmlformats.org/officeDocument/2006/relationships/hyperlink" Target="https://www.sciencedirect.com/topics/engineering/silicon-content" TargetMode="External"/><Relationship Id="rId30"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kupferinstitut.de/fileadmin/user_upload/kupferinstitut.de/de/Documents/techUnterstuetzung/4MS/2015/08_-_4MS_approach_for_metallic_materials_-_Rapp.pdf" TargetMode="External"/><Relationship Id="rId13" Type="http://schemas.openxmlformats.org/officeDocument/2006/relationships/hyperlink" Target="https://www.standard.net.au/story/5456354/drinking-taps-shut-off-after-slightly-elevated-lead-levels-detected/" TargetMode="External"/><Relationship Id="rId18" Type="http://schemas.openxmlformats.org/officeDocument/2006/relationships/hyperlink" Target="https://www.environment.gov.au/protection/fuel-quality/standards/petrol%3c" TargetMode="External"/><Relationship Id="rId26" Type="http://schemas.openxmlformats.org/officeDocument/2006/relationships/hyperlink" Target="https://www.pub.gov.sg/watersupply/waterquality/drinkingwater" TargetMode="External"/><Relationship Id="rId39" Type="http://schemas.openxmlformats.org/officeDocument/2006/relationships/hyperlink" Target="https://www.who.int/ipcs/assessment/public_health/lead/en/" TargetMode="External"/><Relationship Id="rId3" Type="http://schemas.openxmlformats.org/officeDocument/2006/relationships/hyperlink" Target="https://www.nhmrc.gov.au/about-us/publications/evidence-effects-lead-human-health" TargetMode="External"/><Relationship Id="rId21" Type="http://schemas.openxmlformats.org/officeDocument/2006/relationships/hyperlink" Target="https://www.health.gov.au/news/statement-from-australias-chief-medical-officer-professor-brendan-murphy-on-lead-in-drinking-water-from-some-plumbing-products-and-the-enhealth-guidelines-0%3c" TargetMode="External"/><Relationship Id="rId34" Type="http://schemas.openxmlformats.org/officeDocument/2006/relationships/hyperlink" Target="https://doi.org/10.1111/1753-6405.12064" TargetMode="External"/><Relationship Id="rId42" Type="http://schemas.openxmlformats.org/officeDocument/2006/relationships/hyperlink" Target="https://www.sciencedirect.com/science/article/pii/S2090447912000639" TargetMode="External"/><Relationship Id="rId47" Type="http://schemas.openxmlformats.org/officeDocument/2006/relationships/hyperlink" Target="https://www.lenntech.com/Periodic-chart-elements/Si-en.htm" TargetMode="External"/><Relationship Id="rId7" Type="http://schemas.openxmlformats.org/officeDocument/2006/relationships/hyperlink" Target="https://www.kupferinstitut.de/fileadmin/user_upload/kupferinstitut.de/de/Documents/techUnterstuetzung/4MS/2015/08_-_4MS_approach_for_metallic_materials_-_Rapp.pdf" TargetMode="External"/><Relationship Id="rId12" Type="http://schemas.openxmlformats.org/officeDocument/2006/relationships/hyperlink" Target="https://www.councilnews.com.au/2018/10/2348970-public-drinking-fountains-to-re-open%3c" TargetMode="External"/><Relationship Id="rId17" Type="http://schemas.openxmlformats.org/officeDocument/2006/relationships/hyperlink" Target="https://www.health.gov.au/internet/main/publishing.nsf/content/A12B57E41EC9F326CA257BF0001F9E7D/$File/Lead-plumbing-products-Guidance-Statement-July2018.pdf" TargetMode="External"/><Relationship Id="rId25" Type="http://schemas.openxmlformats.org/officeDocument/2006/relationships/hyperlink" Target="https://www.mhlw.go.jp/english/policy/health/water_supply/dl/4a.pdf" TargetMode="External"/><Relationship Id="rId33" Type="http://schemas.openxmlformats.org/officeDocument/2006/relationships/hyperlink" Target="https://www.abs.gov.au/ausstats/abs@.nsf/Lookup/by%20Subject/2071.0~2016~Main%20Features~Snapshot%20of%20Australia,%202016~2%3c" TargetMode="External"/><Relationship Id="rId38" Type="http://schemas.openxmlformats.org/officeDocument/2006/relationships/hyperlink" Target="http://ghdx.healthdata.org/about-ghdx" TargetMode="External"/><Relationship Id="rId46" Type="http://schemas.openxmlformats.org/officeDocument/2006/relationships/hyperlink" Target="https://www.lenntech.com/Periodic-chart-elements/Si-en.htm" TargetMode="External"/><Relationship Id="rId2" Type="http://schemas.openxmlformats.org/officeDocument/2006/relationships/hyperlink" Target="https://www.who.int/ipcs/assessment/public_health/lead/en/" TargetMode="External"/><Relationship Id="rId16" Type="http://schemas.openxmlformats.org/officeDocument/2006/relationships/hyperlink" Target="http://www.enhis.org/object_document/o4738n27387.html" TargetMode="External"/><Relationship Id="rId20" Type="http://schemas.openxmlformats.org/officeDocument/2006/relationships/hyperlink" Target="https://www.environment.gov.au/protection/chemicals-management/lead/lead-in-house-paint" TargetMode="External"/><Relationship Id="rId29" Type="http://schemas.openxmlformats.org/officeDocument/2006/relationships/hyperlink" Target="http://www.dwi.defra.gov.uk/drinking-water-products/approved-products/Annex2.pdf%3c" TargetMode="External"/><Relationship Id="rId41" Type="http://schemas.openxmlformats.org/officeDocument/2006/relationships/hyperlink" Target="https://www.sciencedirect.com/science/article/pii/S2090447912000639" TargetMode="External"/><Relationship Id="rId1" Type="http://schemas.openxmlformats.org/officeDocument/2006/relationships/hyperlink" Target="https://www.who.int/news-room/fact-sheets/detail/lead-poisoning-and-health" TargetMode="External"/><Relationship Id="rId6" Type="http://schemas.openxmlformats.org/officeDocument/2006/relationships/hyperlink" Target="https://www.epa.gov/dwstandardsregulations/use-lead-free-pipes-fittings-fixtures-solder-and-flux-drinking-water" TargetMode="External"/><Relationship Id="rId11" Type="http://schemas.openxmlformats.org/officeDocument/2006/relationships/hyperlink" Target="https://www.abc.net.au/news/2018-05-16/geelong-water-fountains-shut-off-over-unsafe-lead-levels/9768252" TargetMode="External"/><Relationship Id="rId24" Type="http://schemas.openxmlformats.org/officeDocument/2006/relationships/hyperlink" Target="https://www.bundesgesundheitsministerium.de/en/topics/drinking-water-ordinance.html%3c" TargetMode="External"/><Relationship Id="rId32" Type="http://schemas.openxmlformats.org/officeDocument/2006/relationships/hyperlink" Target="https://www.epa.gov/ground-water-and-drinking-water/basic-information-about-lead-drinking-water" TargetMode="External"/><Relationship Id="rId37" Type="http://schemas.openxmlformats.org/officeDocument/2006/relationships/hyperlink" Target="https://www.abs.gov.au/AUSSTATS/abs@.nsf/DetailsPage/3101.0Dec%202019?OpenDocument%3c" TargetMode="External"/><Relationship Id="rId40" Type="http://schemas.openxmlformats.org/officeDocument/2006/relationships/hyperlink" Target="https://www.pmc.gov.au/sites/default/files/publications/Value_of_Statistical_Life_guidance_note.pdf%3c" TargetMode="External"/><Relationship Id="rId45" Type="http://schemas.openxmlformats.org/officeDocument/2006/relationships/hyperlink" Target="https://www.lenntech.com/Periodic-chart-elements/Si-en.htm" TargetMode="External"/><Relationship Id="rId5" Type="http://schemas.openxmlformats.org/officeDocument/2006/relationships/hyperlink" Target="https://www.health.gov.au/internet/main/publishing.nsf/content/A12B57E41EC9F326CA257BF0001F9E7D/$File/Lead-plumbing-products-Guidance-Statement-July2018.pdf" TargetMode="External"/><Relationship Id="rId15" Type="http://schemas.openxmlformats.org/officeDocument/2006/relationships/hyperlink" Target="https://www.who.int/ipcs/features/lead..pdf" TargetMode="External"/><Relationship Id="rId23" Type="http://schemas.openxmlformats.org/officeDocument/2006/relationships/hyperlink" Target="https://www.worldplumbing.org/https-www-globenewswire-com-news-release-2020-09-22-2097163-0-en-new-criteria-in-drinking-water-standard-tightens-lead-leaching-allowance-for-plumbing-products-html/" TargetMode="External"/><Relationship Id="rId28" Type="http://schemas.openxmlformats.org/officeDocument/2006/relationships/hyperlink" Target="http://www.dwi.gov.uk/stakeholders/guidance-and-codes-of-practice/wswq/intro.pdf" TargetMode="External"/><Relationship Id="rId36" Type="http://schemas.openxmlformats.org/officeDocument/2006/relationships/hyperlink" Target="https://www.health.nsw.gov.au/Infectious/controlguideline/Pages/lead.aspx" TargetMode="External"/><Relationship Id="rId10" Type="http://schemas.openxmlformats.org/officeDocument/2006/relationships/hyperlink" Target="https://index.okfn.org/place/au/water/" TargetMode="External"/><Relationship Id="rId19" Type="http://schemas.openxmlformats.org/officeDocument/2006/relationships/hyperlink" Target="https://www.environment.gov.au/protection/fuel-quality/standards/petrol%3c" TargetMode="External"/><Relationship Id="rId31" Type="http://schemas.openxmlformats.org/officeDocument/2006/relationships/hyperlink" Target="https://www.worldplumbing.org/https-www-globenewswire-com-news-release-2020-09-22-2097163-0-en-new-criteria-in-drinking-water-standard-tightens-lead-leaching-allowance-for-plumbing-products-html/" TargetMode="External"/><Relationship Id="rId44" Type="http://schemas.openxmlformats.org/officeDocument/2006/relationships/hyperlink" Target="https://www.sciencedirect.com/science/article/pii/S2090447912000639" TargetMode="External"/><Relationship Id="rId4" Type="http://schemas.openxmlformats.org/officeDocument/2006/relationships/hyperlink" Target="https://www.epa.gov/ground-water-and-drinking-water/basic-information-about-lead-drinking-water" TargetMode="External"/><Relationship Id="rId9" Type="http://schemas.openxmlformats.org/officeDocument/2006/relationships/hyperlink" Target="https://epi.envirocenter.yale.edu/epi-country-report/AUS%3c" TargetMode="External"/><Relationship Id="rId14" Type="http://schemas.openxmlformats.org/officeDocument/2006/relationships/hyperlink" Target="https://www.who.int/news-room/fact-sheets/detail/lead-poisoning-and-health" TargetMode="External"/><Relationship Id="rId22" Type="http://schemas.openxmlformats.org/officeDocument/2006/relationships/hyperlink" Target="https://www.education.vic.gov.au/Documents/school/principals/infrastructure/vsba-building-quality-handbook.pdf" TargetMode="External"/><Relationship Id="rId27" Type="http://schemas.openxmlformats.org/officeDocument/2006/relationships/hyperlink" Target="http://dwi.defra.gov.uk/consumers/advice-leaflets/standards.pdf" TargetMode="External"/><Relationship Id="rId30" Type="http://schemas.openxmlformats.org/officeDocument/2006/relationships/hyperlink" Target="https://www.umweltbundesamt.de/en/topics/water/drinking-water/distributing-drinking-water/approval-harmonization-4ms-initiative" TargetMode="External"/><Relationship Id="rId35" Type="http://schemas.openxmlformats.org/officeDocument/2006/relationships/hyperlink" Target="https://www.health.qld.gov.au/__data/assets/pdf_file/0036/428868/mtisa-lead-report-2006-07.pdf" TargetMode="External"/><Relationship Id="rId43" Type="http://schemas.openxmlformats.org/officeDocument/2006/relationships/hyperlink" Target="https://www.sciencedirect.com/science/article/pii/S2090447912000639" TargetMode="External"/><Relationship Id="rId48" Type="http://schemas.openxmlformats.org/officeDocument/2006/relationships/hyperlink" Target="https://www.lenntech.com/periodic/elements/si.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ABCB\ABCB-RIS.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rod.protected.ind\user\User02\Skeating\Downloads\Lead%20Cost%20-%20Benefit%20Analysis%20-%2025%20May%202021%20-%20Final%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DALY rate</a:t>
            </a:r>
            <a:r>
              <a:rPr lang="en-US" baseline="0"/>
              <a:t> attributable to lead exposure </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867817727603322E-2"/>
          <c:y val="0.13708480700599479"/>
          <c:w val="0.88808398950131251"/>
          <c:h val="0.66302246443177715"/>
        </c:manualLayout>
      </c:layout>
      <c:lineChart>
        <c:grouping val="standard"/>
        <c:varyColors val="0"/>
        <c:ser>
          <c:idx val="0"/>
          <c:order val="0"/>
          <c:tx>
            <c:strRef>
              <c:f>'DALY trend'!$C$2</c:f>
              <c:strCache>
                <c:ptCount val="1"/>
                <c:pt idx="0">
                  <c:v>DALY</c:v>
                </c:pt>
              </c:strCache>
            </c:strRef>
          </c:tx>
          <c:spPr>
            <a:ln w="19050" cap="rnd">
              <a:solidFill>
                <a:schemeClr val="accent1"/>
              </a:solidFill>
              <a:round/>
            </a:ln>
            <a:effectLst/>
          </c:spPr>
          <c:marker>
            <c:symbol val="none"/>
          </c:marker>
          <c:dLbls>
            <c:dLbl>
              <c:idx val="0"/>
              <c:layout>
                <c:manualLayout>
                  <c:x val="-1.4126585080479398E-2"/>
                  <c:y val="-3.5084395498091933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CD32-427F-83F5-BF357644D6BC}"/>
                </c:ext>
                <c:ext xmlns:c15="http://schemas.microsoft.com/office/drawing/2012/chart" uri="{CE6537A1-D6FC-4f65-9D91-7224C49458BB}">
                  <c15:layout/>
                </c:ext>
              </c:extLst>
            </c:dLbl>
            <c:dLbl>
              <c:idx val="1"/>
              <c:delete val="1"/>
              <c:extLst xmlns:c16r2="http://schemas.microsoft.com/office/drawing/2015/06/chart">
                <c:ext xmlns:c16="http://schemas.microsoft.com/office/drawing/2014/chart" uri="{C3380CC4-5D6E-409C-BE32-E72D297353CC}">
                  <c16:uniqueId val="{0000001C-CD32-427F-83F5-BF357644D6BC}"/>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1B-CD32-427F-83F5-BF357644D6BC}"/>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1A-CD32-427F-83F5-BF357644D6BC}"/>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3-CD32-427F-83F5-BF357644D6BC}"/>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4-CD32-427F-83F5-BF357644D6BC}"/>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5-CD32-427F-83F5-BF357644D6BC}"/>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6-CD32-427F-83F5-BF357644D6BC}"/>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7-CD32-427F-83F5-BF357644D6BC}"/>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8-CD32-427F-83F5-BF357644D6BC}"/>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9-CD32-427F-83F5-BF357644D6BC}"/>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B-CD32-427F-83F5-BF357644D6BC}"/>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A-CD32-427F-83F5-BF357644D6BC}"/>
                </c:ext>
                <c:ext xmlns:c15="http://schemas.microsoft.com/office/drawing/2012/chart" uri="{CE6537A1-D6FC-4f65-9D91-7224C49458BB}"/>
              </c:extLst>
            </c:dLbl>
            <c:dLbl>
              <c:idx val="13"/>
              <c:delete val="1"/>
              <c:extLst xmlns:c16r2="http://schemas.microsoft.com/office/drawing/2015/06/chart">
                <c:ext xmlns:c16="http://schemas.microsoft.com/office/drawing/2014/chart" uri="{C3380CC4-5D6E-409C-BE32-E72D297353CC}">
                  <c16:uniqueId val="{0000000C-CD32-427F-83F5-BF357644D6BC}"/>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0E-CD32-427F-83F5-BF357644D6BC}"/>
                </c:ext>
                <c:ext xmlns:c15="http://schemas.microsoft.com/office/drawing/2012/chart" uri="{CE6537A1-D6FC-4f65-9D91-7224C49458BB}"/>
              </c:extLst>
            </c:dLbl>
            <c:dLbl>
              <c:idx val="15"/>
              <c:delete val="1"/>
              <c:extLst xmlns:c16r2="http://schemas.microsoft.com/office/drawing/2015/06/chart">
                <c:ext xmlns:c16="http://schemas.microsoft.com/office/drawing/2014/chart" uri="{C3380CC4-5D6E-409C-BE32-E72D297353CC}">
                  <c16:uniqueId val="{0000000D-CD32-427F-83F5-BF357644D6BC}"/>
                </c:ext>
                <c:ext xmlns:c15="http://schemas.microsoft.com/office/drawing/2012/chart" uri="{CE6537A1-D6FC-4f65-9D91-7224C49458BB}"/>
              </c:extLst>
            </c:dLbl>
            <c:dLbl>
              <c:idx val="16"/>
              <c:delete val="1"/>
              <c:extLst xmlns:c16r2="http://schemas.microsoft.com/office/drawing/2015/06/chart">
                <c:ext xmlns:c16="http://schemas.microsoft.com/office/drawing/2014/chart" uri="{C3380CC4-5D6E-409C-BE32-E72D297353CC}">
                  <c16:uniqueId val="{0000000F-CD32-427F-83F5-BF357644D6BC}"/>
                </c:ext>
                <c:ext xmlns:c15="http://schemas.microsoft.com/office/drawing/2012/chart" uri="{CE6537A1-D6FC-4f65-9D91-7224C49458BB}"/>
              </c:extLst>
            </c:dLbl>
            <c:dLbl>
              <c:idx val="17"/>
              <c:delete val="1"/>
              <c:extLst xmlns:c16r2="http://schemas.microsoft.com/office/drawing/2015/06/chart">
                <c:ext xmlns:c16="http://schemas.microsoft.com/office/drawing/2014/chart" uri="{C3380CC4-5D6E-409C-BE32-E72D297353CC}">
                  <c16:uniqueId val="{00000011-CD32-427F-83F5-BF357644D6BC}"/>
                </c:ext>
                <c:ext xmlns:c15="http://schemas.microsoft.com/office/drawing/2012/chart" uri="{CE6537A1-D6FC-4f65-9D91-7224C49458BB}"/>
              </c:extLst>
            </c:dLbl>
            <c:dLbl>
              <c:idx val="18"/>
              <c:delete val="1"/>
              <c:extLst xmlns:c16r2="http://schemas.microsoft.com/office/drawing/2015/06/chart">
                <c:ext xmlns:c16="http://schemas.microsoft.com/office/drawing/2014/chart" uri="{C3380CC4-5D6E-409C-BE32-E72D297353CC}">
                  <c16:uniqueId val="{00000010-CD32-427F-83F5-BF357644D6BC}"/>
                </c:ext>
                <c:ext xmlns:c15="http://schemas.microsoft.com/office/drawing/2012/chart" uri="{CE6537A1-D6FC-4f65-9D91-7224C49458BB}"/>
              </c:extLst>
            </c:dLbl>
            <c:dLbl>
              <c:idx val="19"/>
              <c:delete val="1"/>
              <c:extLst xmlns:c16r2="http://schemas.microsoft.com/office/drawing/2015/06/chart">
                <c:ext xmlns:c16="http://schemas.microsoft.com/office/drawing/2014/chart" uri="{C3380CC4-5D6E-409C-BE32-E72D297353CC}">
                  <c16:uniqueId val="{00000012-CD32-427F-83F5-BF357644D6BC}"/>
                </c:ext>
                <c:ext xmlns:c15="http://schemas.microsoft.com/office/drawing/2012/chart" uri="{CE6537A1-D6FC-4f65-9D91-7224C49458BB}"/>
              </c:extLst>
            </c:dLbl>
            <c:dLbl>
              <c:idx val="20"/>
              <c:delete val="1"/>
              <c:extLst xmlns:c16r2="http://schemas.microsoft.com/office/drawing/2015/06/chart">
                <c:ext xmlns:c16="http://schemas.microsoft.com/office/drawing/2014/chart" uri="{C3380CC4-5D6E-409C-BE32-E72D297353CC}">
                  <c16:uniqueId val="{00000014-CD32-427F-83F5-BF357644D6BC}"/>
                </c:ext>
                <c:ext xmlns:c15="http://schemas.microsoft.com/office/drawing/2012/chart" uri="{CE6537A1-D6FC-4f65-9D91-7224C49458BB}"/>
              </c:extLst>
            </c:dLbl>
            <c:dLbl>
              <c:idx val="21"/>
              <c:delete val="1"/>
              <c:extLst xmlns:c16r2="http://schemas.microsoft.com/office/drawing/2015/06/chart">
                <c:ext xmlns:c16="http://schemas.microsoft.com/office/drawing/2014/chart" uri="{C3380CC4-5D6E-409C-BE32-E72D297353CC}">
                  <c16:uniqueId val="{00000013-CD32-427F-83F5-BF357644D6BC}"/>
                </c:ext>
                <c:ext xmlns:c15="http://schemas.microsoft.com/office/drawing/2012/chart" uri="{CE6537A1-D6FC-4f65-9D91-7224C49458BB}"/>
              </c:extLst>
            </c:dLbl>
            <c:dLbl>
              <c:idx val="22"/>
              <c:delete val="1"/>
              <c:extLst xmlns:c16r2="http://schemas.microsoft.com/office/drawing/2015/06/chart">
                <c:ext xmlns:c16="http://schemas.microsoft.com/office/drawing/2014/chart" uri="{C3380CC4-5D6E-409C-BE32-E72D297353CC}">
                  <c16:uniqueId val="{00000015-CD32-427F-83F5-BF357644D6BC}"/>
                </c:ext>
                <c:ext xmlns:c15="http://schemas.microsoft.com/office/drawing/2012/chart" uri="{CE6537A1-D6FC-4f65-9D91-7224C49458BB}"/>
              </c:extLst>
            </c:dLbl>
            <c:dLbl>
              <c:idx val="23"/>
              <c:delete val="1"/>
              <c:extLst xmlns:c16r2="http://schemas.microsoft.com/office/drawing/2015/06/chart">
                <c:ext xmlns:c16="http://schemas.microsoft.com/office/drawing/2014/chart" uri="{C3380CC4-5D6E-409C-BE32-E72D297353CC}">
                  <c16:uniqueId val="{00000017-CD32-427F-83F5-BF357644D6BC}"/>
                </c:ext>
                <c:ext xmlns:c15="http://schemas.microsoft.com/office/drawing/2012/chart" uri="{CE6537A1-D6FC-4f65-9D91-7224C49458BB}"/>
              </c:extLst>
            </c:dLbl>
            <c:dLbl>
              <c:idx val="24"/>
              <c:delete val="1"/>
              <c:extLst xmlns:c16r2="http://schemas.microsoft.com/office/drawing/2015/06/chart">
                <c:ext xmlns:c16="http://schemas.microsoft.com/office/drawing/2014/chart" uri="{C3380CC4-5D6E-409C-BE32-E72D297353CC}">
                  <c16:uniqueId val="{00000016-CD32-427F-83F5-BF357644D6BC}"/>
                </c:ext>
                <c:ext xmlns:c15="http://schemas.microsoft.com/office/drawing/2012/chart" uri="{CE6537A1-D6FC-4f65-9D91-7224C49458BB}"/>
              </c:extLst>
            </c:dLbl>
            <c:dLbl>
              <c:idx val="25"/>
              <c:delete val="1"/>
              <c:extLst xmlns:c16r2="http://schemas.microsoft.com/office/drawing/2015/06/chart">
                <c:ext xmlns:c16="http://schemas.microsoft.com/office/drawing/2014/chart" uri="{C3380CC4-5D6E-409C-BE32-E72D297353CC}">
                  <c16:uniqueId val="{00000018-CD32-427F-83F5-BF357644D6BC}"/>
                </c:ext>
                <c:ext xmlns:c15="http://schemas.microsoft.com/office/drawing/2012/chart" uri="{CE6537A1-D6FC-4f65-9D91-7224C49458BB}"/>
              </c:extLst>
            </c:dLbl>
            <c:dLbl>
              <c:idx val="26"/>
              <c:delete val="1"/>
              <c:extLst xmlns:c16r2="http://schemas.microsoft.com/office/drawing/2015/06/chart">
                <c:ext xmlns:c16="http://schemas.microsoft.com/office/drawing/2014/chart" uri="{C3380CC4-5D6E-409C-BE32-E72D297353CC}">
                  <c16:uniqueId val="{00000019-CD32-427F-83F5-BF357644D6BC}"/>
                </c:ext>
                <c:ext xmlns:c15="http://schemas.microsoft.com/office/drawing/2012/chart" uri="{CE6537A1-D6FC-4f65-9D91-7224C49458BB}"/>
              </c:extLst>
            </c:dLbl>
            <c:dLbl>
              <c:idx val="27"/>
              <c:delete val="1"/>
              <c:extLst xmlns:c16r2="http://schemas.microsoft.com/office/drawing/2015/06/chart">
                <c:ext xmlns:c16="http://schemas.microsoft.com/office/drawing/2014/chart" uri="{C3380CC4-5D6E-409C-BE32-E72D297353CC}">
                  <c16:uniqueId val="{0000001E-CD32-427F-83F5-BF357644D6BC}"/>
                </c:ext>
                <c:ext xmlns:c15="http://schemas.microsoft.com/office/drawing/2012/chart" uri="{CE6537A1-D6FC-4f65-9D91-7224C49458BB}"/>
              </c:extLst>
            </c:dLbl>
            <c:dLbl>
              <c:idx val="28"/>
              <c:layout>
                <c:manualLayout>
                  <c:x val="-1.8906050205264372E-3"/>
                  <c:y val="-3.81113169060893E-2"/>
                </c:manualLayout>
              </c:layout>
              <c:tx>
                <c:rich>
                  <a:bodyPr/>
                  <a:lstStyle/>
                  <a:p>
                    <a:r>
                      <a:rPr lang="en-US"/>
                      <a:t>101.83</a:t>
                    </a:r>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802-4446-9739-DB922DBF0A50}"/>
                </c:ext>
                <c:ext xmlns:c15="http://schemas.microsoft.com/office/drawing/2012/chart" uri="{CE6537A1-D6FC-4f65-9D91-7224C49458BB}">
                  <c15:layout/>
                </c:ext>
              </c:extLst>
            </c:dLbl>
            <c:dLbl>
              <c:idx val="29"/>
              <c:delete val="1"/>
              <c:extLst xmlns:c16r2="http://schemas.microsoft.com/office/drawing/2015/06/chart">
                <c:ext xmlns:c16="http://schemas.microsoft.com/office/drawing/2014/chart" uri="{C3380CC4-5D6E-409C-BE32-E72D297353CC}">
                  <c16:uniqueId val="{00000001-5802-4446-9739-DB922DBF0A5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'DALY trend'!$B$3:$B$32</c:f>
              <c:numCache>
                <c:formatCode>General</c:formatCode>
                <c:ptCount val="30"/>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numCache>
            </c:numRef>
          </c:cat>
          <c:val>
            <c:numRef>
              <c:f>'DALY trend'!$C$3:$C$32</c:f>
              <c:numCache>
                <c:formatCode>General</c:formatCode>
                <c:ptCount val="30"/>
                <c:pt idx="0">
                  <c:v>204.24</c:v>
                </c:pt>
                <c:pt idx="1">
                  <c:v>197.89</c:v>
                </c:pt>
                <c:pt idx="2">
                  <c:v>195.13</c:v>
                </c:pt>
                <c:pt idx="3">
                  <c:v>189.97</c:v>
                </c:pt>
                <c:pt idx="4">
                  <c:v>188.22</c:v>
                </c:pt>
                <c:pt idx="5">
                  <c:v>183.27</c:v>
                </c:pt>
                <c:pt idx="6">
                  <c:v>180.43</c:v>
                </c:pt>
                <c:pt idx="7">
                  <c:v>175.23</c:v>
                </c:pt>
                <c:pt idx="8">
                  <c:v>170.6</c:v>
                </c:pt>
                <c:pt idx="9">
                  <c:v>164.59</c:v>
                </c:pt>
                <c:pt idx="10">
                  <c:v>159.9</c:v>
                </c:pt>
                <c:pt idx="11">
                  <c:v>156.09</c:v>
                </c:pt>
                <c:pt idx="12">
                  <c:v>153.4</c:v>
                </c:pt>
                <c:pt idx="13">
                  <c:v>149.47999999999999</c:v>
                </c:pt>
                <c:pt idx="14">
                  <c:v>142.74</c:v>
                </c:pt>
                <c:pt idx="15">
                  <c:v>136.86000000000001</c:v>
                </c:pt>
                <c:pt idx="16">
                  <c:v>132.47</c:v>
                </c:pt>
                <c:pt idx="17">
                  <c:v>129.97</c:v>
                </c:pt>
                <c:pt idx="18">
                  <c:v>126.47</c:v>
                </c:pt>
                <c:pt idx="19">
                  <c:v>120.93</c:v>
                </c:pt>
                <c:pt idx="20">
                  <c:v>116.48</c:v>
                </c:pt>
                <c:pt idx="21">
                  <c:v>113.23</c:v>
                </c:pt>
                <c:pt idx="22">
                  <c:v>108.82</c:v>
                </c:pt>
                <c:pt idx="23">
                  <c:v>105.8</c:v>
                </c:pt>
                <c:pt idx="24">
                  <c:v>104.65</c:v>
                </c:pt>
                <c:pt idx="25">
                  <c:v>103.59</c:v>
                </c:pt>
                <c:pt idx="26">
                  <c:v>100.52</c:v>
                </c:pt>
                <c:pt idx="27">
                  <c:v>99.96</c:v>
                </c:pt>
                <c:pt idx="28">
                  <c:v>101.09</c:v>
                </c:pt>
                <c:pt idx="29">
                  <c:v>101.83</c:v>
                </c:pt>
              </c:numCache>
            </c:numRef>
          </c:val>
          <c:smooth val="0"/>
          <c:extLst xmlns:c16r2="http://schemas.microsoft.com/office/drawing/2015/06/chart">
            <c:ext xmlns:c16="http://schemas.microsoft.com/office/drawing/2014/chart" uri="{C3380CC4-5D6E-409C-BE32-E72D297353CC}">
              <c16:uniqueId val="{00000000-CD32-427F-83F5-BF357644D6BC}"/>
            </c:ext>
          </c:extLst>
        </c:ser>
        <c:dLbls>
          <c:showLegendKey val="0"/>
          <c:showVal val="0"/>
          <c:showCatName val="0"/>
          <c:showSerName val="0"/>
          <c:showPercent val="0"/>
          <c:showBubbleSize val="0"/>
        </c:dLbls>
        <c:smooth val="0"/>
        <c:axId val="697684848"/>
        <c:axId val="697685240"/>
      </c:lineChart>
      <c:catAx>
        <c:axId val="697684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85240"/>
        <c:crosses val="autoZero"/>
        <c:auto val="1"/>
        <c:lblAlgn val="ctr"/>
        <c:lblOffset val="100"/>
        <c:noMultiLvlLbl val="0"/>
      </c:catAx>
      <c:valAx>
        <c:axId val="697685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DALY</a:t>
                </a:r>
                <a:r>
                  <a:rPr lang="en-AU" baseline="0"/>
                  <a:t> per 100,000</a:t>
                </a:r>
                <a:endParaRPr lang="en-AU"/>
              </a:p>
            </c:rich>
          </c:tx>
          <c:layout>
            <c:manualLayout>
              <c:xMode val="edge"/>
              <c:yMode val="edge"/>
              <c:x val="1.2048192771084338E-2"/>
              <c:y val="0.3241468704882188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84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7801E7A2C904FAC92F725580384C4" ma:contentTypeVersion="20" ma:contentTypeDescription="Create a new document." ma:contentTypeScope="" ma:versionID="176efa8412baac18930c0fe32447f506">
  <xsd:schema xmlns:xsd="http://www.w3.org/2001/XMLSchema" xmlns:xs="http://www.w3.org/2001/XMLSchema" xmlns:p="http://schemas.microsoft.com/office/2006/metadata/properties" xmlns:ns1="http://schemas.microsoft.com/sharepoint/v3" xmlns:ns2="d064c82f-d8ab-4a3d-94af-5f326bc58d2d" xmlns:ns3="3f1aeb51-4fdd-4d4f-be9c-84114083ce18" xmlns:ns4="http://schemas.microsoft.com/sharepoint/v4" targetNamespace="http://schemas.microsoft.com/office/2006/metadata/properties" ma:root="true" ma:fieldsID="86cf942dc9bbba2b69715e06b56d2817" ns1:_="" ns2:_="" ns3:_="" ns4:_="">
    <xsd:import namespace="http://schemas.microsoft.com/sharepoint/v3"/>
    <xsd:import namespace="d064c82f-d8ab-4a3d-94af-5f326bc58d2d"/>
    <xsd:import namespace="3f1aeb51-4fdd-4d4f-be9c-84114083ce1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l1a88c2376b24639a56abe4766a10326" minOccurs="0"/>
                <xsd:element ref="ns3:h57e951089fd4d1780b430f8060783db" minOccurs="0"/>
                <xsd:element ref="ns2:DocHub_MeetingNumber" minOccurs="0"/>
                <xsd:element ref="ns2: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4c82f-d8ab-4a3d-94af-5f326bc58d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a7ee364-b2a1-4f0a-a954-3c284f763d4f}" ma:internalName="TaxCatchAll" ma:showField="CatchAllData" ma:web="d064c82f-d8ab-4a3d-94af-5f326bc58d2d">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49b4ab08-24a7-4c85-9f80-4fe3e469e22f"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l1a88c2376b24639a56abe4766a10326" ma:index="24" ma:taxonomy="true" ma:internalName="l1a88c2376b24639a56abe4766a10326" ma:taxonomyFieldName="DocHub_Project" ma:displayName="Project" ma:indexed="true" ma:default="" ma:fieldId="{51a88c23-76b2-4639-a56a-be4766a10326}" ma:sspId="fb0313f7-9433-48c0-866e-9e0bbee59a50" ma:termSetId="fe2c8be7-6eec-4ae4-8675-911d48a886b6" ma:anchorId="00000000-0000-0000-0000-000000000000" ma:open="false" ma:isKeyword="false">
      <xsd:complexType>
        <xsd:sequence>
          <xsd:element ref="pc:Terms" minOccurs="0" maxOccurs="1"/>
        </xsd:sequence>
      </xsd:complexType>
    </xsd:element>
    <xsd:element name="DocHub_MeetingNumber" ma:index="28" nillable="true" ma:displayName="Meeting Number" ma:decimals="0" ma:description="Meeting Number assigned by Organiser" ma:indexed="true" ma:internalName="DocHub_MeetingNumber">
      <xsd:simpleType>
        <xsd:restriction base="dms:Number"/>
      </xsd:simple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1aeb51-4fdd-4d4f-be9c-84114083ce18" elementFormDefault="qualified">
    <xsd:import namespace="http://schemas.microsoft.com/office/2006/documentManagement/types"/>
    <xsd:import namespace="http://schemas.microsoft.com/office/infopath/2007/PartnerControls"/>
    <xsd:element name="h57e951089fd4d1780b430f8060783db" ma:index="27" nillable="true" ma:taxonomy="true" ma:internalName="h57e951089fd4d1780b430f8060783db" ma:taxonomyFieldName="DocHub_Lifecycle1" ma:displayName="Lifecycle" ma:indexed="true" ma:default="" ma:fieldId="{157e9510-89fd-4d17-80b4-30f8060783db}" ma:sspId="fb0313f7-9433-48c0-866e-9e0bbee59a50" ma:termSetId="1c93c2ce-5151-4e66-9c7b-260db01b116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d064c82f-d8ab-4a3d-94af-5f326bc58d2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d064c82f-d8ab-4a3d-94af-5f326bc58d2d">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7cab251f-72f3-4ca1-91d8-783887f95bff</TermId>
        </TermInfo>
        <TermInfo xmlns="http://schemas.microsoft.com/office/infopath/2007/PartnerControls">
          <TermName xmlns="http://schemas.microsoft.com/office/infopath/2007/PartnerControls">Lead in Plumbing Products and Materials</TermName>
          <TermId xmlns="http://schemas.microsoft.com/office/infopath/2007/PartnerControls">cd90e5fa-c2ff-4d21-8bce-93466ae670d5</TermId>
        </TermInfo>
      </Terms>
    </adb9bed2e36e4a93af574aeb444da63e>
    <aa25a1a23adf4c92a153145de6afe324 xmlns="d064c82f-d8ab-4a3d-94af-5f326bc58d2d">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pe2555c81638466f9eb614edb9ecde52 xmlns="d064c82f-d8ab-4a3d-94af-5f326bc58d2d">
      <Terms xmlns="http://schemas.microsoft.com/office/infopath/2007/PartnerControls">
        <TermInfo xmlns="http://schemas.microsoft.com/office/infopath/2007/PartnerControls">
          <TermName xmlns="http://schemas.microsoft.com/office/infopath/2007/PartnerControls">Regulatory Impact Statement</TermName>
          <TermId xmlns="http://schemas.microsoft.com/office/infopath/2007/PartnerControls">b67cf5e3-3946-4a1a-b234-9cb1fda6ff32</TermId>
        </TermInfo>
      </Terms>
    </pe2555c81638466f9eb614edb9ecde52>
    <IconOverlay xmlns="http://schemas.microsoft.com/sharepoint/v4" xsi:nil="true"/>
    <g7bcb40ba23249a78edca7d43a67c1c9 xmlns="d064c82f-d8ab-4a3d-94af-5f326bc58d2d">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f03549ca-48e3-445d-9616-5df11514ff56</TermId>
        </TermInfo>
      </Terms>
    </g7bcb40ba23249a78edca7d43a67c1c9>
    <h57e951089fd4d1780b430f8060783db xmlns="3f1aeb51-4fdd-4d4f-be9c-84114083ce18">
      <Terms xmlns="http://schemas.microsoft.com/office/infopath/2007/PartnerControls">
        <TermInfo xmlns="http://schemas.microsoft.com/office/infopath/2007/PartnerControls">
          <TermName xmlns="http://schemas.microsoft.com/office/infopath/2007/PartnerControls">Drafting</TermName>
          <TermId xmlns="http://schemas.microsoft.com/office/infopath/2007/PartnerControls">50bced8c-0567-49ab-81a0-bb019ce4ad1f</TermId>
        </TermInfo>
      </Terms>
    </h57e951089fd4d1780b430f8060783db>
    <l1a88c2376b24639a56abe4766a10326 xmlns="d064c82f-d8ab-4a3d-94af-5f326bc58d2d">
      <Terms xmlns="http://schemas.microsoft.com/office/infopath/2007/PartnerControls">
        <TermInfo xmlns="http://schemas.microsoft.com/office/infopath/2007/PartnerControls">
          <TermName xmlns="http://schemas.microsoft.com/office/infopath/2007/PartnerControls">Lead in Plumbing</TermName>
          <TermId xmlns="http://schemas.microsoft.com/office/infopath/2007/PartnerControls">838afb9f-5ec3-43b6-9194-c70009899e09</TermId>
        </TermInfo>
      </Terms>
    </l1a88c2376b24639a56abe4766a10326>
    <DocHub_MeetingNumber xmlns="d064c82f-d8ab-4a3d-94af-5f326bc58d2d" xsi:nil="true"/>
    <TaxCatchAll xmlns="d064c82f-d8ab-4a3d-94af-5f326bc58d2d">
      <Value>16</Value>
      <Value>128</Value>
      <Value>791</Value>
      <Value>499</Value>
      <Value>1148</Value>
      <Value>89</Value>
      <Value>3</Value>
      <Value>259</Value>
    </TaxCatchAll>
    <Comments xmlns="http://schemas.microsoft.com/sharepoint/v3">JV revisions incorporating WM comments for OBPR</Comments>
    <_dlc_DocId xmlns="d064c82f-d8ab-4a3d-94af-5f326bc58d2d">WUYEHK7WH6H4-997630503-1197</_dlc_DocId>
    <_dlc_DocIdUrl xmlns="d064c82f-d8ab-4a3d-94af-5f326bc58d2d">
      <Url>https://dochub/div/australianbuildingcodesboard/businessfunctions/consultation/regulationimpactanalysis/_layouts/15/DocIdRedir.aspx?ID=WUYEHK7WH6H4-997630503-1197</Url>
      <Description>WUYEHK7WH6H4-997630503-1197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324AB-EC86-4850-8B76-45ED7225F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64c82f-d8ab-4a3d-94af-5f326bc58d2d"/>
    <ds:schemaRef ds:uri="3f1aeb51-4fdd-4d4f-be9c-84114083ce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19887-2911-4A75-865F-0D7B9B97D602}">
  <ds:schemaRefs>
    <ds:schemaRef ds:uri="http://schemas.microsoft.com/sharepoint/v3/contenttype/forms"/>
  </ds:schemaRefs>
</ds:datastoreItem>
</file>

<file path=customXml/itemProps3.xml><?xml version="1.0" encoding="utf-8"?>
<ds:datastoreItem xmlns:ds="http://schemas.openxmlformats.org/officeDocument/2006/customXml" ds:itemID="{EA68D267-C386-4807-B78D-FD7CAECDEAC0}">
  <ds:schemaRefs>
    <ds:schemaRef ds:uri="http://schemas.microsoft.com/sharepoint/events"/>
  </ds:schemaRefs>
</ds:datastoreItem>
</file>

<file path=customXml/itemProps4.xml><?xml version="1.0" encoding="utf-8"?>
<ds:datastoreItem xmlns:ds="http://schemas.openxmlformats.org/officeDocument/2006/customXml" ds:itemID="{071882DE-BA06-485F-BA33-1D4A4E732C32}">
  <ds:schemaRefs>
    <ds:schemaRef ds:uri="d064c82f-d8ab-4a3d-94af-5f326bc58d2d"/>
    <ds:schemaRef ds:uri="http://schemas.microsoft.com/sharepoint/v3"/>
    <ds:schemaRef ds:uri="3f1aeb51-4fdd-4d4f-be9c-84114083ce1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2A8F43DD-A886-47D8-9354-17156782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ABCB-RIS.dotx</Template>
  <TotalTime>36</TotalTime>
  <Pages>118</Pages>
  <Words>30309</Words>
  <Characters>172764</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202668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ABCB</dc:creator>
  <cp:keywords/>
  <dc:description/>
  <cp:lastModifiedBy>Keating, Shane</cp:lastModifiedBy>
  <cp:revision>4</cp:revision>
  <cp:lastPrinted>2021-05-07T04:58:00Z</cp:lastPrinted>
  <dcterms:created xsi:type="dcterms:W3CDTF">2021-07-02T04:51:00Z</dcterms:created>
  <dcterms:modified xsi:type="dcterms:W3CDTF">2021-07-02T07:21:00Z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0x0101008747801E7A2C904FAC92F725580384C4</vt:lpwstr>
  </property>
  <property fmtid="{D5CDD505-2E9C-101B-9397-08002B2CF9AE}" pid="7" name="_dlc_DocIdItemGuid">
    <vt:lpwstr>0faa4ba6-df0a-4caf-a5ab-38d40db4cd52</vt:lpwstr>
  </property>
  <property fmtid="{D5CDD505-2E9C-101B-9397-08002B2CF9AE}" pid="8" name="DocHub_Year">
    <vt:lpwstr>89;#2019|7e451fe0-4dc6-437a-a849-bab7965a9aee</vt:lpwstr>
  </property>
  <property fmtid="{D5CDD505-2E9C-101B-9397-08002B2CF9AE}" pid="9" name="DocHub_Project">
    <vt:lpwstr>1148;#Lead in Plumbing|838afb9f-5ec3-43b6-9194-c70009899e09</vt:lpwstr>
  </property>
  <property fmtid="{D5CDD505-2E9C-101B-9397-08002B2CF9AE}" pid="10" name="DocHub_DocumentType">
    <vt:lpwstr>128;#Regulatory Impact Statement|b67cf5e3-3946-4a1a-b234-9cb1fda6ff32</vt:lpwstr>
  </property>
  <property fmtid="{D5CDD505-2E9C-101B-9397-08002B2CF9AE}" pid="11" name="DocHub_SecurityClassification">
    <vt:lpwstr>3;#OFFICIAL|6106d03b-a1a0-4e30-9d91-d5e9fb4314f9</vt:lpwstr>
  </property>
  <property fmtid="{D5CDD505-2E9C-101B-9397-08002B2CF9AE}" pid="12" name="DocHub_Keywords">
    <vt:lpwstr>499;#impact assessment|7cab251f-72f3-4ca1-91d8-783887f95bff;#791;#Lead in Plumbing Products and Materials|cd90e5fa-c2ff-4d21-8bce-93466ae670d5</vt:lpwstr>
  </property>
  <property fmtid="{D5CDD505-2E9C-101B-9397-08002B2CF9AE}" pid="13" name="DocHub_WorkActivity">
    <vt:lpwstr>16;#Analysis|f03549ca-48e3-445d-9616-5df11514ff56</vt:lpwstr>
  </property>
  <property fmtid="{D5CDD505-2E9C-101B-9397-08002B2CF9AE}" pid="14" name="DocHub_Lifecycle1">
    <vt:lpwstr>259;#Drafting|50bced8c-0567-49ab-81a0-bb019ce4ad1f</vt:lpwstr>
  </property>
</Properties>
</file>