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DC87A" w14:textId="51606635" w:rsidR="00F06E14" w:rsidRPr="00046DA5" w:rsidRDefault="00F74FF1" w:rsidP="00A51D1A">
      <w:pPr>
        <w:pStyle w:val="Reporttitle"/>
      </w:pPr>
      <w:r>
        <w:t>Response to i</w:t>
      </w:r>
      <w:r w:rsidR="00B8198D" w:rsidRPr="00046DA5">
        <w:t>mpl</w:t>
      </w:r>
      <w:r w:rsidR="00B42D0E" w:rsidRPr="00046DA5">
        <w:t>e</w:t>
      </w:r>
      <w:r w:rsidR="00B8198D" w:rsidRPr="00046DA5">
        <w:t>men</w:t>
      </w:r>
      <w:r w:rsidR="00B42D0E" w:rsidRPr="00046DA5">
        <w:t xml:space="preserve">tation of the Spectrum </w:t>
      </w:r>
      <w:r w:rsidR="006553ED" w:rsidRPr="00046DA5">
        <w:t>Pricing </w:t>
      </w:r>
      <w:r w:rsidR="00B42D0E" w:rsidRPr="00046DA5">
        <w:t>Review</w:t>
      </w:r>
    </w:p>
    <w:p w14:paraId="25C0C90A" w14:textId="25AFEE72" w:rsidR="00F06E14" w:rsidRPr="00046DA5" w:rsidRDefault="00A73788" w:rsidP="00F06E14">
      <w:pPr>
        <w:pStyle w:val="Reportsubtitle"/>
      </w:pPr>
      <w:r>
        <w:t xml:space="preserve">Consultation follow-up and </w:t>
      </w:r>
      <w:r w:rsidR="00F74FF1">
        <w:t xml:space="preserve">consideration </w:t>
      </w:r>
      <w:r w:rsidR="005B7757">
        <w:br/>
      </w:r>
      <w:r w:rsidR="00F74FF1">
        <w:t>of</w:t>
      </w:r>
      <w:r w:rsidR="005E72C5">
        <w:t xml:space="preserve"> submissions</w:t>
      </w:r>
    </w:p>
    <w:p w14:paraId="133547C3" w14:textId="77777777" w:rsidR="00C97736" w:rsidRDefault="00CC6E26" w:rsidP="00EC2B68">
      <w:pPr>
        <w:pStyle w:val="Reportdate"/>
        <w:spacing w:after="720"/>
      </w:pPr>
      <w:r>
        <w:t>DECEMBER</w:t>
      </w:r>
      <w:r w:rsidR="00AD1CAD">
        <w:t xml:space="preserve"> </w:t>
      </w:r>
      <w:r w:rsidR="00BD4421" w:rsidRPr="00046DA5">
        <w:t>20</w:t>
      </w:r>
      <w:r w:rsidR="005F2281" w:rsidRPr="00046DA5">
        <w:t>20</w:t>
      </w:r>
    </w:p>
    <w:p w14:paraId="6FED3A81" w14:textId="6FDD2DDC" w:rsidR="00C97736" w:rsidRPr="00046DA5" w:rsidRDefault="00C97736" w:rsidP="00EC2B68">
      <w:pPr>
        <w:pStyle w:val="Reportdate"/>
        <w:spacing w:after="720"/>
        <w:sectPr w:rsidR="00C97736" w:rsidRPr="00046DA5"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7AEA57B4" w14:textId="77777777" w:rsidR="0005011A" w:rsidRPr="00046DA5" w:rsidRDefault="0005011A" w:rsidP="00FC07B9">
      <w:pPr>
        <w:pStyle w:val="ACMACorporateAddressHeader"/>
      </w:pPr>
      <w:r w:rsidRPr="00046DA5">
        <w:lastRenderedPageBreak/>
        <w:t>Canberra</w:t>
      </w:r>
    </w:p>
    <w:p w14:paraId="0B338383" w14:textId="77777777" w:rsidR="0005011A" w:rsidRPr="00046DA5" w:rsidRDefault="0005011A" w:rsidP="00FC07B9">
      <w:pPr>
        <w:pStyle w:val="ACMACorporateAddresses"/>
      </w:pPr>
      <w:r w:rsidRPr="00046DA5">
        <w:t xml:space="preserve">Red Building </w:t>
      </w:r>
      <w:r w:rsidRPr="00046DA5">
        <w:br/>
        <w:t>Benjamin Offices</w:t>
      </w:r>
      <w:r w:rsidRPr="00046DA5">
        <w:br/>
        <w:t xml:space="preserve">Chan Street </w:t>
      </w:r>
      <w:r w:rsidRPr="00046DA5">
        <w:br/>
        <w:t>Belconnen ACT</w:t>
      </w:r>
    </w:p>
    <w:p w14:paraId="5248FA73" w14:textId="77777777" w:rsidR="0005011A" w:rsidRPr="00046DA5" w:rsidRDefault="0005011A" w:rsidP="00FC07B9">
      <w:pPr>
        <w:pStyle w:val="ACMACorporateAddresses"/>
      </w:pPr>
      <w:r w:rsidRPr="00046DA5">
        <w:t>PO Box 78</w:t>
      </w:r>
      <w:r w:rsidRPr="00046DA5">
        <w:br/>
        <w:t>Belconnen ACT 2616</w:t>
      </w:r>
    </w:p>
    <w:p w14:paraId="54BD0104" w14:textId="77777777" w:rsidR="00FE1823" w:rsidRPr="00046DA5" w:rsidRDefault="0005011A" w:rsidP="00FC07B9">
      <w:pPr>
        <w:pStyle w:val="ACMACorporateAddresses"/>
      </w:pPr>
      <w:r w:rsidRPr="00046DA5">
        <w:t>T</w:t>
      </w:r>
      <w:r w:rsidR="00537604" w:rsidRPr="00046DA5">
        <w:tab/>
      </w:r>
      <w:r w:rsidRPr="00046DA5">
        <w:t>+61 2 6219 5555</w:t>
      </w:r>
      <w:r w:rsidRPr="00046DA5">
        <w:br/>
        <w:t>F</w:t>
      </w:r>
      <w:r w:rsidR="00537604" w:rsidRPr="00046DA5">
        <w:tab/>
      </w:r>
      <w:r w:rsidRPr="00046DA5">
        <w:t>+61 2 6219 5353</w:t>
      </w:r>
    </w:p>
    <w:p w14:paraId="71DCDE3A" w14:textId="77777777" w:rsidR="0005011A" w:rsidRPr="00046DA5" w:rsidRDefault="0005011A" w:rsidP="00FC07B9">
      <w:pPr>
        <w:pStyle w:val="ACMACorporateAddressHeader"/>
      </w:pPr>
      <w:r w:rsidRPr="00046DA5">
        <w:t>Melbourne</w:t>
      </w:r>
    </w:p>
    <w:p w14:paraId="414646DD" w14:textId="77777777" w:rsidR="0005011A" w:rsidRPr="00046DA5" w:rsidRDefault="0005011A" w:rsidP="00FC07B9">
      <w:pPr>
        <w:pStyle w:val="ACMACorporateAddresses"/>
      </w:pPr>
      <w:r w:rsidRPr="00046DA5">
        <w:t xml:space="preserve">Level 32 </w:t>
      </w:r>
      <w:r w:rsidRPr="00046DA5">
        <w:br/>
        <w:t>Melbourne Central Tower</w:t>
      </w:r>
      <w:r w:rsidRPr="00046DA5">
        <w:br/>
        <w:t xml:space="preserve">360 Elizabeth Street </w:t>
      </w:r>
      <w:r w:rsidR="008C10F4" w:rsidRPr="00046DA5">
        <w:br/>
      </w:r>
      <w:r w:rsidRPr="00046DA5">
        <w:t>Melbourne VIC</w:t>
      </w:r>
    </w:p>
    <w:p w14:paraId="4019666D" w14:textId="77777777" w:rsidR="0005011A" w:rsidRPr="00046DA5" w:rsidRDefault="0005011A" w:rsidP="00FC07B9">
      <w:pPr>
        <w:pStyle w:val="ACMACorporateAddresses"/>
      </w:pPr>
      <w:r w:rsidRPr="00046DA5">
        <w:t>PO Box 13112</w:t>
      </w:r>
      <w:r w:rsidRPr="00046DA5">
        <w:br/>
        <w:t xml:space="preserve">Law Courts </w:t>
      </w:r>
      <w:r w:rsidRPr="00046DA5">
        <w:br/>
        <w:t>Melbourne VIC 8010</w:t>
      </w:r>
    </w:p>
    <w:p w14:paraId="297B2AC8" w14:textId="77777777" w:rsidR="0005011A" w:rsidRPr="00046DA5" w:rsidRDefault="0005011A" w:rsidP="00FC07B9">
      <w:pPr>
        <w:pStyle w:val="ACMACorporateAddresses"/>
      </w:pPr>
      <w:r w:rsidRPr="00046DA5">
        <w:t>T</w:t>
      </w:r>
      <w:r w:rsidR="00140318" w:rsidRPr="00046DA5">
        <w:tab/>
      </w:r>
      <w:r w:rsidRPr="00046DA5">
        <w:t>+61 3 9963 6800</w:t>
      </w:r>
      <w:r w:rsidRPr="00046DA5">
        <w:br/>
        <w:t>F</w:t>
      </w:r>
      <w:r w:rsidR="00140318" w:rsidRPr="00046DA5">
        <w:tab/>
      </w:r>
      <w:r w:rsidRPr="00046DA5">
        <w:t>+61 3 9963 6899</w:t>
      </w:r>
    </w:p>
    <w:p w14:paraId="7525038F" w14:textId="77777777" w:rsidR="0005011A" w:rsidRPr="00046DA5" w:rsidRDefault="0005011A" w:rsidP="00FC07B9">
      <w:pPr>
        <w:pStyle w:val="ACMACorporateAddressHeader"/>
      </w:pPr>
      <w:r w:rsidRPr="00046DA5">
        <w:t>Sydney</w:t>
      </w:r>
    </w:p>
    <w:p w14:paraId="28067B0A" w14:textId="77777777" w:rsidR="0005011A" w:rsidRPr="00046DA5" w:rsidRDefault="0005011A" w:rsidP="00FC07B9">
      <w:pPr>
        <w:pStyle w:val="ACMACorporateAddresses"/>
      </w:pPr>
      <w:r w:rsidRPr="00046DA5">
        <w:t xml:space="preserve">Level 5 </w:t>
      </w:r>
      <w:r w:rsidRPr="00046DA5">
        <w:br/>
        <w:t>The Bay Centre</w:t>
      </w:r>
      <w:r w:rsidRPr="00046DA5">
        <w:br/>
        <w:t xml:space="preserve">65 Pirrama Road </w:t>
      </w:r>
      <w:r w:rsidRPr="00046DA5">
        <w:br/>
        <w:t>Pyrmont NSW</w:t>
      </w:r>
    </w:p>
    <w:p w14:paraId="1BAAEC4D" w14:textId="77777777" w:rsidR="0005011A" w:rsidRPr="00046DA5" w:rsidRDefault="0005011A" w:rsidP="00FC07B9">
      <w:pPr>
        <w:pStyle w:val="ACMACorporateAddresses"/>
      </w:pPr>
      <w:r w:rsidRPr="00046DA5">
        <w:t>PO Box Q500</w:t>
      </w:r>
      <w:r w:rsidRPr="00046DA5">
        <w:br/>
        <w:t xml:space="preserve">Queen Victoria Building </w:t>
      </w:r>
      <w:r w:rsidRPr="00046DA5">
        <w:br/>
        <w:t>NSW 1230</w:t>
      </w:r>
    </w:p>
    <w:p w14:paraId="07380C42" w14:textId="77777777" w:rsidR="0005011A" w:rsidRPr="00046DA5" w:rsidRDefault="0005011A" w:rsidP="00FC07B9">
      <w:pPr>
        <w:pStyle w:val="ACMACorporateAddresses"/>
      </w:pPr>
      <w:r w:rsidRPr="00046DA5">
        <w:t>T</w:t>
      </w:r>
      <w:r w:rsidR="00140318" w:rsidRPr="00046DA5">
        <w:tab/>
      </w:r>
      <w:r w:rsidRPr="00046DA5">
        <w:t>+61 2 9334 7700</w:t>
      </w:r>
      <w:r w:rsidR="00140318" w:rsidRPr="00046DA5">
        <w:t xml:space="preserve"> or</w:t>
      </w:r>
      <w:r w:rsidRPr="00046DA5">
        <w:t xml:space="preserve"> 1800 226 667</w:t>
      </w:r>
      <w:r w:rsidRPr="00046DA5">
        <w:br/>
        <w:t>F</w:t>
      </w:r>
      <w:r w:rsidR="00140318" w:rsidRPr="00046DA5">
        <w:tab/>
      </w:r>
      <w:r w:rsidRPr="00046DA5">
        <w:t>+61 2 9334 7799</w:t>
      </w:r>
    </w:p>
    <w:p w14:paraId="0C3B01FE" w14:textId="77777777" w:rsidR="00140318" w:rsidRPr="00046DA5" w:rsidRDefault="00140318" w:rsidP="00FC07B9">
      <w:pPr>
        <w:pStyle w:val="ACMACopyrightHeader"/>
      </w:pPr>
      <w:r w:rsidRPr="00046DA5">
        <w:t>Copyright notice</w:t>
      </w:r>
    </w:p>
    <w:p w14:paraId="4EC821B9" w14:textId="77777777" w:rsidR="00140318" w:rsidRPr="00046DA5" w:rsidRDefault="00999743" w:rsidP="00623FF9">
      <w:pPr>
        <w:pStyle w:val="ACMACClogo"/>
      </w:pPr>
      <w:r>
        <w:rPr>
          <w:noProof/>
        </w:rPr>
        <w:drawing>
          <wp:inline distT="0" distB="0" distL="0" distR="0" wp14:anchorId="3DE70E01" wp14:editId="5F5C961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6EC295BD" w14:textId="77777777" w:rsidR="00AA2DE5" w:rsidRPr="00046DA5" w:rsidRDefault="007E6547" w:rsidP="00AA2DE5">
      <w:pPr>
        <w:pStyle w:val="ACMACorporateAddresses"/>
        <w:rPr>
          <w:rStyle w:val="Hyperlink"/>
        </w:rPr>
      </w:pPr>
      <w:hyperlink r:id="rId13" w:history="1">
        <w:r w:rsidR="00AA2DE5" w:rsidRPr="00046DA5">
          <w:rPr>
            <w:rStyle w:val="Hyperlink"/>
          </w:rPr>
          <w:t>https://creativecommons.org/licenses/by/4.0/</w:t>
        </w:r>
      </w:hyperlink>
    </w:p>
    <w:p w14:paraId="39F76434" w14:textId="77777777" w:rsidR="00AA2DE5" w:rsidRPr="00046DA5" w:rsidRDefault="00AA2DE5" w:rsidP="00AA2DE5">
      <w:pPr>
        <w:pStyle w:val="ACMACorporateAddresses"/>
      </w:pPr>
      <w:r w:rsidRPr="00046DA5">
        <w:t xml:space="preserve">With the exception of coats of arms, logos, emblems, images, other third-party </w:t>
      </w:r>
      <w:proofErr w:type="gramStart"/>
      <w:r w:rsidRPr="00046DA5">
        <w:t>material</w:t>
      </w:r>
      <w:proofErr w:type="gramEnd"/>
      <w:r w:rsidRPr="00046DA5">
        <w:t xml:space="preserve"> or devices protected by a trademark, this content is made available under the terms of the Creative Commons Attribution 4.0 International (CC BY 4.0) licence. </w:t>
      </w:r>
    </w:p>
    <w:p w14:paraId="62CBF222" w14:textId="22A5CA0A" w:rsidR="00AA2DE5" w:rsidRPr="00046DA5" w:rsidRDefault="00AA2DE5" w:rsidP="00AA2DE5">
      <w:pPr>
        <w:pStyle w:val="ACMACorporateAddresses"/>
      </w:pPr>
      <w:r w:rsidRPr="00046DA5">
        <w:t>We request attribution as © Commonwealth of Australia (Australian Communications and Media Authority) 20</w:t>
      </w:r>
      <w:r w:rsidR="00826B65" w:rsidRPr="00046DA5">
        <w:t>20</w:t>
      </w:r>
      <w:r w:rsidRPr="00046DA5">
        <w:t>.</w:t>
      </w:r>
    </w:p>
    <w:p w14:paraId="4514FAFC" w14:textId="77777777" w:rsidR="00AA2DE5" w:rsidRPr="00046DA5" w:rsidRDefault="00AA2DE5" w:rsidP="00AA2DE5">
      <w:pPr>
        <w:pStyle w:val="ACMACorporateAddresses"/>
      </w:pPr>
      <w:r w:rsidRPr="00046DA5">
        <w:t>All other rights are reserved.</w:t>
      </w:r>
    </w:p>
    <w:p w14:paraId="50ED8052" w14:textId="77777777" w:rsidR="00AA2DE5" w:rsidRPr="00046DA5" w:rsidRDefault="00AA2DE5" w:rsidP="00AA2DE5">
      <w:pPr>
        <w:pStyle w:val="ACMACorporateAddresses"/>
      </w:pPr>
      <w:r w:rsidRPr="00046DA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2609D69" w14:textId="77777777" w:rsidR="00AA2DE5" w:rsidRPr="00046DA5" w:rsidRDefault="00AA2DE5" w:rsidP="00AA2DE5">
      <w:pPr>
        <w:pStyle w:val="ACMACorporateAddresses"/>
      </w:pPr>
      <w:r w:rsidRPr="00046DA5">
        <w:t>Written enquiries may be sent to:</w:t>
      </w:r>
    </w:p>
    <w:p w14:paraId="0F8393E6" w14:textId="77777777" w:rsidR="00AA2DE5" w:rsidRPr="00046DA5" w:rsidRDefault="00AA2DE5" w:rsidP="00AA2DE5">
      <w:pPr>
        <w:pStyle w:val="ACMACorporateAddresses"/>
        <w:rPr>
          <w:rStyle w:val="Hyperlink"/>
        </w:rPr>
      </w:pPr>
      <w:r w:rsidRPr="00046DA5">
        <w:t xml:space="preserve">Manager, Editorial </w:t>
      </w:r>
      <w:r w:rsidR="000245E5" w:rsidRPr="00046DA5">
        <w:t>Services</w:t>
      </w:r>
      <w:r w:rsidRPr="00046DA5">
        <w:br/>
        <w:t>PO Box 13112</w:t>
      </w:r>
      <w:r w:rsidRPr="00046DA5">
        <w:br/>
        <w:t>Law Courts</w:t>
      </w:r>
      <w:r w:rsidRPr="00046DA5">
        <w:br/>
        <w:t>Melbourne VIC 8010</w:t>
      </w:r>
      <w:r w:rsidRPr="00046DA5">
        <w:br/>
        <w:t xml:space="preserve">Email: </w:t>
      </w:r>
      <w:hyperlink r:id="rId14" w:history="1">
        <w:r w:rsidRPr="00046DA5">
          <w:rPr>
            <w:rStyle w:val="Hyperlink"/>
          </w:rPr>
          <w:t>info@acma.gov.au</w:t>
        </w:r>
      </w:hyperlink>
    </w:p>
    <w:p w14:paraId="45CD8E5C" w14:textId="77777777" w:rsidR="00D16FE3" w:rsidRPr="00046DA5" w:rsidRDefault="00D16FE3" w:rsidP="00D16FE3">
      <w:pPr>
        <w:pStyle w:val="ACMACorporateAddresses"/>
        <w:rPr>
          <w:rStyle w:val="Hyperlink"/>
        </w:rPr>
      </w:pPr>
    </w:p>
    <w:p w14:paraId="79DB34E9" w14:textId="77777777" w:rsidR="00D16FE3" w:rsidRPr="00046DA5" w:rsidRDefault="00D16FE3" w:rsidP="00D16FE3">
      <w:pPr>
        <w:pStyle w:val="ACMACorporateAddresses"/>
        <w:sectPr w:rsidR="00D16FE3" w:rsidRPr="00046DA5">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DDDA189" w14:textId="1E9FDA87" w:rsidR="000C6363" w:rsidRDefault="005871A9">
      <w:pPr>
        <w:pStyle w:val="TOC1"/>
        <w:rPr>
          <w:rFonts w:asciiTheme="minorHAnsi" w:eastAsiaTheme="minorEastAsia" w:hAnsiTheme="minorHAnsi" w:cstheme="minorBidi"/>
          <w:b w:val="0"/>
          <w:spacing w:val="0"/>
          <w:sz w:val="22"/>
          <w:szCs w:val="22"/>
        </w:rPr>
      </w:pPr>
      <w:r w:rsidRPr="00046DA5">
        <w:rPr>
          <w:rFonts w:cs="Arial"/>
          <w:b w:val="0"/>
        </w:rPr>
        <w:lastRenderedPageBreak/>
        <w:fldChar w:fldCharType="begin"/>
      </w:r>
      <w:r w:rsidRPr="00046DA5">
        <w:rPr>
          <w:rFonts w:cs="Arial"/>
          <w:b w:val="0"/>
        </w:rPr>
        <w:instrText xml:space="preserve"> TOC \o "1-2" \h \z \t "Exec summary heading,1" </w:instrText>
      </w:r>
      <w:r w:rsidRPr="00046DA5">
        <w:rPr>
          <w:rFonts w:cs="Arial"/>
          <w:b w:val="0"/>
        </w:rPr>
        <w:fldChar w:fldCharType="separate"/>
      </w:r>
      <w:hyperlink w:anchor="_Toc59007924" w:history="1">
        <w:r w:rsidR="000C6363" w:rsidRPr="00352EEC">
          <w:rPr>
            <w:rStyle w:val="Hyperlink"/>
          </w:rPr>
          <w:t>Executive summary</w:t>
        </w:r>
        <w:r w:rsidR="000C6363">
          <w:rPr>
            <w:webHidden/>
          </w:rPr>
          <w:tab/>
        </w:r>
        <w:r w:rsidR="000C6363">
          <w:rPr>
            <w:webHidden/>
          </w:rPr>
          <w:fldChar w:fldCharType="begin"/>
        </w:r>
        <w:r w:rsidR="000C6363">
          <w:rPr>
            <w:webHidden/>
          </w:rPr>
          <w:instrText xml:space="preserve"> PAGEREF _Toc59007924 \h </w:instrText>
        </w:r>
        <w:r w:rsidR="000C6363">
          <w:rPr>
            <w:webHidden/>
          </w:rPr>
        </w:r>
        <w:r w:rsidR="000C6363">
          <w:rPr>
            <w:webHidden/>
          </w:rPr>
          <w:fldChar w:fldCharType="separate"/>
        </w:r>
        <w:r w:rsidR="000C6363">
          <w:rPr>
            <w:webHidden/>
          </w:rPr>
          <w:t>5</w:t>
        </w:r>
        <w:r w:rsidR="000C6363">
          <w:rPr>
            <w:webHidden/>
          </w:rPr>
          <w:fldChar w:fldCharType="end"/>
        </w:r>
      </w:hyperlink>
    </w:p>
    <w:p w14:paraId="5A8AC176" w14:textId="1ED47825" w:rsidR="000C6363" w:rsidRDefault="007E6547">
      <w:pPr>
        <w:pStyle w:val="TOC1"/>
        <w:rPr>
          <w:rFonts w:asciiTheme="minorHAnsi" w:eastAsiaTheme="minorEastAsia" w:hAnsiTheme="minorHAnsi" w:cstheme="minorBidi"/>
          <w:b w:val="0"/>
          <w:spacing w:val="0"/>
          <w:sz w:val="22"/>
          <w:szCs w:val="22"/>
        </w:rPr>
      </w:pPr>
      <w:hyperlink w:anchor="_Toc59007925" w:history="1">
        <w:r w:rsidR="000C6363" w:rsidRPr="00352EEC">
          <w:rPr>
            <w:rStyle w:val="Hyperlink"/>
          </w:rPr>
          <w:t>Response to submissions</w:t>
        </w:r>
        <w:r w:rsidR="000C6363">
          <w:rPr>
            <w:webHidden/>
          </w:rPr>
          <w:tab/>
        </w:r>
        <w:r w:rsidR="000C6363">
          <w:rPr>
            <w:webHidden/>
          </w:rPr>
          <w:fldChar w:fldCharType="begin"/>
        </w:r>
        <w:r w:rsidR="000C6363">
          <w:rPr>
            <w:webHidden/>
          </w:rPr>
          <w:instrText xml:space="preserve"> PAGEREF _Toc59007925 \h </w:instrText>
        </w:r>
        <w:r w:rsidR="000C6363">
          <w:rPr>
            <w:webHidden/>
          </w:rPr>
        </w:r>
        <w:r w:rsidR="000C6363">
          <w:rPr>
            <w:webHidden/>
          </w:rPr>
          <w:fldChar w:fldCharType="separate"/>
        </w:r>
        <w:r w:rsidR="000C6363">
          <w:rPr>
            <w:webHidden/>
          </w:rPr>
          <w:t>7</w:t>
        </w:r>
        <w:r w:rsidR="000C6363">
          <w:rPr>
            <w:webHidden/>
          </w:rPr>
          <w:fldChar w:fldCharType="end"/>
        </w:r>
      </w:hyperlink>
    </w:p>
    <w:p w14:paraId="182CAAA7" w14:textId="29030D52" w:rsidR="000C6363" w:rsidRDefault="007E6547">
      <w:pPr>
        <w:pStyle w:val="TOC2"/>
        <w:rPr>
          <w:rFonts w:asciiTheme="minorHAnsi" w:eastAsiaTheme="minorEastAsia" w:hAnsiTheme="minorHAnsi" w:cstheme="minorBidi"/>
          <w:spacing w:val="0"/>
          <w:sz w:val="22"/>
          <w:szCs w:val="22"/>
        </w:rPr>
      </w:pPr>
      <w:hyperlink w:anchor="_Toc59007926" w:history="1">
        <w:r w:rsidR="000C6363" w:rsidRPr="00352EEC">
          <w:rPr>
            <w:rStyle w:val="Hyperlink"/>
          </w:rPr>
          <w:t>The role of the ACMA in implementing the Spectrum Pricing Review</w:t>
        </w:r>
        <w:r w:rsidR="000C6363">
          <w:rPr>
            <w:webHidden/>
          </w:rPr>
          <w:tab/>
        </w:r>
        <w:r w:rsidR="000C6363">
          <w:rPr>
            <w:webHidden/>
          </w:rPr>
          <w:fldChar w:fldCharType="begin"/>
        </w:r>
        <w:r w:rsidR="000C6363">
          <w:rPr>
            <w:webHidden/>
          </w:rPr>
          <w:instrText xml:space="preserve"> PAGEREF _Toc59007926 \h </w:instrText>
        </w:r>
        <w:r w:rsidR="000C6363">
          <w:rPr>
            <w:webHidden/>
          </w:rPr>
        </w:r>
        <w:r w:rsidR="000C6363">
          <w:rPr>
            <w:webHidden/>
          </w:rPr>
          <w:fldChar w:fldCharType="separate"/>
        </w:r>
        <w:r w:rsidR="000C6363">
          <w:rPr>
            <w:webHidden/>
          </w:rPr>
          <w:t>7</w:t>
        </w:r>
        <w:r w:rsidR="000C6363">
          <w:rPr>
            <w:webHidden/>
          </w:rPr>
          <w:fldChar w:fldCharType="end"/>
        </w:r>
      </w:hyperlink>
    </w:p>
    <w:p w14:paraId="049B99E5" w14:textId="5499D406" w:rsidR="000C6363" w:rsidRDefault="007E6547">
      <w:pPr>
        <w:pStyle w:val="TOC2"/>
        <w:rPr>
          <w:rFonts w:asciiTheme="minorHAnsi" w:eastAsiaTheme="minorEastAsia" w:hAnsiTheme="minorHAnsi" w:cstheme="minorBidi"/>
          <w:spacing w:val="0"/>
          <w:sz w:val="22"/>
          <w:szCs w:val="22"/>
        </w:rPr>
      </w:pPr>
      <w:hyperlink w:anchor="_Toc59007927" w:history="1">
        <w:r w:rsidR="000C6363" w:rsidRPr="00352EEC">
          <w:rPr>
            <w:rStyle w:val="Hyperlink"/>
          </w:rPr>
          <w:t>Spectrum used for the public good</w:t>
        </w:r>
        <w:r w:rsidR="000C6363">
          <w:rPr>
            <w:webHidden/>
          </w:rPr>
          <w:tab/>
        </w:r>
        <w:r w:rsidR="000C6363">
          <w:rPr>
            <w:webHidden/>
          </w:rPr>
          <w:fldChar w:fldCharType="begin"/>
        </w:r>
        <w:r w:rsidR="000C6363">
          <w:rPr>
            <w:webHidden/>
          </w:rPr>
          <w:instrText xml:space="preserve"> PAGEREF _Toc59007927 \h </w:instrText>
        </w:r>
        <w:r w:rsidR="000C6363">
          <w:rPr>
            <w:webHidden/>
          </w:rPr>
        </w:r>
        <w:r w:rsidR="000C6363">
          <w:rPr>
            <w:webHidden/>
          </w:rPr>
          <w:fldChar w:fldCharType="separate"/>
        </w:r>
        <w:r w:rsidR="000C6363">
          <w:rPr>
            <w:webHidden/>
          </w:rPr>
          <w:t>7</w:t>
        </w:r>
        <w:r w:rsidR="000C6363">
          <w:rPr>
            <w:webHidden/>
          </w:rPr>
          <w:fldChar w:fldCharType="end"/>
        </w:r>
      </w:hyperlink>
    </w:p>
    <w:p w14:paraId="606B95C5" w14:textId="6EF5D866" w:rsidR="000C6363" w:rsidRDefault="007E6547">
      <w:pPr>
        <w:pStyle w:val="TOC2"/>
        <w:rPr>
          <w:rFonts w:asciiTheme="minorHAnsi" w:eastAsiaTheme="minorEastAsia" w:hAnsiTheme="minorHAnsi" w:cstheme="minorBidi"/>
          <w:spacing w:val="0"/>
          <w:sz w:val="22"/>
          <w:szCs w:val="22"/>
        </w:rPr>
      </w:pPr>
      <w:hyperlink w:anchor="_Toc59007928" w:history="1">
        <w:r w:rsidR="000C6363" w:rsidRPr="00352EEC">
          <w:rPr>
            <w:rStyle w:val="Hyperlink"/>
          </w:rPr>
          <w:t>Industry specific issues</w:t>
        </w:r>
        <w:r w:rsidR="000C6363">
          <w:rPr>
            <w:webHidden/>
          </w:rPr>
          <w:tab/>
        </w:r>
        <w:r w:rsidR="000C6363">
          <w:rPr>
            <w:webHidden/>
          </w:rPr>
          <w:fldChar w:fldCharType="begin"/>
        </w:r>
        <w:r w:rsidR="000C6363">
          <w:rPr>
            <w:webHidden/>
          </w:rPr>
          <w:instrText xml:space="preserve"> PAGEREF _Toc59007928 \h </w:instrText>
        </w:r>
        <w:r w:rsidR="000C6363">
          <w:rPr>
            <w:webHidden/>
          </w:rPr>
        </w:r>
        <w:r w:rsidR="000C6363">
          <w:rPr>
            <w:webHidden/>
          </w:rPr>
          <w:fldChar w:fldCharType="separate"/>
        </w:r>
        <w:r w:rsidR="000C6363">
          <w:rPr>
            <w:webHidden/>
          </w:rPr>
          <w:t>8</w:t>
        </w:r>
        <w:r w:rsidR="000C6363">
          <w:rPr>
            <w:webHidden/>
          </w:rPr>
          <w:fldChar w:fldCharType="end"/>
        </w:r>
      </w:hyperlink>
    </w:p>
    <w:p w14:paraId="1A5D8D85" w14:textId="6DD1B6B6" w:rsidR="000C6363" w:rsidRDefault="007E6547">
      <w:pPr>
        <w:pStyle w:val="TOC2"/>
        <w:rPr>
          <w:rFonts w:asciiTheme="minorHAnsi" w:eastAsiaTheme="minorEastAsia" w:hAnsiTheme="minorHAnsi" w:cstheme="minorBidi"/>
          <w:spacing w:val="0"/>
          <w:sz w:val="22"/>
          <w:szCs w:val="22"/>
        </w:rPr>
      </w:pPr>
      <w:hyperlink w:anchor="_Toc59007929" w:history="1">
        <w:r w:rsidR="000C6363" w:rsidRPr="00352EEC">
          <w:rPr>
            <w:rStyle w:val="Hyperlink"/>
          </w:rPr>
          <w:t>The tax formula</w:t>
        </w:r>
        <w:r w:rsidR="000C6363">
          <w:rPr>
            <w:webHidden/>
          </w:rPr>
          <w:tab/>
        </w:r>
        <w:r w:rsidR="000C6363">
          <w:rPr>
            <w:webHidden/>
          </w:rPr>
          <w:fldChar w:fldCharType="begin"/>
        </w:r>
        <w:r w:rsidR="000C6363">
          <w:rPr>
            <w:webHidden/>
          </w:rPr>
          <w:instrText xml:space="preserve"> PAGEREF _Toc59007929 \h </w:instrText>
        </w:r>
        <w:r w:rsidR="000C6363">
          <w:rPr>
            <w:webHidden/>
          </w:rPr>
        </w:r>
        <w:r w:rsidR="000C6363">
          <w:rPr>
            <w:webHidden/>
          </w:rPr>
          <w:fldChar w:fldCharType="separate"/>
        </w:r>
        <w:r w:rsidR="000C6363">
          <w:rPr>
            <w:webHidden/>
          </w:rPr>
          <w:t>10</w:t>
        </w:r>
        <w:r w:rsidR="000C6363">
          <w:rPr>
            <w:webHidden/>
          </w:rPr>
          <w:fldChar w:fldCharType="end"/>
        </w:r>
      </w:hyperlink>
    </w:p>
    <w:p w14:paraId="120AF0D3" w14:textId="13C9D062" w:rsidR="000C6363" w:rsidRDefault="007E6547">
      <w:pPr>
        <w:pStyle w:val="TOC2"/>
        <w:rPr>
          <w:rFonts w:asciiTheme="minorHAnsi" w:eastAsiaTheme="minorEastAsia" w:hAnsiTheme="minorHAnsi" w:cstheme="minorBidi"/>
          <w:spacing w:val="0"/>
          <w:sz w:val="22"/>
          <w:szCs w:val="22"/>
        </w:rPr>
      </w:pPr>
      <w:hyperlink w:anchor="_Toc59007930" w:history="1">
        <w:r w:rsidR="000C6363" w:rsidRPr="00352EEC">
          <w:rPr>
            <w:rStyle w:val="Hyperlink"/>
          </w:rPr>
          <w:t>Spectrum pricing guidelines</w:t>
        </w:r>
        <w:r w:rsidR="000C6363">
          <w:rPr>
            <w:webHidden/>
          </w:rPr>
          <w:tab/>
        </w:r>
        <w:r w:rsidR="000C6363">
          <w:rPr>
            <w:webHidden/>
          </w:rPr>
          <w:fldChar w:fldCharType="begin"/>
        </w:r>
        <w:r w:rsidR="000C6363">
          <w:rPr>
            <w:webHidden/>
          </w:rPr>
          <w:instrText xml:space="preserve"> PAGEREF _Toc59007930 \h </w:instrText>
        </w:r>
        <w:r w:rsidR="000C6363">
          <w:rPr>
            <w:webHidden/>
          </w:rPr>
        </w:r>
        <w:r w:rsidR="000C6363">
          <w:rPr>
            <w:webHidden/>
          </w:rPr>
          <w:fldChar w:fldCharType="separate"/>
        </w:r>
        <w:r w:rsidR="000C6363">
          <w:rPr>
            <w:webHidden/>
          </w:rPr>
          <w:t>11</w:t>
        </w:r>
        <w:r w:rsidR="000C6363">
          <w:rPr>
            <w:webHidden/>
          </w:rPr>
          <w:fldChar w:fldCharType="end"/>
        </w:r>
      </w:hyperlink>
    </w:p>
    <w:p w14:paraId="48C58965" w14:textId="0B0484BF" w:rsidR="000C6363" w:rsidRDefault="007E6547">
      <w:pPr>
        <w:pStyle w:val="TOC2"/>
        <w:rPr>
          <w:rFonts w:asciiTheme="minorHAnsi" w:eastAsiaTheme="minorEastAsia" w:hAnsiTheme="minorHAnsi" w:cstheme="minorBidi"/>
          <w:spacing w:val="0"/>
          <w:sz w:val="22"/>
          <w:szCs w:val="22"/>
        </w:rPr>
      </w:pPr>
      <w:hyperlink w:anchor="_Toc59007931" w:history="1">
        <w:r w:rsidR="000C6363" w:rsidRPr="00352EEC">
          <w:rPr>
            <w:rStyle w:val="Hyperlink"/>
          </w:rPr>
          <w:t>Focus Area 1: Large bandwidth and multiple device requirements</w:t>
        </w:r>
        <w:r w:rsidR="000C6363">
          <w:rPr>
            <w:webHidden/>
          </w:rPr>
          <w:tab/>
        </w:r>
        <w:r w:rsidR="000C6363">
          <w:rPr>
            <w:webHidden/>
          </w:rPr>
          <w:fldChar w:fldCharType="begin"/>
        </w:r>
        <w:r w:rsidR="000C6363">
          <w:rPr>
            <w:webHidden/>
          </w:rPr>
          <w:instrText xml:space="preserve"> PAGEREF _Toc59007931 \h </w:instrText>
        </w:r>
        <w:r w:rsidR="000C6363">
          <w:rPr>
            <w:webHidden/>
          </w:rPr>
        </w:r>
        <w:r w:rsidR="000C6363">
          <w:rPr>
            <w:webHidden/>
          </w:rPr>
          <w:fldChar w:fldCharType="separate"/>
        </w:r>
        <w:r w:rsidR="000C6363">
          <w:rPr>
            <w:webHidden/>
          </w:rPr>
          <w:t>11</w:t>
        </w:r>
        <w:r w:rsidR="000C6363">
          <w:rPr>
            <w:webHidden/>
          </w:rPr>
          <w:fldChar w:fldCharType="end"/>
        </w:r>
      </w:hyperlink>
    </w:p>
    <w:p w14:paraId="5D34D11D" w14:textId="557B2453" w:rsidR="000C6363" w:rsidRDefault="007E6547">
      <w:pPr>
        <w:pStyle w:val="TOC2"/>
        <w:rPr>
          <w:rFonts w:asciiTheme="minorHAnsi" w:eastAsiaTheme="minorEastAsia" w:hAnsiTheme="minorHAnsi" w:cstheme="minorBidi"/>
          <w:spacing w:val="0"/>
          <w:sz w:val="22"/>
          <w:szCs w:val="22"/>
        </w:rPr>
      </w:pPr>
      <w:hyperlink w:anchor="_Toc59007932" w:history="1">
        <w:r w:rsidR="000C6363" w:rsidRPr="00352EEC">
          <w:rPr>
            <w:rStyle w:val="Hyperlink"/>
          </w:rPr>
          <w:t>Focus Area 2: Sharing and low interference potential devices</w:t>
        </w:r>
        <w:r w:rsidR="000C6363">
          <w:rPr>
            <w:webHidden/>
          </w:rPr>
          <w:tab/>
        </w:r>
        <w:r w:rsidR="000C6363">
          <w:rPr>
            <w:webHidden/>
          </w:rPr>
          <w:fldChar w:fldCharType="begin"/>
        </w:r>
        <w:r w:rsidR="000C6363">
          <w:rPr>
            <w:webHidden/>
          </w:rPr>
          <w:instrText xml:space="preserve"> PAGEREF _Toc59007932 \h </w:instrText>
        </w:r>
        <w:r w:rsidR="000C6363">
          <w:rPr>
            <w:webHidden/>
          </w:rPr>
        </w:r>
        <w:r w:rsidR="000C6363">
          <w:rPr>
            <w:webHidden/>
          </w:rPr>
          <w:fldChar w:fldCharType="separate"/>
        </w:r>
        <w:r w:rsidR="000C6363">
          <w:rPr>
            <w:webHidden/>
          </w:rPr>
          <w:t>13</w:t>
        </w:r>
        <w:r w:rsidR="000C6363">
          <w:rPr>
            <w:webHidden/>
          </w:rPr>
          <w:fldChar w:fldCharType="end"/>
        </w:r>
      </w:hyperlink>
    </w:p>
    <w:p w14:paraId="4E47352E" w14:textId="2A8946ED" w:rsidR="000C6363" w:rsidRDefault="007E6547">
      <w:pPr>
        <w:pStyle w:val="TOC2"/>
        <w:rPr>
          <w:rFonts w:asciiTheme="minorHAnsi" w:eastAsiaTheme="minorEastAsia" w:hAnsiTheme="minorHAnsi" w:cstheme="minorBidi"/>
          <w:spacing w:val="0"/>
          <w:sz w:val="22"/>
          <w:szCs w:val="22"/>
        </w:rPr>
      </w:pPr>
      <w:hyperlink w:anchor="_Toc59007933" w:history="1">
        <w:r w:rsidR="000C6363" w:rsidRPr="00352EEC">
          <w:rPr>
            <w:rStyle w:val="Hyperlink"/>
          </w:rPr>
          <w:t>Focus Area 3: Taxes and opportunity cost pricing</w:t>
        </w:r>
        <w:r w:rsidR="000C6363">
          <w:rPr>
            <w:webHidden/>
          </w:rPr>
          <w:tab/>
        </w:r>
        <w:r w:rsidR="000C6363">
          <w:rPr>
            <w:webHidden/>
          </w:rPr>
          <w:fldChar w:fldCharType="begin"/>
        </w:r>
        <w:r w:rsidR="000C6363">
          <w:rPr>
            <w:webHidden/>
          </w:rPr>
          <w:instrText xml:space="preserve"> PAGEREF _Toc59007933 \h </w:instrText>
        </w:r>
        <w:r w:rsidR="000C6363">
          <w:rPr>
            <w:webHidden/>
          </w:rPr>
        </w:r>
        <w:r w:rsidR="000C6363">
          <w:rPr>
            <w:webHidden/>
          </w:rPr>
          <w:fldChar w:fldCharType="separate"/>
        </w:r>
        <w:r w:rsidR="000C6363">
          <w:rPr>
            <w:webHidden/>
          </w:rPr>
          <w:t>14</w:t>
        </w:r>
        <w:r w:rsidR="000C6363">
          <w:rPr>
            <w:webHidden/>
          </w:rPr>
          <w:fldChar w:fldCharType="end"/>
        </w:r>
      </w:hyperlink>
    </w:p>
    <w:p w14:paraId="1CCFF1EA" w14:textId="69FDD30B" w:rsidR="000C6363" w:rsidRDefault="007E6547">
      <w:pPr>
        <w:pStyle w:val="TOC2"/>
        <w:rPr>
          <w:rFonts w:asciiTheme="minorHAnsi" w:eastAsiaTheme="minorEastAsia" w:hAnsiTheme="minorHAnsi" w:cstheme="minorBidi"/>
          <w:spacing w:val="0"/>
          <w:sz w:val="22"/>
          <w:szCs w:val="22"/>
        </w:rPr>
      </w:pPr>
      <w:hyperlink w:anchor="_Toc59007934" w:history="1">
        <w:r w:rsidR="000C6363" w:rsidRPr="00352EEC">
          <w:rPr>
            <w:rStyle w:val="Hyperlink"/>
          </w:rPr>
          <w:t>Focus Area 4: Geographic areas and bands</w:t>
        </w:r>
        <w:r w:rsidR="000C6363">
          <w:rPr>
            <w:webHidden/>
          </w:rPr>
          <w:tab/>
        </w:r>
        <w:r w:rsidR="000C6363">
          <w:rPr>
            <w:webHidden/>
          </w:rPr>
          <w:fldChar w:fldCharType="begin"/>
        </w:r>
        <w:r w:rsidR="000C6363">
          <w:rPr>
            <w:webHidden/>
          </w:rPr>
          <w:instrText xml:space="preserve"> PAGEREF _Toc59007934 \h </w:instrText>
        </w:r>
        <w:r w:rsidR="000C6363">
          <w:rPr>
            <w:webHidden/>
          </w:rPr>
        </w:r>
        <w:r w:rsidR="000C6363">
          <w:rPr>
            <w:webHidden/>
          </w:rPr>
          <w:fldChar w:fldCharType="separate"/>
        </w:r>
        <w:r w:rsidR="000C6363">
          <w:rPr>
            <w:webHidden/>
          </w:rPr>
          <w:t>14</w:t>
        </w:r>
        <w:r w:rsidR="000C6363">
          <w:rPr>
            <w:webHidden/>
          </w:rPr>
          <w:fldChar w:fldCharType="end"/>
        </w:r>
      </w:hyperlink>
    </w:p>
    <w:p w14:paraId="70806D6E" w14:textId="01208C93" w:rsidR="000C6363" w:rsidRDefault="007E6547">
      <w:pPr>
        <w:pStyle w:val="TOC2"/>
        <w:rPr>
          <w:rFonts w:asciiTheme="minorHAnsi" w:eastAsiaTheme="minorEastAsia" w:hAnsiTheme="minorHAnsi" w:cstheme="minorBidi"/>
          <w:spacing w:val="0"/>
          <w:sz w:val="22"/>
          <w:szCs w:val="22"/>
        </w:rPr>
      </w:pPr>
      <w:hyperlink w:anchor="_Toc59007935" w:history="1">
        <w:r w:rsidR="000C6363" w:rsidRPr="00352EEC">
          <w:rPr>
            <w:rStyle w:val="Hyperlink"/>
          </w:rPr>
          <w:t>Focus Area 5: New technologies and trials</w:t>
        </w:r>
        <w:r w:rsidR="000C6363">
          <w:rPr>
            <w:webHidden/>
          </w:rPr>
          <w:tab/>
        </w:r>
        <w:r w:rsidR="000C6363">
          <w:rPr>
            <w:webHidden/>
          </w:rPr>
          <w:fldChar w:fldCharType="begin"/>
        </w:r>
        <w:r w:rsidR="000C6363">
          <w:rPr>
            <w:webHidden/>
          </w:rPr>
          <w:instrText xml:space="preserve"> PAGEREF _Toc59007935 \h </w:instrText>
        </w:r>
        <w:r w:rsidR="000C6363">
          <w:rPr>
            <w:webHidden/>
          </w:rPr>
        </w:r>
        <w:r w:rsidR="000C6363">
          <w:rPr>
            <w:webHidden/>
          </w:rPr>
          <w:fldChar w:fldCharType="separate"/>
        </w:r>
        <w:r w:rsidR="000C6363">
          <w:rPr>
            <w:webHidden/>
          </w:rPr>
          <w:t>15</w:t>
        </w:r>
        <w:r w:rsidR="000C6363">
          <w:rPr>
            <w:webHidden/>
          </w:rPr>
          <w:fldChar w:fldCharType="end"/>
        </w:r>
      </w:hyperlink>
    </w:p>
    <w:p w14:paraId="09F3037C" w14:textId="4D1D1F9B" w:rsidR="000C6363" w:rsidRDefault="007E6547">
      <w:pPr>
        <w:pStyle w:val="TOC2"/>
        <w:rPr>
          <w:rFonts w:asciiTheme="minorHAnsi" w:eastAsiaTheme="minorEastAsia" w:hAnsiTheme="minorHAnsi" w:cstheme="minorBidi"/>
          <w:spacing w:val="0"/>
          <w:sz w:val="22"/>
          <w:szCs w:val="22"/>
        </w:rPr>
      </w:pPr>
      <w:hyperlink w:anchor="_Toc59007936" w:history="1">
        <w:r w:rsidR="000C6363" w:rsidRPr="00352EEC">
          <w:rPr>
            <w:rStyle w:val="Hyperlink"/>
          </w:rPr>
          <w:t>Focus Area 6: Transparency and ease of calculating taxes</w:t>
        </w:r>
        <w:r w:rsidR="000C6363">
          <w:rPr>
            <w:webHidden/>
          </w:rPr>
          <w:tab/>
        </w:r>
        <w:r w:rsidR="000C6363">
          <w:rPr>
            <w:webHidden/>
          </w:rPr>
          <w:fldChar w:fldCharType="begin"/>
        </w:r>
        <w:r w:rsidR="000C6363">
          <w:rPr>
            <w:webHidden/>
          </w:rPr>
          <w:instrText xml:space="preserve"> PAGEREF _Toc59007936 \h </w:instrText>
        </w:r>
        <w:r w:rsidR="000C6363">
          <w:rPr>
            <w:webHidden/>
          </w:rPr>
        </w:r>
        <w:r w:rsidR="000C6363">
          <w:rPr>
            <w:webHidden/>
          </w:rPr>
          <w:fldChar w:fldCharType="separate"/>
        </w:r>
        <w:r w:rsidR="000C6363">
          <w:rPr>
            <w:webHidden/>
          </w:rPr>
          <w:t>15</w:t>
        </w:r>
        <w:r w:rsidR="000C6363">
          <w:rPr>
            <w:webHidden/>
          </w:rPr>
          <w:fldChar w:fldCharType="end"/>
        </w:r>
      </w:hyperlink>
    </w:p>
    <w:p w14:paraId="4AD95C86" w14:textId="46312915" w:rsidR="000C6363" w:rsidRDefault="007E6547">
      <w:pPr>
        <w:pStyle w:val="TOC1"/>
        <w:rPr>
          <w:rFonts w:asciiTheme="minorHAnsi" w:eastAsiaTheme="minorEastAsia" w:hAnsiTheme="minorHAnsi" w:cstheme="minorBidi"/>
          <w:b w:val="0"/>
          <w:spacing w:val="0"/>
          <w:sz w:val="22"/>
          <w:szCs w:val="22"/>
        </w:rPr>
      </w:pPr>
      <w:hyperlink w:anchor="_Toc59007937" w:history="1">
        <w:r w:rsidR="000C6363" w:rsidRPr="00352EEC">
          <w:rPr>
            <w:rStyle w:val="Hyperlink"/>
          </w:rPr>
          <w:t>Recommendations of the Spectrum Pricing Review</w:t>
        </w:r>
        <w:r w:rsidR="000C6363">
          <w:rPr>
            <w:webHidden/>
          </w:rPr>
          <w:tab/>
        </w:r>
        <w:r w:rsidR="000C6363">
          <w:rPr>
            <w:webHidden/>
          </w:rPr>
          <w:fldChar w:fldCharType="begin"/>
        </w:r>
        <w:r w:rsidR="000C6363">
          <w:rPr>
            <w:webHidden/>
          </w:rPr>
          <w:instrText xml:space="preserve"> PAGEREF _Toc59007937 \h </w:instrText>
        </w:r>
        <w:r w:rsidR="000C6363">
          <w:rPr>
            <w:webHidden/>
          </w:rPr>
        </w:r>
        <w:r w:rsidR="000C6363">
          <w:rPr>
            <w:webHidden/>
          </w:rPr>
          <w:fldChar w:fldCharType="separate"/>
        </w:r>
        <w:r w:rsidR="000C6363">
          <w:rPr>
            <w:webHidden/>
          </w:rPr>
          <w:t>16</w:t>
        </w:r>
        <w:r w:rsidR="000C6363">
          <w:rPr>
            <w:webHidden/>
          </w:rPr>
          <w:fldChar w:fldCharType="end"/>
        </w:r>
      </w:hyperlink>
    </w:p>
    <w:p w14:paraId="0FBF6E87" w14:textId="02FB27BF" w:rsidR="000C6363" w:rsidRDefault="007E6547">
      <w:pPr>
        <w:pStyle w:val="TOC2"/>
        <w:rPr>
          <w:rFonts w:asciiTheme="minorHAnsi" w:eastAsiaTheme="minorEastAsia" w:hAnsiTheme="minorHAnsi" w:cstheme="minorBidi"/>
          <w:spacing w:val="0"/>
          <w:sz w:val="22"/>
          <w:szCs w:val="22"/>
        </w:rPr>
      </w:pPr>
      <w:hyperlink w:anchor="_Toc59007938" w:history="1">
        <w:r w:rsidR="000C6363" w:rsidRPr="00352EEC">
          <w:rPr>
            <w:rStyle w:val="Hyperlink"/>
          </w:rPr>
          <w:t>Summary of Spectrum Pricing Review recommendations</w:t>
        </w:r>
        <w:r w:rsidR="000C6363">
          <w:rPr>
            <w:webHidden/>
          </w:rPr>
          <w:tab/>
        </w:r>
        <w:r w:rsidR="000C6363">
          <w:rPr>
            <w:webHidden/>
          </w:rPr>
          <w:fldChar w:fldCharType="begin"/>
        </w:r>
        <w:r w:rsidR="000C6363">
          <w:rPr>
            <w:webHidden/>
          </w:rPr>
          <w:instrText xml:space="preserve"> PAGEREF _Toc59007938 \h </w:instrText>
        </w:r>
        <w:r w:rsidR="000C6363">
          <w:rPr>
            <w:webHidden/>
          </w:rPr>
        </w:r>
        <w:r w:rsidR="000C6363">
          <w:rPr>
            <w:webHidden/>
          </w:rPr>
          <w:fldChar w:fldCharType="separate"/>
        </w:r>
        <w:r w:rsidR="000C6363">
          <w:rPr>
            <w:webHidden/>
          </w:rPr>
          <w:t>16</w:t>
        </w:r>
        <w:r w:rsidR="000C6363">
          <w:rPr>
            <w:webHidden/>
          </w:rPr>
          <w:fldChar w:fldCharType="end"/>
        </w:r>
      </w:hyperlink>
    </w:p>
    <w:p w14:paraId="3DFFEF75" w14:textId="1E599E59" w:rsidR="000C6363" w:rsidRDefault="007E6547">
      <w:pPr>
        <w:pStyle w:val="TOC1"/>
        <w:rPr>
          <w:rFonts w:asciiTheme="minorHAnsi" w:eastAsiaTheme="minorEastAsia" w:hAnsiTheme="minorHAnsi" w:cstheme="minorBidi"/>
          <w:b w:val="0"/>
          <w:spacing w:val="0"/>
          <w:sz w:val="22"/>
          <w:szCs w:val="22"/>
        </w:rPr>
      </w:pPr>
      <w:hyperlink w:anchor="_Toc59007939" w:history="1">
        <w:r w:rsidR="000C6363" w:rsidRPr="00352EEC">
          <w:rPr>
            <w:rStyle w:val="Hyperlink"/>
          </w:rPr>
          <w:t>Spectrum Pricing Guidelines</w:t>
        </w:r>
        <w:r w:rsidR="000C6363">
          <w:rPr>
            <w:webHidden/>
          </w:rPr>
          <w:tab/>
        </w:r>
        <w:r w:rsidR="000C6363">
          <w:rPr>
            <w:webHidden/>
          </w:rPr>
          <w:fldChar w:fldCharType="begin"/>
        </w:r>
        <w:r w:rsidR="000C6363">
          <w:rPr>
            <w:webHidden/>
          </w:rPr>
          <w:instrText xml:space="preserve"> PAGEREF _Toc59007939 \h </w:instrText>
        </w:r>
        <w:r w:rsidR="000C6363">
          <w:rPr>
            <w:webHidden/>
          </w:rPr>
        </w:r>
        <w:r w:rsidR="000C6363">
          <w:rPr>
            <w:webHidden/>
          </w:rPr>
          <w:fldChar w:fldCharType="separate"/>
        </w:r>
        <w:r w:rsidR="000C6363">
          <w:rPr>
            <w:webHidden/>
          </w:rPr>
          <w:t>19</w:t>
        </w:r>
        <w:r w:rsidR="000C6363">
          <w:rPr>
            <w:webHidden/>
          </w:rPr>
          <w:fldChar w:fldCharType="end"/>
        </w:r>
      </w:hyperlink>
    </w:p>
    <w:p w14:paraId="1E92411C" w14:textId="4D94FDFD" w:rsidR="000C6363" w:rsidRDefault="007E6547">
      <w:pPr>
        <w:pStyle w:val="TOC2"/>
        <w:rPr>
          <w:rFonts w:asciiTheme="minorHAnsi" w:eastAsiaTheme="minorEastAsia" w:hAnsiTheme="minorHAnsi" w:cstheme="minorBidi"/>
          <w:spacing w:val="0"/>
          <w:sz w:val="22"/>
          <w:szCs w:val="22"/>
        </w:rPr>
      </w:pPr>
      <w:hyperlink w:anchor="_Toc59007940" w:history="1">
        <w:r w:rsidR="000C6363" w:rsidRPr="00352EEC">
          <w:rPr>
            <w:rStyle w:val="Hyperlink"/>
          </w:rPr>
          <w:t>Spectrum pricing decisions</w:t>
        </w:r>
        <w:r w:rsidR="000C6363">
          <w:rPr>
            <w:webHidden/>
          </w:rPr>
          <w:tab/>
        </w:r>
        <w:r w:rsidR="000C6363">
          <w:rPr>
            <w:webHidden/>
          </w:rPr>
          <w:fldChar w:fldCharType="begin"/>
        </w:r>
        <w:r w:rsidR="000C6363">
          <w:rPr>
            <w:webHidden/>
          </w:rPr>
          <w:instrText xml:space="preserve"> PAGEREF _Toc59007940 \h </w:instrText>
        </w:r>
        <w:r w:rsidR="000C6363">
          <w:rPr>
            <w:webHidden/>
          </w:rPr>
        </w:r>
        <w:r w:rsidR="000C6363">
          <w:rPr>
            <w:webHidden/>
          </w:rPr>
          <w:fldChar w:fldCharType="separate"/>
        </w:r>
        <w:r w:rsidR="000C6363">
          <w:rPr>
            <w:webHidden/>
          </w:rPr>
          <w:t>19</w:t>
        </w:r>
        <w:r w:rsidR="000C6363">
          <w:rPr>
            <w:webHidden/>
          </w:rPr>
          <w:fldChar w:fldCharType="end"/>
        </w:r>
      </w:hyperlink>
    </w:p>
    <w:p w14:paraId="6BD88E56" w14:textId="6CF600E3" w:rsidR="000C6363" w:rsidRDefault="007E6547">
      <w:pPr>
        <w:pStyle w:val="TOC2"/>
        <w:rPr>
          <w:rFonts w:asciiTheme="minorHAnsi" w:eastAsiaTheme="minorEastAsia" w:hAnsiTheme="minorHAnsi" w:cstheme="minorBidi"/>
          <w:spacing w:val="0"/>
          <w:sz w:val="22"/>
          <w:szCs w:val="22"/>
        </w:rPr>
      </w:pPr>
      <w:hyperlink w:anchor="_Toc59007941" w:history="1">
        <w:r w:rsidR="000C6363" w:rsidRPr="00352EEC">
          <w:rPr>
            <w:rStyle w:val="Hyperlink"/>
          </w:rPr>
          <w:t>Guiding principles</w:t>
        </w:r>
        <w:r w:rsidR="000C6363">
          <w:rPr>
            <w:webHidden/>
          </w:rPr>
          <w:tab/>
        </w:r>
        <w:r w:rsidR="000C6363">
          <w:rPr>
            <w:webHidden/>
          </w:rPr>
          <w:fldChar w:fldCharType="begin"/>
        </w:r>
        <w:r w:rsidR="000C6363">
          <w:rPr>
            <w:webHidden/>
          </w:rPr>
          <w:instrText xml:space="preserve"> PAGEREF _Toc59007941 \h </w:instrText>
        </w:r>
        <w:r w:rsidR="000C6363">
          <w:rPr>
            <w:webHidden/>
          </w:rPr>
        </w:r>
        <w:r w:rsidR="000C6363">
          <w:rPr>
            <w:webHidden/>
          </w:rPr>
          <w:fldChar w:fldCharType="separate"/>
        </w:r>
        <w:r w:rsidR="000C6363">
          <w:rPr>
            <w:webHidden/>
          </w:rPr>
          <w:t>19</w:t>
        </w:r>
        <w:r w:rsidR="000C6363">
          <w:rPr>
            <w:webHidden/>
          </w:rPr>
          <w:fldChar w:fldCharType="end"/>
        </w:r>
      </w:hyperlink>
    </w:p>
    <w:p w14:paraId="6DD957CD" w14:textId="206FA96F" w:rsidR="000C6363" w:rsidRDefault="007E6547">
      <w:pPr>
        <w:pStyle w:val="TOC2"/>
        <w:rPr>
          <w:rFonts w:asciiTheme="minorHAnsi" w:eastAsiaTheme="minorEastAsia" w:hAnsiTheme="minorHAnsi" w:cstheme="minorBidi"/>
          <w:spacing w:val="0"/>
          <w:sz w:val="22"/>
          <w:szCs w:val="22"/>
        </w:rPr>
      </w:pPr>
      <w:hyperlink w:anchor="_Toc59007942" w:history="1">
        <w:r w:rsidR="000C6363" w:rsidRPr="00352EEC">
          <w:rPr>
            <w:rStyle w:val="Hyperlink"/>
          </w:rPr>
          <w:t>When will the ACMA consider changing prices?</w:t>
        </w:r>
        <w:r w:rsidR="000C6363">
          <w:rPr>
            <w:webHidden/>
          </w:rPr>
          <w:tab/>
        </w:r>
        <w:r w:rsidR="000C6363">
          <w:rPr>
            <w:webHidden/>
          </w:rPr>
          <w:fldChar w:fldCharType="begin"/>
        </w:r>
        <w:r w:rsidR="000C6363">
          <w:rPr>
            <w:webHidden/>
          </w:rPr>
          <w:instrText xml:space="preserve"> PAGEREF _Toc59007942 \h </w:instrText>
        </w:r>
        <w:r w:rsidR="000C6363">
          <w:rPr>
            <w:webHidden/>
          </w:rPr>
        </w:r>
        <w:r w:rsidR="000C6363">
          <w:rPr>
            <w:webHidden/>
          </w:rPr>
          <w:fldChar w:fldCharType="separate"/>
        </w:r>
        <w:r w:rsidR="000C6363">
          <w:rPr>
            <w:webHidden/>
          </w:rPr>
          <w:t>21</w:t>
        </w:r>
        <w:r w:rsidR="000C6363">
          <w:rPr>
            <w:webHidden/>
          </w:rPr>
          <w:fldChar w:fldCharType="end"/>
        </w:r>
      </w:hyperlink>
    </w:p>
    <w:p w14:paraId="460A364E" w14:textId="01122BA5" w:rsidR="000C6363" w:rsidRDefault="007E6547">
      <w:pPr>
        <w:pStyle w:val="TOC2"/>
        <w:rPr>
          <w:rFonts w:asciiTheme="minorHAnsi" w:eastAsiaTheme="minorEastAsia" w:hAnsiTheme="minorHAnsi" w:cstheme="minorBidi"/>
          <w:spacing w:val="0"/>
          <w:sz w:val="22"/>
          <w:szCs w:val="22"/>
        </w:rPr>
      </w:pPr>
      <w:hyperlink w:anchor="_Toc59007943" w:history="1">
        <w:r w:rsidR="000C6363" w:rsidRPr="00352EEC">
          <w:rPr>
            <w:rStyle w:val="Hyperlink"/>
          </w:rPr>
          <w:t>Practical considerations</w:t>
        </w:r>
        <w:r w:rsidR="000C6363">
          <w:rPr>
            <w:webHidden/>
          </w:rPr>
          <w:tab/>
        </w:r>
        <w:r w:rsidR="000C6363">
          <w:rPr>
            <w:webHidden/>
          </w:rPr>
          <w:fldChar w:fldCharType="begin"/>
        </w:r>
        <w:r w:rsidR="000C6363">
          <w:rPr>
            <w:webHidden/>
          </w:rPr>
          <w:instrText xml:space="preserve"> PAGEREF _Toc59007943 \h </w:instrText>
        </w:r>
        <w:r w:rsidR="000C6363">
          <w:rPr>
            <w:webHidden/>
          </w:rPr>
        </w:r>
        <w:r w:rsidR="000C6363">
          <w:rPr>
            <w:webHidden/>
          </w:rPr>
          <w:fldChar w:fldCharType="separate"/>
        </w:r>
        <w:r w:rsidR="000C6363">
          <w:rPr>
            <w:webHidden/>
          </w:rPr>
          <w:t>21</w:t>
        </w:r>
        <w:r w:rsidR="000C6363">
          <w:rPr>
            <w:webHidden/>
          </w:rPr>
          <w:fldChar w:fldCharType="end"/>
        </w:r>
      </w:hyperlink>
    </w:p>
    <w:p w14:paraId="10D2184B" w14:textId="38105D38" w:rsidR="000C6363" w:rsidRDefault="007E6547">
      <w:pPr>
        <w:pStyle w:val="TOC1"/>
        <w:rPr>
          <w:rFonts w:asciiTheme="minorHAnsi" w:eastAsiaTheme="minorEastAsia" w:hAnsiTheme="minorHAnsi" w:cstheme="minorBidi"/>
          <w:b w:val="0"/>
          <w:spacing w:val="0"/>
          <w:sz w:val="22"/>
          <w:szCs w:val="22"/>
        </w:rPr>
      </w:pPr>
      <w:hyperlink w:anchor="_Toc59007944" w:history="1">
        <w:r w:rsidR="000C6363" w:rsidRPr="00352EEC">
          <w:rPr>
            <w:rStyle w:val="Hyperlink"/>
          </w:rPr>
          <w:t>Work program</w:t>
        </w:r>
        <w:r w:rsidR="000C6363">
          <w:rPr>
            <w:webHidden/>
          </w:rPr>
          <w:tab/>
        </w:r>
        <w:r w:rsidR="000C6363">
          <w:rPr>
            <w:webHidden/>
          </w:rPr>
          <w:fldChar w:fldCharType="begin"/>
        </w:r>
        <w:r w:rsidR="000C6363">
          <w:rPr>
            <w:webHidden/>
          </w:rPr>
          <w:instrText xml:space="preserve"> PAGEREF _Toc59007944 \h </w:instrText>
        </w:r>
        <w:r w:rsidR="000C6363">
          <w:rPr>
            <w:webHidden/>
          </w:rPr>
        </w:r>
        <w:r w:rsidR="000C6363">
          <w:rPr>
            <w:webHidden/>
          </w:rPr>
          <w:fldChar w:fldCharType="separate"/>
        </w:r>
        <w:r w:rsidR="000C6363">
          <w:rPr>
            <w:webHidden/>
          </w:rPr>
          <w:t>22</w:t>
        </w:r>
        <w:r w:rsidR="000C6363">
          <w:rPr>
            <w:webHidden/>
          </w:rPr>
          <w:fldChar w:fldCharType="end"/>
        </w:r>
      </w:hyperlink>
    </w:p>
    <w:p w14:paraId="66FAB36F" w14:textId="1E215E5B" w:rsidR="000C6363" w:rsidRDefault="007E6547">
      <w:pPr>
        <w:pStyle w:val="TOC1"/>
        <w:rPr>
          <w:rFonts w:asciiTheme="minorHAnsi" w:eastAsiaTheme="minorEastAsia" w:hAnsiTheme="minorHAnsi" w:cstheme="minorBidi"/>
          <w:b w:val="0"/>
          <w:spacing w:val="0"/>
          <w:sz w:val="22"/>
          <w:szCs w:val="22"/>
        </w:rPr>
      </w:pPr>
      <w:hyperlink w:anchor="_Toc59007945" w:history="1">
        <w:r w:rsidR="000C6363" w:rsidRPr="00352EEC">
          <w:rPr>
            <w:rStyle w:val="Hyperlink"/>
          </w:rPr>
          <w:t>Issues for comment</w:t>
        </w:r>
        <w:r w:rsidR="000C6363">
          <w:rPr>
            <w:webHidden/>
          </w:rPr>
          <w:tab/>
        </w:r>
        <w:r w:rsidR="000C6363">
          <w:rPr>
            <w:webHidden/>
          </w:rPr>
          <w:fldChar w:fldCharType="begin"/>
        </w:r>
        <w:r w:rsidR="000C6363">
          <w:rPr>
            <w:webHidden/>
          </w:rPr>
          <w:instrText xml:space="preserve"> PAGEREF _Toc59007945 \h </w:instrText>
        </w:r>
        <w:r w:rsidR="000C6363">
          <w:rPr>
            <w:webHidden/>
          </w:rPr>
        </w:r>
        <w:r w:rsidR="000C6363">
          <w:rPr>
            <w:webHidden/>
          </w:rPr>
          <w:fldChar w:fldCharType="separate"/>
        </w:r>
        <w:r w:rsidR="000C6363">
          <w:rPr>
            <w:webHidden/>
          </w:rPr>
          <w:t>25</w:t>
        </w:r>
        <w:r w:rsidR="000C6363">
          <w:rPr>
            <w:webHidden/>
          </w:rPr>
          <w:fldChar w:fldCharType="end"/>
        </w:r>
      </w:hyperlink>
    </w:p>
    <w:p w14:paraId="3AC2A063" w14:textId="164C4BF5" w:rsidR="000C6363" w:rsidRDefault="007E6547">
      <w:pPr>
        <w:pStyle w:val="TOC1"/>
        <w:rPr>
          <w:rFonts w:asciiTheme="minorHAnsi" w:eastAsiaTheme="minorEastAsia" w:hAnsiTheme="minorHAnsi" w:cstheme="minorBidi"/>
          <w:b w:val="0"/>
          <w:spacing w:val="0"/>
          <w:sz w:val="22"/>
          <w:szCs w:val="22"/>
        </w:rPr>
      </w:pPr>
      <w:hyperlink w:anchor="_Toc59007946" w:history="1">
        <w:r w:rsidR="000C6363" w:rsidRPr="00352EEC">
          <w:rPr>
            <w:rStyle w:val="Hyperlink"/>
          </w:rPr>
          <w:t>Invitation to comment</w:t>
        </w:r>
        <w:r w:rsidR="000C6363">
          <w:rPr>
            <w:webHidden/>
          </w:rPr>
          <w:tab/>
        </w:r>
        <w:r w:rsidR="000C6363">
          <w:rPr>
            <w:webHidden/>
          </w:rPr>
          <w:fldChar w:fldCharType="begin"/>
        </w:r>
        <w:r w:rsidR="000C6363">
          <w:rPr>
            <w:webHidden/>
          </w:rPr>
          <w:instrText xml:space="preserve"> PAGEREF _Toc59007946 \h </w:instrText>
        </w:r>
        <w:r w:rsidR="000C6363">
          <w:rPr>
            <w:webHidden/>
          </w:rPr>
        </w:r>
        <w:r w:rsidR="000C6363">
          <w:rPr>
            <w:webHidden/>
          </w:rPr>
          <w:fldChar w:fldCharType="separate"/>
        </w:r>
        <w:r w:rsidR="000C6363">
          <w:rPr>
            <w:webHidden/>
          </w:rPr>
          <w:t>26</w:t>
        </w:r>
        <w:r w:rsidR="000C6363">
          <w:rPr>
            <w:webHidden/>
          </w:rPr>
          <w:fldChar w:fldCharType="end"/>
        </w:r>
      </w:hyperlink>
    </w:p>
    <w:p w14:paraId="578FC17E" w14:textId="5104F842" w:rsidR="000C6363" w:rsidRDefault="007E6547">
      <w:pPr>
        <w:pStyle w:val="TOC2"/>
        <w:rPr>
          <w:rFonts w:asciiTheme="minorHAnsi" w:eastAsiaTheme="minorEastAsia" w:hAnsiTheme="minorHAnsi" w:cstheme="minorBidi"/>
          <w:spacing w:val="0"/>
          <w:sz w:val="22"/>
          <w:szCs w:val="22"/>
        </w:rPr>
      </w:pPr>
      <w:hyperlink w:anchor="_Toc59007947" w:history="1">
        <w:r w:rsidR="000C6363" w:rsidRPr="00352EEC">
          <w:rPr>
            <w:rStyle w:val="Hyperlink"/>
          </w:rPr>
          <w:t>Making a submission</w:t>
        </w:r>
        <w:r w:rsidR="000C6363">
          <w:rPr>
            <w:webHidden/>
          </w:rPr>
          <w:tab/>
        </w:r>
        <w:r w:rsidR="000C6363">
          <w:rPr>
            <w:webHidden/>
          </w:rPr>
          <w:fldChar w:fldCharType="begin"/>
        </w:r>
        <w:r w:rsidR="000C6363">
          <w:rPr>
            <w:webHidden/>
          </w:rPr>
          <w:instrText xml:space="preserve"> PAGEREF _Toc59007947 \h </w:instrText>
        </w:r>
        <w:r w:rsidR="000C6363">
          <w:rPr>
            <w:webHidden/>
          </w:rPr>
        </w:r>
        <w:r w:rsidR="000C6363">
          <w:rPr>
            <w:webHidden/>
          </w:rPr>
          <w:fldChar w:fldCharType="separate"/>
        </w:r>
        <w:r w:rsidR="000C6363">
          <w:rPr>
            <w:webHidden/>
          </w:rPr>
          <w:t>26</w:t>
        </w:r>
        <w:r w:rsidR="000C6363">
          <w:rPr>
            <w:webHidden/>
          </w:rPr>
          <w:fldChar w:fldCharType="end"/>
        </w:r>
      </w:hyperlink>
    </w:p>
    <w:p w14:paraId="40FEDC36" w14:textId="6059A62D" w:rsidR="000C6363" w:rsidRDefault="000C6363">
      <w:pPr>
        <w:pStyle w:val="TOC1"/>
        <w:rPr>
          <w:rFonts w:asciiTheme="minorHAnsi" w:eastAsiaTheme="minorEastAsia" w:hAnsiTheme="minorHAnsi" w:cstheme="minorBidi"/>
          <w:b w:val="0"/>
          <w:spacing w:val="0"/>
          <w:sz w:val="22"/>
          <w:szCs w:val="22"/>
        </w:rPr>
      </w:pPr>
      <w:r>
        <w:rPr>
          <w:rStyle w:val="Hyperlink"/>
        </w:rPr>
        <w:br/>
      </w:r>
      <w:r>
        <w:rPr>
          <w:rStyle w:val="Hyperlink"/>
        </w:rPr>
        <w:br/>
      </w:r>
      <w:hyperlink w:anchor="_Toc59007948" w:history="1">
        <w:r w:rsidRPr="00352EEC">
          <w:rPr>
            <w:rStyle w:val="Hyperlink"/>
          </w:rPr>
          <w:t>Appendix A: Process for deriving the new location weightings</w:t>
        </w:r>
        <w:r>
          <w:rPr>
            <w:webHidden/>
          </w:rPr>
          <w:tab/>
        </w:r>
        <w:r>
          <w:rPr>
            <w:webHidden/>
          </w:rPr>
          <w:fldChar w:fldCharType="begin"/>
        </w:r>
        <w:r>
          <w:rPr>
            <w:webHidden/>
          </w:rPr>
          <w:instrText xml:space="preserve"> PAGEREF _Toc59007948 \h </w:instrText>
        </w:r>
        <w:r>
          <w:rPr>
            <w:webHidden/>
          </w:rPr>
        </w:r>
        <w:r>
          <w:rPr>
            <w:webHidden/>
          </w:rPr>
          <w:fldChar w:fldCharType="separate"/>
        </w:r>
        <w:r>
          <w:rPr>
            <w:webHidden/>
          </w:rPr>
          <w:t>27</w:t>
        </w:r>
        <w:r>
          <w:rPr>
            <w:webHidden/>
          </w:rPr>
          <w:fldChar w:fldCharType="end"/>
        </w:r>
      </w:hyperlink>
    </w:p>
    <w:p w14:paraId="0C52CA81" w14:textId="30E97EEE" w:rsidR="000C6363" w:rsidRDefault="007E6547">
      <w:pPr>
        <w:pStyle w:val="TOC1"/>
        <w:rPr>
          <w:rFonts w:asciiTheme="minorHAnsi" w:eastAsiaTheme="minorEastAsia" w:hAnsiTheme="minorHAnsi" w:cstheme="minorBidi"/>
          <w:b w:val="0"/>
          <w:spacing w:val="0"/>
          <w:sz w:val="22"/>
          <w:szCs w:val="22"/>
        </w:rPr>
      </w:pPr>
      <w:hyperlink w:anchor="_Toc59007949" w:history="1">
        <w:r w:rsidR="000C6363" w:rsidRPr="00352EEC">
          <w:rPr>
            <w:rStyle w:val="Hyperlink"/>
          </w:rPr>
          <w:t>Appendix B: Micro service pricing and a systems approach to earth stations</w:t>
        </w:r>
        <w:r w:rsidR="000C6363">
          <w:rPr>
            <w:webHidden/>
          </w:rPr>
          <w:tab/>
        </w:r>
        <w:r w:rsidR="000C6363">
          <w:rPr>
            <w:webHidden/>
          </w:rPr>
          <w:fldChar w:fldCharType="begin"/>
        </w:r>
        <w:r w:rsidR="000C6363">
          <w:rPr>
            <w:webHidden/>
          </w:rPr>
          <w:instrText xml:space="preserve"> PAGEREF _Toc59007949 \h </w:instrText>
        </w:r>
        <w:r w:rsidR="000C6363">
          <w:rPr>
            <w:webHidden/>
          </w:rPr>
        </w:r>
        <w:r w:rsidR="000C6363">
          <w:rPr>
            <w:webHidden/>
          </w:rPr>
          <w:fldChar w:fldCharType="separate"/>
        </w:r>
        <w:r w:rsidR="000C6363">
          <w:rPr>
            <w:webHidden/>
          </w:rPr>
          <w:t>29</w:t>
        </w:r>
        <w:r w:rsidR="000C6363">
          <w:rPr>
            <w:webHidden/>
          </w:rPr>
          <w:fldChar w:fldCharType="end"/>
        </w:r>
      </w:hyperlink>
    </w:p>
    <w:p w14:paraId="5F2F63E5" w14:textId="274823E1" w:rsidR="000C6363" w:rsidRDefault="007E6547">
      <w:pPr>
        <w:pStyle w:val="TOC1"/>
        <w:rPr>
          <w:rFonts w:asciiTheme="minorHAnsi" w:eastAsiaTheme="minorEastAsia" w:hAnsiTheme="minorHAnsi" w:cstheme="minorBidi"/>
          <w:b w:val="0"/>
          <w:spacing w:val="0"/>
          <w:sz w:val="22"/>
          <w:szCs w:val="22"/>
        </w:rPr>
      </w:pPr>
      <w:hyperlink w:anchor="_Toc59007950" w:history="1">
        <w:r w:rsidR="000C6363" w:rsidRPr="00352EEC">
          <w:rPr>
            <w:rStyle w:val="Hyperlink"/>
          </w:rPr>
          <w:t>Appendix C: Proposed apparatus licence tax rates</w:t>
        </w:r>
        <w:r w:rsidR="000C6363">
          <w:rPr>
            <w:webHidden/>
          </w:rPr>
          <w:tab/>
        </w:r>
        <w:r w:rsidR="000C6363">
          <w:rPr>
            <w:webHidden/>
          </w:rPr>
          <w:fldChar w:fldCharType="begin"/>
        </w:r>
        <w:r w:rsidR="000C6363">
          <w:rPr>
            <w:webHidden/>
          </w:rPr>
          <w:instrText xml:space="preserve"> PAGEREF _Toc59007950 \h </w:instrText>
        </w:r>
        <w:r w:rsidR="000C6363">
          <w:rPr>
            <w:webHidden/>
          </w:rPr>
        </w:r>
        <w:r w:rsidR="000C6363">
          <w:rPr>
            <w:webHidden/>
          </w:rPr>
          <w:fldChar w:fldCharType="separate"/>
        </w:r>
        <w:r w:rsidR="000C6363">
          <w:rPr>
            <w:webHidden/>
          </w:rPr>
          <w:t>31</w:t>
        </w:r>
        <w:r w:rsidR="000C6363">
          <w:rPr>
            <w:webHidden/>
          </w:rPr>
          <w:fldChar w:fldCharType="end"/>
        </w:r>
      </w:hyperlink>
    </w:p>
    <w:p w14:paraId="38182866" w14:textId="77E1A065" w:rsidR="000C6363" w:rsidRDefault="007E6547">
      <w:pPr>
        <w:pStyle w:val="TOC2"/>
        <w:rPr>
          <w:rFonts w:asciiTheme="minorHAnsi" w:eastAsiaTheme="minorEastAsia" w:hAnsiTheme="minorHAnsi" w:cstheme="minorBidi"/>
          <w:spacing w:val="0"/>
          <w:sz w:val="22"/>
          <w:szCs w:val="22"/>
        </w:rPr>
      </w:pPr>
      <w:hyperlink w:anchor="_Toc59007951" w:history="1">
        <w:r w:rsidR="000C6363" w:rsidRPr="00352EEC">
          <w:rPr>
            <w:rStyle w:val="Hyperlink"/>
          </w:rPr>
          <w:t>Proposed changes</w:t>
        </w:r>
        <w:r w:rsidR="000C6363">
          <w:rPr>
            <w:webHidden/>
          </w:rPr>
          <w:tab/>
        </w:r>
        <w:r w:rsidR="000C6363">
          <w:rPr>
            <w:webHidden/>
          </w:rPr>
          <w:fldChar w:fldCharType="begin"/>
        </w:r>
        <w:r w:rsidR="000C6363">
          <w:rPr>
            <w:webHidden/>
          </w:rPr>
          <w:instrText xml:space="preserve"> PAGEREF _Toc59007951 \h </w:instrText>
        </w:r>
        <w:r w:rsidR="000C6363">
          <w:rPr>
            <w:webHidden/>
          </w:rPr>
        </w:r>
        <w:r w:rsidR="000C6363">
          <w:rPr>
            <w:webHidden/>
          </w:rPr>
          <w:fldChar w:fldCharType="separate"/>
        </w:r>
        <w:r w:rsidR="000C6363">
          <w:rPr>
            <w:webHidden/>
          </w:rPr>
          <w:t>31</w:t>
        </w:r>
        <w:r w:rsidR="000C6363">
          <w:rPr>
            <w:webHidden/>
          </w:rPr>
          <w:fldChar w:fldCharType="end"/>
        </w:r>
      </w:hyperlink>
    </w:p>
    <w:p w14:paraId="11D2B397" w14:textId="2F2E1105" w:rsidR="000C6363" w:rsidRDefault="007E6547">
      <w:pPr>
        <w:pStyle w:val="TOC2"/>
        <w:rPr>
          <w:rFonts w:asciiTheme="minorHAnsi" w:eastAsiaTheme="minorEastAsia" w:hAnsiTheme="minorHAnsi" w:cstheme="minorBidi"/>
          <w:spacing w:val="0"/>
          <w:sz w:val="22"/>
          <w:szCs w:val="22"/>
        </w:rPr>
      </w:pPr>
      <w:hyperlink w:anchor="_Toc59007952" w:history="1">
        <w:r w:rsidR="000C6363" w:rsidRPr="00352EEC">
          <w:rPr>
            <w:rStyle w:val="Hyperlink"/>
          </w:rPr>
          <w:t>Effect on licence taxes</w:t>
        </w:r>
        <w:r w:rsidR="000C6363">
          <w:rPr>
            <w:webHidden/>
          </w:rPr>
          <w:tab/>
        </w:r>
        <w:r w:rsidR="000C6363">
          <w:rPr>
            <w:webHidden/>
          </w:rPr>
          <w:fldChar w:fldCharType="begin"/>
        </w:r>
        <w:r w:rsidR="000C6363">
          <w:rPr>
            <w:webHidden/>
          </w:rPr>
          <w:instrText xml:space="preserve"> PAGEREF _Toc59007952 \h </w:instrText>
        </w:r>
        <w:r w:rsidR="000C6363">
          <w:rPr>
            <w:webHidden/>
          </w:rPr>
        </w:r>
        <w:r w:rsidR="000C6363">
          <w:rPr>
            <w:webHidden/>
          </w:rPr>
          <w:fldChar w:fldCharType="separate"/>
        </w:r>
        <w:r w:rsidR="000C6363">
          <w:rPr>
            <w:webHidden/>
          </w:rPr>
          <w:t>32</w:t>
        </w:r>
        <w:r w:rsidR="000C6363">
          <w:rPr>
            <w:webHidden/>
          </w:rPr>
          <w:fldChar w:fldCharType="end"/>
        </w:r>
      </w:hyperlink>
    </w:p>
    <w:p w14:paraId="0F976AAB" w14:textId="5B4055DC" w:rsidR="004D56FF" w:rsidRPr="00046DA5" w:rsidRDefault="005871A9">
      <w:pPr>
        <w:rPr>
          <w:rFonts w:cs="Arial"/>
        </w:rPr>
        <w:sectPr w:rsidR="004D56FF" w:rsidRPr="00046DA5"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046DA5">
        <w:rPr>
          <w:rFonts w:cs="Arial"/>
          <w:b/>
        </w:rPr>
        <w:fldChar w:fldCharType="end"/>
      </w:r>
    </w:p>
    <w:p w14:paraId="0FCB91A4" w14:textId="77777777" w:rsidR="009A2BEA" w:rsidRPr="00046DA5" w:rsidRDefault="009A2BEA" w:rsidP="00350F1F">
      <w:pPr>
        <w:pStyle w:val="Heading1"/>
      </w:pPr>
      <w:bookmarkStart w:id="0" w:name="_Toc59007924"/>
      <w:r w:rsidRPr="00046DA5">
        <w:t xml:space="preserve">Executive </w:t>
      </w:r>
      <w:r>
        <w:t>s</w:t>
      </w:r>
      <w:r w:rsidRPr="00046DA5">
        <w:t>ummary</w:t>
      </w:r>
      <w:bookmarkEnd w:id="0"/>
    </w:p>
    <w:p w14:paraId="0F9F08D0" w14:textId="522A8769" w:rsidR="009A2BEA" w:rsidRPr="00DB5502" w:rsidRDefault="009A2BEA" w:rsidP="00C4356E">
      <w:pPr>
        <w:pStyle w:val="Paragraph"/>
      </w:pPr>
      <w:r w:rsidRPr="00046DA5">
        <w:t>In February 2018, the Australian Government endorsed the recommendations of the</w:t>
      </w:r>
      <w:r w:rsidR="00E8702E">
        <w:t xml:space="preserve"> </w:t>
      </w:r>
      <w:hyperlink r:id="rId24" w:history="1">
        <w:r w:rsidR="00E8702E">
          <w:rPr>
            <w:rStyle w:val="Hyperlink"/>
          </w:rPr>
          <w:t>Spectrum Pricing Review</w:t>
        </w:r>
      </w:hyperlink>
      <w:r w:rsidRPr="00046DA5">
        <w:t xml:space="preserve">. </w:t>
      </w:r>
      <w:r w:rsidRPr="00F36669">
        <w:t>In March 2020</w:t>
      </w:r>
      <w:r>
        <w:t>,</w:t>
      </w:r>
      <w:r w:rsidRPr="00F36669">
        <w:t xml:space="preserve"> the </w:t>
      </w:r>
      <w:r w:rsidR="00093EE0" w:rsidRPr="00046DA5">
        <w:t>Australian Communications and Media Authority</w:t>
      </w:r>
      <w:r w:rsidR="00093EE0" w:rsidRPr="00F36669">
        <w:t xml:space="preserve"> </w:t>
      </w:r>
      <w:r w:rsidR="00093EE0">
        <w:t>(</w:t>
      </w:r>
      <w:r w:rsidRPr="00F36669">
        <w:t>ACMA</w:t>
      </w:r>
      <w:r w:rsidR="00093EE0">
        <w:t>)</w:t>
      </w:r>
      <w:r w:rsidRPr="00F36669">
        <w:t xml:space="preserve"> commenced its consultation on the </w:t>
      </w:r>
      <w:r w:rsidR="00B23929">
        <w:t>i</w:t>
      </w:r>
      <w:r w:rsidR="00B23929" w:rsidRPr="00F36669">
        <w:t xml:space="preserve">mplementation </w:t>
      </w:r>
      <w:r w:rsidRPr="00F36669">
        <w:t>of the Spectrum Pricing Review</w:t>
      </w:r>
      <w:r>
        <w:t xml:space="preserve"> with the release of a </w:t>
      </w:r>
      <w:hyperlink r:id="rId25" w:history="1">
        <w:r w:rsidRPr="009C2D57">
          <w:rPr>
            <w:rStyle w:val="Hyperlink"/>
          </w:rPr>
          <w:t xml:space="preserve">consultation </w:t>
        </w:r>
        <w:r w:rsidRPr="3E1C64D6">
          <w:rPr>
            <w:rStyle w:val="Hyperlink"/>
          </w:rPr>
          <w:t>paper</w:t>
        </w:r>
      </w:hyperlink>
      <w:r w:rsidRPr="00F36669">
        <w:t>.</w:t>
      </w:r>
      <w:r>
        <w:t xml:space="preserve"> </w:t>
      </w:r>
      <w:r w:rsidRPr="004673C0">
        <w:t xml:space="preserve">The original closing date </w:t>
      </w:r>
      <w:r>
        <w:t xml:space="preserve">for submissions </w:t>
      </w:r>
      <w:r w:rsidRPr="004673C0">
        <w:t xml:space="preserve">of 15 April 2020 </w:t>
      </w:r>
      <w:r>
        <w:t>was</w:t>
      </w:r>
      <w:r w:rsidRPr="004673C0">
        <w:t xml:space="preserve"> extended to </w:t>
      </w:r>
      <w:r>
        <w:t>30</w:t>
      </w:r>
      <w:r w:rsidR="00A73788">
        <w:t> </w:t>
      </w:r>
      <w:r>
        <w:t xml:space="preserve">June 2020 to </w:t>
      </w:r>
      <w:r w:rsidRPr="004673C0">
        <w:t>allow industry sectors to prioritise their business-critical functions during the COVID-</w:t>
      </w:r>
      <w:r>
        <w:t>19 pandemic.</w:t>
      </w:r>
      <w:r w:rsidR="00B5779C">
        <w:t xml:space="preserve"> We thank all submitters for their contribution to the </w:t>
      </w:r>
      <w:r w:rsidR="00C029C9">
        <w:t>consultation process.</w:t>
      </w:r>
    </w:p>
    <w:p w14:paraId="22731595" w14:textId="2FAEDABE" w:rsidR="009A2BEA" w:rsidRPr="00046DA5" w:rsidRDefault="00083DB0" w:rsidP="00C4356E">
      <w:pPr>
        <w:pStyle w:val="Paragraphbeforelist"/>
      </w:pPr>
      <w:r>
        <w:t>T</w:t>
      </w:r>
      <w:r w:rsidR="009A2BEA">
        <w:t xml:space="preserve">his </w:t>
      </w:r>
      <w:r w:rsidR="005E72C5">
        <w:t>paper</w:t>
      </w:r>
      <w:r w:rsidR="009A2BEA">
        <w:t xml:space="preserve"> focus</w:t>
      </w:r>
      <w:r w:rsidR="00093EE0">
        <w:t>es</w:t>
      </w:r>
      <w:r w:rsidR="009A2BEA">
        <w:t xml:space="preserve"> on the ACMA’s responses to </w:t>
      </w:r>
      <w:r w:rsidR="00261318">
        <w:t>the submissions</w:t>
      </w:r>
      <w:r w:rsidR="009A2BEA">
        <w:t xml:space="preserve"> and subsequent proposals for implement</w:t>
      </w:r>
      <w:r w:rsidR="002A77A0">
        <w:t xml:space="preserve">ing a </w:t>
      </w:r>
      <w:r w:rsidR="009A2BEA">
        <w:t>work program. T</w:t>
      </w:r>
      <w:r w:rsidR="009A2BEA" w:rsidRPr="00046DA5">
        <w:t xml:space="preserve">his </w:t>
      </w:r>
      <w:r w:rsidR="00093EE0">
        <w:t>new consultation outlines</w:t>
      </w:r>
      <w:r w:rsidR="009A2BEA" w:rsidRPr="00046DA5">
        <w:t xml:space="preserve"> the implementation of </w:t>
      </w:r>
      <w:r w:rsidR="00093EE0">
        <w:t>3</w:t>
      </w:r>
      <w:r w:rsidR="00093EE0" w:rsidRPr="00046DA5">
        <w:t xml:space="preserve"> </w:t>
      </w:r>
      <w:r w:rsidR="009A2BEA" w:rsidRPr="00046DA5">
        <w:t xml:space="preserve">of the </w:t>
      </w:r>
      <w:r w:rsidR="00093EE0">
        <w:t>11</w:t>
      </w:r>
      <w:r w:rsidR="00093EE0" w:rsidRPr="00046DA5">
        <w:t xml:space="preserve"> </w:t>
      </w:r>
      <w:r w:rsidR="009A2BEA" w:rsidRPr="00046DA5">
        <w:t>recommendations relevant to the ACMA</w:t>
      </w:r>
      <w:r w:rsidR="00093EE0">
        <w:t>’s</w:t>
      </w:r>
      <w:r w:rsidR="009A2BEA" w:rsidRPr="00046DA5">
        <w:t xml:space="preserve"> spectrum management responsibilities</w:t>
      </w:r>
      <w:r w:rsidR="000055BF">
        <w:t xml:space="preserve"> </w:t>
      </w:r>
      <w:r w:rsidR="00093EE0">
        <w:t xml:space="preserve">with </w:t>
      </w:r>
      <w:r w:rsidR="000055BF">
        <w:t xml:space="preserve">pricing arrangements for licences issued under the </w:t>
      </w:r>
      <w:r w:rsidR="000055BF" w:rsidRPr="00AF2488">
        <w:rPr>
          <w:i/>
          <w:iCs/>
        </w:rPr>
        <w:t>Radiocommunications Act 1992</w:t>
      </w:r>
      <w:r w:rsidR="000055BF">
        <w:t xml:space="preserve"> (the Act)</w:t>
      </w:r>
      <w:r w:rsidR="009A2BEA" w:rsidRPr="00046DA5">
        <w:t>:</w:t>
      </w:r>
    </w:p>
    <w:p w14:paraId="340FB80A" w14:textId="77777777" w:rsidR="009A2BEA" w:rsidRPr="00046DA5" w:rsidRDefault="009A2BEA" w:rsidP="009A2BEA">
      <w:pPr>
        <w:pStyle w:val="ListBullet"/>
      </w:pPr>
      <w:r w:rsidRPr="7991D590">
        <w:rPr>
          <w:b/>
          <w:bCs/>
        </w:rPr>
        <w:t>Recommendation 1</w:t>
      </w:r>
      <w:r>
        <w:t>: The ACMA should publish guidelines on how it approaches its spectrum pricing decisions.</w:t>
      </w:r>
    </w:p>
    <w:p w14:paraId="5A143957" w14:textId="22C29294" w:rsidR="009A2BEA" w:rsidRPr="00046DA5" w:rsidRDefault="009A2BEA" w:rsidP="009A2BEA">
      <w:pPr>
        <w:pStyle w:val="ListBullet"/>
      </w:pPr>
      <w:r w:rsidRPr="7991D590">
        <w:rPr>
          <w:b/>
          <w:bCs/>
        </w:rPr>
        <w:t>Recommendation 7</w:t>
      </w:r>
      <w:r>
        <w:t xml:space="preserve">: 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w:t>
      </w:r>
      <w:proofErr w:type="gramStart"/>
      <w:r>
        <w:t>demography</w:t>
      </w:r>
      <w:proofErr w:type="gramEnd"/>
      <w:r>
        <w:t xml:space="preserve"> and demand.</w:t>
      </w:r>
    </w:p>
    <w:p w14:paraId="54E8930C" w14:textId="1D7DFA87" w:rsidR="009A2BEA" w:rsidRPr="00046DA5" w:rsidRDefault="009A2BEA" w:rsidP="009A2BEA">
      <w:pPr>
        <w:pStyle w:val="ListBulletLast"/>
      </w:pPr>
      <w:r w:rsidRPr="7991D590">
        <w:rPr>
          <w:b/>
          <w:bCs/>
        </w:rPr>
        <w:t>Recommendation 8</w:t>
      </w:r>
      <w:r>
        <w:t>: 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14:paraId="20902260" w14:textId="4C814DBD" w:rsidR="00281C80" w:rsidRPr="00D6729A" w:rsidRDefault="009A2BEA" w:rsidP="00D6729A">
      <w:r w:rsidRPr="00046DA5">
        <w:t xml:space="preserve">These </w:t>
      </w:r>
      <w:r w:rsidR="00610CE2">
        <w:t>3</w:t>
      </w:r>
      <w:r w:rsidR="00610CE2" w:rsidRPr="00046DA5">
        <w:t xml:space="preserve"> </w:t>
      </w:r>
      <w:r w:rsidRPr="00046DA5">
        <w:t xml:space="preserve">recommendations are most relevant to the ACMA’s approach to administrative pricing for apparatus licence taxes. The guidelines mentioned under Recommendation 1 </w:t>
      </w:r>
      <w:r w:rsidR="004658A2">
        <w:t xml:space="preserve">can </w:t>
      </w:r>
      <w:r w:rsidRPr="00046DA5">
        <w:t xml:space="preserve">also apply to administrative pricing aspects of the ACMA’s </w:t>
      </w:r>
      <w:r w:rsidR="001B6033">
        <w:t xml:space="preserve">approach to </w:t>
      </w:r>
      <w:r w:rsidR="00B1344F">
        <w:t>radiocommunications</w:t>
      </w:r>
      <w:r w:rsidR="00A651EE">
        <w:t xml:space="preserve"> </w:t>
      </w:r>
      <w:r w:rsidR="001B6033">
        <w:t>licen</w:t>
      </w:r>
      <w:r w:rsidR="00A651EE">
        <w:t>sing</w:t>
      </w:r>
      <w:r w:rsidR="00D777C3">
        <w:t xml:space="preserve">, including </w:t>
      </w:r>
      <w:r w:rsidR="00281C80">
        <w:t>the spectrum licence tax.</w:t>
      </w:r>
      <w:r w:rsidR="00281C80" w:rsidRPr="00D6729A">
        <w:rPr>
          <w:vertAlign w:val="superscript"/>
        </w:rPr>
        <w:footnoteReference w:id="2"/>
      </w:r>
      <w:r w:rsidR="00281C80" w:rsidRPr="00D6729A">
        <w:t xml:space="preserve"> </w:t>
      </w:r>
    </w:p>
    <w:p w14:paraId="3F0CAC13" w14:textId="76116954" w:rsidR="009A2BEA" w:rsidRPr="000660E4" w:rsidRDefault="009A2BEA" w:rsidP="008F101A">
      <w:pPr>
        <w:pStyle w:val="Paragraphbeforelist"/>
      </w:pPr>
      <w:r>
        <w:t xml:space="preserve">This </w:t>
      </w:r>
      <w:r w:rsidR="005E72C5">
        <w:t>response to submissions paper</w:t>
      </w:r>
      <w:r>
        <w:t xml:space="preserve"> address</w:t>
      </w:r>
      <w:r w:rsidR="00690794">
        <w:t>es</w:t>
      </w:r>
      <w:r>
        <w:t xml:space="preserve"> </w:t>
      </w:r>
      <w:r w:rsidR="00690794">
        <w:t>Recommendation </w:t>
      </w:r>
      <w:r>
        <w:t xml:space="preserve">1 by outlining the </w:t>
      </w:r>
      <w:r w:rsidR="00077DC6">
        <w:t xml:space="preserve">ACMA’s </w:t>
      </w:r>
      <w:r>
        <w:t>spectrum pricing guidelines</w:t>
      </w:r>
      <w:r w:rsidR="00077DC6">
        <w:t>, amended</w:t>
      </w:r>
      <w:r>
        <w:t xml:space="preserve"> after consideration of issues raised by submitters in the consultation process. In addition, Recommendations 7 and 8</w:t>
      </w:r>
      <w:r w:rsidR="00F7434A">
        <w:t xml:space="preserve"> are</w:t>
      </w:r>
      <w:r w:rsidR="00E10808">
        <w:t xml:space="preserve"> being implemented</w:t>
      </w:r>
      <w:r w:rsidR="00E20780">
        <w:t xml:space="preserve">, as outlined </w:t>
      </w:r>
      <w:r w:rsidR="00A53619">
        <w:t xml:space="preserve">in </w:t>
      </w:r>
      <w:r w:rsidR="001B1FCD">
        <w:t>the</w:t>
      </w:r>
      <w:r w:rsidR="00610CE2">
        <w:t xml:space="preserve"> </w:t>
      </w:r>
      <w:hyperlink w:anchor="_Work_Program" w:history="1">
        <w:r w:rsidR="00610CE2" w:rsidRPr="00610CE2">
          <w:rPr>
            <w:rStyle w:val="Hyperlink"/>
          </w:rPr>
          <w:t>work program</w:t>
        </w:r>
      </w:hyperlink>
      <w:r w:rsidR="00843FC1" w:rsidRPr="000660E4">
        <w:t>,</w:t>
      </w:r>
      <w:r w:rsidR="00A53619" w:rsidRPr="000660E4">
        <w:t xml:space="preserve"> </w:t>
      </w:r>
      <w:r w:rsidR="00A26911" w:rsidRPr="000660E4">
        <w:t>which</w:t>
      </w:r>
      <w:r w:rsidR="001B1FCD" w:rsidRPr="000660E4">
        <w:t xml:space="preserve"> </w:t>
      </w:r>
      <w:r w:rsidRPr="000660E4">
        <w:t>includ</w:t>
      </w:r>
      <w:r w:rsidR="00284490" w:rsidRPr="000660E4">
        <w:t>es</w:t>
      </w:r>
      <w:r w:rsidRPr="000660E4">
        <w:t>:</w:t>
      </w:r>
    </w:p>
    <w:p w14:paraId="20E4626C" w14:textId="11969A51" w:rsidR="00284490" w:rsidRPr="000660E4" w:rsidRDefault="00284490" w:rsidP="000660E4">
      <w:pPr>
        <w:pStyle w:val="Bulletlevel1"/>
      </w:pPr>
      <w:r w:rsidRPr="000660E4">
        <w:t>Initial proposals</w:t>
      </w:r>
      <w:r w:rsidR="006E6D18" w:rsidRPr="000660E4">
        <w:t xml:space="preserve"> that address a number of focus areas consulted on</w:t>
      </w:r>
      <w:r w:rsidR="00610CE2">
        <w:t>, including</w:t>
      </w:r>
      <w:r w:rsidR="00390C4F" w:rsidRPr="000660E4">
        <w:t>:</w:t>
      </w:r>
    </w:p>
    <w:p w14:paraId="7471DA83" w14:textId="53FB5E24" w:rsidR="00326245" w:rsidRPr="000660E4" w:rsidRDefault="00326245" w:rsidP="000660E4">
      <w:pPr>
        <w:pStyle w:val="Bulletlevel2"/>
      </w:pPr>
      <w:r w:rsidRPr="000660E4">
        <w:t xml:space="preserve">A reduction in taxes </w:t>
      </w:r>
      <w:r w:rsidR="00922B23">
        <w:t xml:space="preserve">based on the tax formula </w:t>
      </w:r>
      <w:r w:rsidRPr="000660E4">
        <w:t>for services above 5 GHz</w:t>
      </w:r>
      <w:r w:rsidR="00434E92">
        <w:t>, ran</w:t>
      </w:r>
      <w:r w:rsidR="007254EE">
        <w:t>ging from 25</w:t>
      </w:r>
      <w:r w:rsidR="007F07C0">
        <w:t>%</w:t>
      </w:r>
      <w:r w:rsidR="007254EE">
        <w:t xml:space="preserve"> to 90</w:t>
      </w:r>
      <w:r w:rsidR="00B31817">
        <w:t>%</w:t>
      </w:r>
      <w:r w:rsidR="00346E21">
        <w:t xml:space="preserve"> and</w:t>
      </w:r>
      <w:r w:rsidR="009A52A8">
        <w:t xml:space="preserve"> </w:t>
      </w:r>
      <w:r w:rsidR="007254EE">
        <w:t>depending on the frequency range</w:t>
      </w:r>
      <w:r w:rsidR="0057045F">
        <w:t xml:space="preserve"> and the service</w:t>
      </w:r>
      <w:r w:rsidR="00610CE2">
        <w:t>.</w:t>
      </w:r>
      <w:r w:rsidRPr="000660E4">
        <w:t xml:space="preserve"> This is likely to benefit fixed service providers, the space industry and companies looking to provide innovative services in higher frequency ranges.</w:t>
      </w:r>
    </w:p>
    <w:p w14:paraId="4ED8CEC5" w14:textId="6D577446" w:rsidR="00326245" w:rsidRPr="000660E4" w:rsidRDefault="00326245" w:rsidP="000660E4">
      <w:pPr>
        <w:pStyle w:val="Bulletlevel2"/>
      </w:pPr>
      <w:r w:rsidRPr="000660E4">
        <w:t>Introducing a ‘systems price’ for earth stations with multiple antennas</w:t>
      </w:r>
      <w:r w:rsidR="00801EB1">
        <w:t>,</w:t>
      </w:r>
      <w:r w:rsidRPr="000660E4">
        <w:t xml:space="preserve"> with prices more commensurate with the spectrum denial of those systems. This will benefit the space sector.</w:t>
      </w:r>
    </w:p>
    <w:p w14:paraId="6E814D15" w14:textId="4F14A288" w:rsidR="00326245" w:rsidRPr="000660E4" w:rsidRDefault="00326245" w:rsidP="000660E4">
      <w:pPr>
        <w:pStyle w:val="Bulletlevel2"/>
      </w:pPr>
      <w:r w:rsidRPr="000660E4">
        <w:t>Introduction of an additional price discount to encourage more use of the land-mobile ‘micro’ service model. This will benefit the land mobile sector.</w:t>
      </w:r>
    </w:p>
    <w:p w14:paraId="643238C8" w14:textId="22C06C6C" w:rsidR="009A2BEA" w:rsidRPr="000660E4" w:rsidRDefault="005B58BF" w:rsidP="000660E4">
      <w:pPr>
        <w:pStyle w:val="Bulletlevel1"/>
      </w:pPr>
      <w:r>
        <w:t>T</w:t>
      </w:r>
      <w:r w:rsidR="009A2BEA" w:rsidRPr="000660E4">
        <w:t xml:space="preserve">he further analysis that will be required </w:t>
      </w:r>
      <w:r w:rsidR="00390C4F" w:rsidRPr="000660E4">
        <w:t xml:space="preserve">before </w:t>
      </w:r>
      <w:r w:rsidR="009A2BEA" w:rsidRPr="000660E4">
        <w:t>propos</w:t>
      </w:r>
      <w:r w:rsidR="00390C4F" w:rsidRPr="000660E4">
        <w:t>ing</w:t>
      </w:r>
      <w:r w:rsidR="009A2BEA" w:rsidRPr="000660E4">
        <w:t xml:space="preserve"> new tax</w:t>
      </w:r>
      <w:r w:rsidR="00247CC0">
        <w:t xml:space="preserve"> rat</w:t>
      </w:r>
      <w:r w:rsidR="009A2BEA" w:rsidRPr="000660E4">
        <w:t>es</w:t>
      </w:r>
      <w:r>
        <w:t xml:space="preserve">. </w:t>
      </w:r>
    </w:p>
    <w:p w14:paraId="75B92F5D" w14:textId="4B0C3D35" w:rsidR="009A2BEA" w:rsidRPr="000660E4" w:rsidRDefault="005B58BF" w:rsidP="008F101A">
      <w:pPr>
        <w:pStyle w:val="Bulletlevel1last"/>
      </w:pPr>
      <w:r>
        <w:t>T</w:t>
      </w:r>
      <w:r w:rsidR="009A2BEA" w:rsidRPr="000660E4">
        <w:t>he consultation processes required to consider any proposed new tax</w:t>
      </w:r>
      <w:r w:rsidR="00091880">
        <w:t xml:space="preserve"> rat</w:t>
      </w:r>
      <w:r w:rsidR="009A2BEA" w:rsidRPr="000660E4">
        <w:t>es, and the timing of those consultation processes.</w:t>
      </w:r>
      <w:r w:rsidR="0047434B">
        <w:t xml:space="preserve"> </w:t>
      </w:r>
    </w:p>
    <w:p w14:paraId="5C5AF367" w14:textId="1EB905B5" w:rsidR="009A2BEA" w:rsidRDefault="009A2BEA" w:rsidP="009A2BEA">
      <w:pPr>
        <w:spacing w:after="80"/>
      </w:pPr>
      <w:r w:rsidRPr="00046DA5">
        <w:t xml:space="preserve">This work program will also be included in the future editions of the </w:t>
      </w:r>
      <w:r w:rsidR="005B58BF">
        <w:t>f</w:t>
      </w:r>
      <w:r w:rsidR="00D5625D">
        <w:t>ive</w:t>
      </w:r>
      <w:r w:rsidR="005B58BF">
        <w:t>-y</w:t>
      </w:r>
      <w:r w:rsidR="00D5625D">
        <w:t xml:space="preserve">ear </w:t>
      </w:r>
      <w:r w:rsidR="005B58BF">
        <w:t>s</w:t>
      </w:r>
      <w:r w:rsidR="00D5625D">
        <w:t xml:space="preserve">pectrum </w:t>
      </w:r>
      <w:r w:rsidR="005B58BF">
        <w:t>o</w:t>
      </w:r>
      <w:r w:rsidR="00D5625D">
        <w:t>utlook</w:t>
      </w:r>
      <w:r w:rsidR="005B58BF">
        <w:t xml:space="preserve"> </w:t>
      </w:r>
      <w:hyperlink r:id="rId26" w:history="1">
        <w:r w:rsidR="005B58BF" w:rsidRPr="005B58BF">
          <w:rPr>
            <w:rStyle w:val="Hyperlink"/>
          </w:rPr>
          <w:t>(FYSO)</w:t>
        </w:r>
      </w:hyperlink>
      <w:r w:rsidR="00D5625D">
        <w:t xml:space="preserve"> </w:t>
      </w:r>
      <w:r w:rsidRPr="00046DA5">
        <w:t>to enable stakeholders to monitor the progress of its implementation and provide further comment.</w:t>
      </w:r>
    </w:p>
    <w:p w14:paraId="25D59C2A" w14:textId="5977F38B" w:rsidR="00AD2337" w:rsidRPr="00046DA5" w:rsidRDefault="00AD2337" w:rsidP="00350F1F">
      <w:pPr>
        <w:pStyle w:val="Heading1"/>
      </w:pPr>
      <w:bookmarkStart w:id="1" w:name="_Toc59007925"/>
      <w:bookmarkStart w:id="2" w:name="_Toc525132230"/>
      <w:bookmarkStart w:id="3" w:name="_Toc521585768"/>
      <w:bookmarkStart w:id="4" w:name="_Toc519765102"/>
      <w:bookmarkStart w:id="5" w:name="_Ref498436813"/>
      <w:bookmarkStart w:id="6" w:name="_Ref498078173"/>
      <w:bookmarkStart w:id="7" w:name="_Toc468705310"/>
      <w:bookmarkStart w:id="8" w:name="_Toc468438955"/>
      <w:bookmarkStart w:id="9" w:name="_Toc466017060"/>
      <w:bookmarkStart w:id="10" w:name="_Ref461109606"/>
      <w:bookmarkStart w:id="11" w:name="_Toc457809930"/>
      <w:bookmarkStart w:id="12" w:name="_Toc6923095"/>
      <w:r>
        <w:t xml:space="preserve">Response to </w:t>
      </w:r>
      <w:r w:rsidR="00B6210D">
        <w:t>submissions</w:t>
      </w:r>
      <w:bookmarkEnd w:id="1"/>
    </w:p>
    <w:p w14:paraId="0ED4BD9E" w14:textId="4DE07E67" w:rsidR="00AD2337" w:rsidRDefault="00AD2337" w:rsidP="00AD2337">
      <w:pPr>
        <w:pStyle w:val="Paragraph"/>
      </w:pPr>
      <w:r w:rsidRPr="001317F9">
        <w:t>The ACMA received 30 submissions from various industry sectors</w:t>
      </w:r>
      <w:r w:rsidR="005B58BF">
        <w:t>,</w:t>
      </w:r>
      <w:r w:rsidRPr="001317F9">
        <w:t xml:space="preserve"> including the satellite industry, government bodies, mobile network operators, broadcasters and narrowcasters, and other interested parties.</w:t>
      </w:r>
    </w:p>
    <w:p w14:paraId="127B1F62" w14:textId="385E1507" w:rsidR="00AD2337" w:rsidRPr="001317F9" w:rsidRDefault="00AB4858" w:rsidP="00AD2337">
      <w:pPr>
        <w:pStyle w:val="Paragraph"/>
      </w:pPr>
      <w:r>
        <w:t>T</w:t>
      </w:r>
      <w:r w:rsidR="00AD2337">
        <w:t xml:space="preserve">he initial consultation paper invited </w:t>
      </w:r>
      <w:r w:rsidR="00AD3F6A">
        <w:t xml:space="preserve">comment </w:t>
      </w:r>
      <w:r w:rsidR="00AD2337">
        <w:t xml:space="preserve">on </w:t>
      </w:r>
      <w:r w:rsidR="005B58BF">
        <w:t xml:space="preserve">16 </w:t>
      </w:r>
      <w:r w:rsidR="00AD2337">
        <w:t xml:space="preserve">questions set across broad </w:t>
      </w:r>
      <w:r w:rsidR="00AD3F6A">
        <w:t xml:space="preserve">pricing </w:t>
      </w:r>
      <w:r w:rsidR="00AD2337">
        <w:t>themes</w:t>
      </w:r>
      <w:r w:rsidR="004B2C90">
        <w:t xml:space="preserve"> and focus areas</w:t>
      </w:r>
      <w:r w:rsidR="00AD2337">
        <w:t xml:space="preserve">. </w:t>
      </w:r>
      <w:r w:rsidR="00B4664D">
        <w:t>T</w:t>
      </w:r>
      <w:r w:rsidR="00575FC5">
        <w:t xml:space="preserve">he ACMA </w:t>
      </w:r>
      <w:r w:rsidR="002D1D7F">
        <w:t xml:space="preserve">has considered the </w:t>
      </w:r>
      <w:r w:rsidR="00A5208D">
        <w:t xml:space="preserve">information provided in submissions and is responding </w:t>
      </w:r>
      <w:r w:rsidR="000D4539">
        <w:t>to</w:t>
      </w:r>
      <w:r w:rsidR="00A5208D">
        <w:t xml:space="preserve"> </w:t>
      </w:r>
      <w:r w:rsidR="002D5A28">
        <w:t xml:space="preserve">the major themes </w:t>
      </w:r>
      <w:r w:rsidR="00A5208D">
        <w:t xml:space="preserve">raised </w:t>
      </w:r>
      <w:r w:rsidR="002D5A28">
        <w:t xml:space="preserve">and </w:t>
      </w:r>
      <w:r w:rsidR="00A5208D">
        <w:t xml:space="preserve">comments provided on the </w:t>
      </w:r>
      <w:r w:rsidR="002D5A28">
        <w:t xml:space="preserve">focus areas. </w:t>
      </w:r>
    </w:p>
    <w:p w14:paraId="2B0AC07A" w14:textId="5372DD16" w:rsidR="00AD2337" w:rsidRPr="00EE5A0B" w:rsidRDefault="00AD2337" w:rsidP="005E78B9">
      <w:pPr>
        <w:pStyle w:val="Heading2"/>
      </w:pPr>
      <w:bookmarkStart w:id="13" w:name="_Toc59007926"/>
      <w:r>
        <w:t>The role of the ACMA</w:t>
      </w:r>
      <w:r w:rsidR="005E78B9">
        <w:t xml:space="preserve"> in implemen</w:t>
      </w:r>
      <w:r w:rsidR="004B726A">
        <w:t>ting the Spectrum Pricing Review</w:t>
      </w:r>
      <w:bookmarkEnd w:id="13"/>
    </w:p>
    <w:p w14:paraId="28EC52EE" w14:textId="0742ACE8" w:rsidR="00D12904" w:rsidRDefault="00AD2337" w:rsidP="003B38A5">
      <w:pPr>
        <w:pStyle w:val="Paragraph"/>
      </w:pPr>
      <w:r w:rsidRPr="009B0141">
        <w:t xml:space="preserve">Of the submitters who </w:t>
      </w:r>
      <w:r w:rsidR="004F09BD">
        <w:t>commented on the ACMA’s role</w:t>
      </w:r>
      <w:r w:rsidRPr="009B0141">
        <w:t xml:space="preserve">, all were of the view that </w:t>
      </w:r>
      <w:r w:rsidR="005B58BF">
        <w:t>we are w</w:t>
      </w:r>
      <w:r w:rsidRPr="009B0141">
        <w:t xml:space="preserve">ell placed to implement the </w:t>
      </w:r>
      <w:r w:rsidR="000E058E">
        <w:t xml:space="preserve">relevant </w:t>
      </w:r>
      <w:r w:rsidRPr="009B0141">
        <w:t xml:space="preserve">recommendations of the </w:t>
      </w:r>
      <w:r w:rsidR="005B58BF">
        <w:t>S</w:t>
      </w:r>
      <w:r w:rsidRPr="009B0141">
        <w:t xml:space="preserve">pectrum </w:t>
      </w:r>
      <w:r w:rsidR="005B58BF">
        <w:t>P</w:t>
      </w:r>
      <w:r w:rsidRPr="009B0141">
        <w:t xml:space="preserve">ricing </w:t>
      </w:r>
      <w:r w:rsidR="005B58BF">
        <w:t>R</w:t>
      </w:r>
      <w:r w:rsidRPr="009B0141">
        <w:t>eview. No submitters raised any issues with the suitability of the ACMA in implementing these recommendations.</w:t>
      </w:r>
      <w:r w:rsidR="009B0141" w:rsidRPr="009B0141">
        <w:t xml:space="preserve"> </w:t>
      </w:r>
    </w:p>
    <w:p w14:paraId="5220866D" w14:textId="4D86C011" w:rsidR="003A031D" w:rsidRPr="0073227C" w:rsidRDefault="003A031D" w:rsidP="003A031D">
      <w:pPr>
        <w:spacing w:after="80"/>
        <w:rPr>
          <w:bCs/>
        </w:rPr>
      </w:pPr>
      <w:r w:rsidRPr="0073227C">
        <w:rPr>
          <w:bCs/>
        </w:rPr>
        <w:t>The</w:t>
      </w:r>
      <w:r w:rsidR="00FF0A0F">
        <w:rPr>
          <w:bCs/>
        </w:rPr>
        <w:t>re was interest in</w:t>
      </w:r>
      <w:r w:rsidRPr="0073227C">
        <w:rPr>
          <w:bCs/>
        </w:rPr>
        <w:t xml:space="preserve"> </w:t>
      </w:r>
      <w:r w:rsidR="00FF0A0F">
        <w:rPr>
          <w:bCs/>
        </w:rPr>
        <w:t xml:space="preserve">the </w:t>
      </w:r>
      <w:r w:rsidRPr="0073227C">
        <w:rPr>
          <w:bCs/>
        </w:rPr>
        <w:t xml:space="preserve">ACMA </w:t>
      </w:r>
      <w:r w:rsidR="00FF0A0F">
        <w:rPr>
          <w:bCs/>
        </w:rPr>
        <w:t>playing</w:t>
      </w:r>
      <w:r w:rsidRPr="0073227C">
        <w:rPr>
          <w:bCs/>
        </w:rPr>
        <w:t xml:space="preserve"> a more active role in supporting and </w:t>
      </w:r>
      <w:r w:rsidR="004A2EA3">
        <w:rPr>
          <w:bCs/>
        </w:rPr>
        <w:t xml:space="preserve">providing incentives for </w:t>
      </w:r>
      <w:r w:rsidRPr="0073227C">
        <w:rPr>
          <w:bCs/>
        </w:rPr>
        <w:t xml:space="preserve">space industry companies to compete in the Australian market. </w:t>
      </w:r>
    </w:p>
    <w:p w14:paraId="6500A99B" w14:textId="77777777" w:rsidR="00C0259D" w:rsidRDefault="00C0259D" w:rsidP="00C0259D">
      <w:pPr>
        <w:pStyle w:val="Heading4"/>
      </w:pPr>
      <w:r w:rsidRPr="004D4977">
        <w:t>Response to submitters</w:t>
      </w:r>
    </w:p>
    <w:p w14:paraId="3648EF24" w14:textId="020EA53D" w:rsidR="00AD2337" w:rsidRPr="00D072BD" w:rsidRDefault="00AD2337" w:rsidP="00AD2337">
      <w:pPr>
        <w:spacing w:after="80"/>
        <w:rPr>
          <w:iCs/>
        </w:rPr>
      </w:pPr>
      <w:r w:rsidRPr="00D072BD">
        <w:rPr>
          <w:iCs/>
        </w:rPr>
        <w:t xml:space="preserve">The ACMA </w:t>
      </w:r>
      <w:r>
        <w:rPr>
          <w:iCs/>
        </w:rPr>
        <w:t>looks forward to continued engagement with stakeholders on issues of spectrum pricing.</w:t>
      </w:r>
      <w:r w:rsidR="00BD5FE4">
        <w:rPr>
          <w:iCs/>
        </w:rPr>
        <w:t xml:space="preserve"> We </w:t>
      </w:r>
      <w:r w:rsidR="00134F5B">
        <w:rPr>
          <w:iCs/>
        </w:rPr>
        <w:t xml:space="preserve">will </w:t>
      </w:r>
      <w:r w:rsidR="00BD5FE4">
        <w:rPr>
          <w:iCs/>
        </w:rPr>
        <w:t xml:space="preserve">work closely with industry and </w:t>
      </w:r>
      <w:r w:rsidR="004C3632">
        <w:rPr>
          <w:iCs/>
        </w:rPr>
        <w:t>government to support innovation</w:t>
      </w:r>
      <w:r w:rsidR="00216C36">
        <w:rPr>
          <w:iCs/>
        </w:rPr>
        <w:t xml:space="preserve"> in all services</w:t>
      </w:r>
      <w:r w:rsidR="001D0640">
        <w:rPr>
          <w:iCs/>
        </w:rPr>
        <w:t xml:space="preserve"> </w:t>
      </w:r>
      <w:r w:rsidR="0033429B">
        <w:rPr>
          <w:iCs/>
        </w:rPr>
        <w:t xml:space="preserve">using spectrum </w:t>
      </w:r>
      <w:r w:rsidR="004E0AD1">
        <w:rPr>
          <w:iCs/>
        </w:rPr>
        <w:t>for their communications</w:t>
      </w:r>
      <w:r w:rsidR="00216C36">
        <w:rPr>
          <w:iCs/>
        </w:rPr>
        <w:t>.</w:t>
      </w:r>
    </w:p>
    <w:p w14:paraId="33667EBD" w14:textId="0699ACF1" w:rsidR="00AD2337" w:rsidRPr="00A54828" w:rsidRDefault="00550373" w:rsidP="00A81A81">
      <w:pPr>
        <w:pStyle w:val="Heading2"/>
      </w:pPr>
      <w:bookmarkStart w:id="14" w:name="_Toc59007927"/>
      <w:r>
        <w:t>S</w:t>
      </w:r>
      <w:r w:rsidR="00AD2337" w:rsidRPr="00C22C16">
        <w:t>pectrum</w:t>
      </w:r>
      <w:r>
        <w:t xml:space="preserve"> used </w:t>
      </w:r>
      <w:r w:rsidR="00C11C58">
        <w:t xml:space="preserve">for </w:t>
      </w:r>
      <w:r w:rsidR="005B58BF">
        <w:t xml:space="preserve">the </w:t>
      </w:r>
      <w:r w:rsidR="00C11C58">
        <w:t>public good</w:t>
      </w:r>
      <w:bookmarkEnd w:id="14"/>
    </w:p>
    <w:p w14:paraId="0AFA5CB1" w14:textId="508C4B87" w:rsidR="00AD2337" w:rsidRDefault="00AD2337" w:rsidP="00035644">
      <w:pPr>
        <w:pStyle w:val="Paragraph"/>
      </w:pPr>
      <w:r>
        <w:t xml:space="preserve">A wide range of stakeholders put forward the view that spectrum pricing and allocation should better reflect the use of spectrum </w:t>
      </w:r>
      <w:r w:rsidR="00CD5AEC">
        <w:t xml:space="preserve">for the public good </w:t>
      </w:r>
      <w:r>
        <w:t xml:space="preserve">and </w:t>
      </w:r>
      <w:r w:rsidR="000E058E">
        <w:t xml:space="preserve">the </w:t>
      </w:r>
      <w:r>
        <w:t xml:space="preserve">positive externalities provided. Submitters also proposed that the ACMA should be explicit in how these issues are addressed. </w:t>
      </w:r>
    </w:p>
    <w:p w14:paraId="41C29C30" w14:textId="13E6F0AF" w:rsidR="00AD2337" w:rsidRDefault="00AD2337" w:rsidP="00035644">
      <w:pPr>
        <w:pStyle w:val="Paragraph"/>
      </w:pPr>
      <w:r>
        <w:t xml:space="preserve">Several government bodies and associated corporations contended that </w:t>
      </w:r>
      <w:r w:rsidR="00CD5AEC">
        <w:t xml:space="preserve">use for the </w:t>
      </w:r>
      <w:r>
        <w:t xml:space="preserve">public good should not be put in direct competition with commercial applications, </w:t>
      </w:r>
      <w:r w:rsidR="00351EBD">
        <w:t xml:space="preserve">and </w:t>
      </w:r>
      <w:r>
        <w:t>that any assessment of highest</w:t>
      </w:r>
      <w:r w:rsidR="00CD5AEC">
        <w:t>-</w:t>
      </w:r>
      <w:r>
        <w:t xml:space="preserve">value use </w:t>
      </w:r>
      <w:r w:rsidR="00351EBD">
        <w:t xml:space="preserve">of spectrum </w:t>
      </w:r>
      <w:r w:rsidR="00134F5B">
        <w:t xml:space="preserve">should </w:t>
      </w:r>
      <w:r>
        <w:t xml:space="preserve">consider the public good. Submitters also noted that in some instances they had no control over which bands they used given international harmonisation. Examples of use </w:t>
      </w:r>
      <w:r w:rsidR="00CD5AEC">
        <w:t xml:space="preserve">for the public good </w:t>
      </w:r>
      <w:r>
        <w:t>raised by submitters included for weather forecasting, national security, servicing loss-making areas, and scientific purposes.</w:t>
      </w:r>
    </w:p>
    <w:p w14:paraId="2A8E2A24" w14:textId="4E364CFD" w:rsidR="00661044" w:rsidRDefault="00AD2337" w:rsidP="00AD2337">
      <w:pPr>
        <w:spacing w:after="80"/>
        <w:rPr>
          <w:bCs/>
        </w:rPr>
      </w:pPr>
      <w:r>
        <w:rPr>
          <w:bCs/>
        </w:rPr>
        <w:t>Other commercial interests also made submissions on similar grounds</w:t>
      </w:r>
      <w:r w:rsidR="00CD5AEC">
        <w:rPr>
          <w:bCs/>
        </w:rPr>
        <w:t>,</w:t>
      </w:r>
      <w:r>
        <w:rPr>
          <w:bCs/>
        </w:rPr>
        <w:t xml:space="preserve"> with one example </w:t>
      </w:r>
      <w:r w:rsidR="00B93867">
        <w:rPr>
          <w:bCs/>
        </w:rPr>
        <w:t>arguing</w:t>
      </w:r>
      <w:r w:rsidR="00661044">
        <w:rPr>
          <w:bCs/>
        </w:rPr>
        <w:t xml:space="preserve"> that </w:t>
      </w:r>
      <w:r>
        <w:rPr>
          <w:bCs/>
        </w:rPr>
        <w:t>broadcasters’ licen</w:t>
      </w:r>
      <w:r w:rsidR="00351EBD">
        <w:rPr>
          <w:bCs/>
        </w:rPr>
        <w:t>c</w:t>
      </w:r>
      <w:r>
        <w:rPr>
          <w:bCs/>
        </w:rPr>
        <w:t>es should be subject to an administrative cost framework and not opportunity cost pricing</w:t>
      </w:r>
      <w:r w:rsidR="00661044">
        <w:rPr>
          <w:bCs/>
        </w:rPr>
        <w:t xml:space="preserve"> because there are positive externalities arising from broadcasting activity.</w:t>
      </w:r>
    </w:p>
    <w:p w14:paraId="3CC10CB4" w14:textId="77777777" w:rsidR="00794B2D" w:rsidRDefault="00794B2D" w:rsidP="00794B2D">
      <w:pPr>
        <w:pStyle w:val="Heading4"/>
      </w:pPr>
      <w:r w:rsidRPr="004D4977">
        <w:t>Response to submitters</w:t>
      </w:r>
    </w:p>
    <w:p w14:paraId="60D805C6" w14:textId="661BBF71" w:rsidR="00154472" w:rsidRDefault="001E23BD">
      <w:pPr>
        <w:pStyle w:val="Paragraph"/>
      </w:pPr>
      <w:r>
        <w:t>S</w:t>
      </w:r>
      <w:r w:rsidR="00CE143C" w:rsidRPr="00046DA5">
        <w:t xml:space="preserve">pectrum pricing, along with licensing, planning and technical regulation, </w:t>
      </w:r>
      <w:r w:rsidR="009E7732">
        <w:t>is</w:t>
      </w:r>
      <w:r w:rsidR="00CE143C" w:rsidRPr="00046DA5">
        <w:t xml:space="preserve"> a tool to manage spectrum efficiently and effectively for the benefit of all Australians.</w:t>
      </w:r>
      <w:r w:rsidR="003C7BB5">
        <w:t xml:space="preserve"> </w:t>
      </w:r>
      <w:r w:rsidR="00892559">
        <w:t xml:space="preserve">There </w:t>
      </w:r>
      <w:r w:rsidR="00FA017C">
        <w:t>is</w:t>
      </w:r>
      <w:r w:rsidR="00892559">
        <w:t xml:space="preserve"> a range of spectrum prices to </w:t>
      </w:r>
      <w:r w:rsidR="000326CD">
        <w:t xml:space="preserve">accommodate </w:t>
      </w:r>
      <w:r w:rsidR="008506BA">
        <w:t xml:space="preserve">the </w:t>
      </w:r>
      <w:r w:rsidR="000326CD">
        <w:t>different</w:t>
      </w:r>
      <w:r w:rsidR="008506BA">
        <w:t xml:space="preserve"> uses of spectrum</w:t>
      </w:r>
      <w:r w:rsidR="00445D31">
        <w:t>.</w:t>
      </w:r>
    </w:p>
    <w:p w14:paraId="7F46286D" w14:textId="2201C332" w:rsidR="00CE143C" w:rsidRPr="00046DA5" w:rsidRDefault="003B4B07" w:rsidP="00CE143C">
      <w:pPr>
        <w:pStyle w:val="Paragraph"/>
      </w:pPr>
      <w:r>
        <w:t>Approaches lik</w:t>
      </w:r>
      <w:r w:rsidR="00E33210">
        <w:t xml:space="preserve">e opportunity cost pricing </w:t>
      </w:r>
      <w:r w:rsidR="001251E8">
        <w:t>provide incentives</w:t>
      </w:r>
      <w:r w:rsidR="00F42EA9">
        <w:t xml:space="preserve"> to use spectrum efficiently</w:t>
      </w:r>
      <w:r w:rsidR="00330EC8">
        <w:t xml:space="preserve"> to ensure</w:t>
      </w:r>
      <w:r w:rsidR="007576CF">
        <w:t xml:space="preserve"> all users have sufficient spectrum</w:t>
      </w:r>
      <w:r w:rsidR="002E00B2">
        <w:t xml:space="preserve"> to provide services</w:t>
      </w:r>
      <w:r w:rsidR="00990FF9">
        <w:t>.</w:t>
      </w:r>
      <w:r w:rsidR="00A97649">
        <w:t xml:space="preserve"> </w:t>
      </w:r>
      <w:r w:rsidR="00445D31">
        <w:t>Further, i</w:t>
      </w:r>
      <w:r w:rsidR="00085ED1">
        <w:t xml:space="preserve">n </w:t>
      </w:r>
      <w:r w:rsidR="00DD08ED">
        <w:t xml:space="preserve">undertaking </w:t>
      </w:r>
      <w:r w:rsidR="00085ED1">
        <w:t>cost-benefit assessments</w:t>
      </w:r>
      <w:r w:rsidR="00A43F29">
        <w:t xml:space="preserve"> </w:t>
      </w:r>
      <w:r w:rsidR="00DD08ED">
        <w:t xml:space="preserve">for any </w:t>
      </w:r>
      <w:r w:rsidR="00C77571">
        <w:t xml:space="preserve">regulatory change in </w:t>
      </w:r>
      <w:r w:rsidR="00A43F29">
        <w:t xml:space="preserve">licensing and planning </w:t>
      </w:r>
      <w:r w:rsidR="00C77571">
        <w:t xml:space="preserve">arrangements, </w:t>
      </w:r>
      <w:r w:rsidR="003047DD">
        <w:t xml:space="preserve">quantitative and qualitative </w:t>
      </w:r>
      <w:r w:rsidR="00FE720E">
        <w:t>factors such as the public benefit of the service</w:t>
      </w:r>
      <w:r w:rsidR="00C77571">
        <w:t xml:space="preserve"> provided are taken into consideration</w:t>
      </w:r>
      <w:r w:rsidR="00FE720E">
        <w:t>.</w:t>
      </w:r>
      <w:r w:rsidR="00A97649">
        <w:t xml:space="preserve"> </w:t>
      </w:r>
      <w:r w:rsidR="009D223E">
        <w:t>We consider that</w:t>
      </w:r>
      <w:r w:rsidR="000145C1">
        <w:t xml:space="preserve"> opportunity cost pricing</w:t>
      </w:r>
      <w:r w:rsidR="00563B04">
        <w:t xml:space="preserve">, </w:t>
      </w:r>
      <w:r w:rsidR="000145C1">
        <w:t>or incentive pricing in general</w:t>
      </w:r>
      <w:r w:rsidR="00563B04">
        <w:t>,</w:t>
      </w:r>
      <w:r w:rsidR="008B07DC">
        <w:t xml:space="preserve"> </w:t>
      </w:r>
      <w:r w:rsidR="00C95CFC">
        <w:t>is</w:t>
      </w:r>
      <w:r w:rsidR="008B07DC">
        <w:t xml:space="preserve"> consistent with </w:t>
      </w:r>
      <w:r w:rsidR="002C7C05">
        <w:t>recognising the public benefit or good of a service.</w:t>
      </w:r>
    </w:p>
    <w:p w14:paraId="6DEEDAA0" w14:textId="0B282E6A" w:rsidR="00CE143C" w:rsidRPr="005F6F7C" w:rsidRDefault="005C353F" w:rsidP="005F6F7C">
      <w:pPr>
        <w:pStyle w:val="Paragraph"/>
      </w:pPr>
      <w:r w:rsidRPr="005F6F7C">
        <w:t xml:space="preserve">The ACMA has updated </w:t>
      </w:r>
      <w:r w:rsidR="008D6ADB">
        <w:t xml:space="preserve">its </w:t>
      </w:r>
      <w:r w:rsidR="00507DF5">
        <w:fldChar w:fldCharType="begin"/>
      </w:r>
      <w:r w:rsidR="00507DF5">
        <w:instrText xml:space="preserve"> REF _Ref57047900 \h </w:instrText>
      </w:r>
      <w:r w:rsidR="00507DF5">
        <w:fldChar w:fldCharType="separate"/>
      </w:r>
      <w:r w:rsidR="00507DF5">
        <w:t>Spectrum Pricing Guidelines</w:t>
      </w:r>
      <w:r w:rsidR="00507DF5">
        <w:fldChar w:fldCharType="end"/>
      </w:r>
      <w:r w:rsidR="00D0783E" w:rsidRPr="005F6F7C">
        <w:t xml:space="preserve"> to emp</w:t>
      </w:r>
      <w:r w:rsidR="00452CDF" w:rsidRPr="005F6F7C">
        <w:t>has</w:t>
      </w:r>
      <w:r w:rsidR="00D0783E" w:rsidRPr="005F6F7C">
        <w:t>ise</w:t>
      </w:r>
      <w:r w:rsidR="00502649" w:rsidRPr="005F6F7C">
        <w:t xml:space="preserve"> </w:t>
      </w:r>
      <w:r w:rsidR="005C6071" w:rsidRPr="005F6F7C">
        <w:t>the role</w:t>
      </w:r>
      <w:r w:rsidR="00C05346" w:rsidRPr="005F6F7C">
        <w:t xml:space="preserve"> of pricing in </w:t>
      </w:r>
      <w:r w:rsidR="00BC2738">
        <w:t>reflecting</w:t>
      </w:r>
      <w:r w:rsidR="00C05346" w:rsidRPr="005F6F7C">
        <w:t xml:space="preserve"> public benefit</w:t>
      </w:r>
      <w:r w:rsidR="00BC2738">
        <w:t xml:space="preserve"> in the valuation of spectrum uses</w:t>
      </w:r>
      <w:r w:rsidR="00C05346" w:rsidRPr="005F6F7C">
        <w:t>.</w:t>
      </w:r>
    </w:p>
    <w:p w14:paraId="0AB81E5A" w14:textId="5C8AF069" w:rsidR="00AD2337" w:rsidRDefault="00F20572" w:rsidP="00AD2337">
      <w:pPr>
        <w:pStyle w:val="Heading2"/>
      </w:pPr>
      <w:bookmarkStart w:id="15" w:name="_Toc59007928"/>
      <w:r>
        <w:t>Industry specific issues</w:t>
      </w:r>
      <w:bookmarkEnd w:id="15"/>
    </w:p>
    <w:p w14:paraId="10D31CEB" w14:textId="48569A2E" w:rsidR="00382E48" w:rsidRPr="00382E48" w:rsidRDefault="009F1653" w:rsidP="008A3711">
      <w:pPr>
        <w:pStyle w:val="Paragraph"/>
      </w:pPr>
      <w:r w:rsidRPr="00382E48">
        <w:t>This section considers</w:t>
      </w:r>
      <w:r w:rsidR="000C5B51" w:rsidRPr="00382E48">
        <w:t xml:space="preserve"> issues raised by </w:t>
      </w:r>
      <w:r w:rsidR="00220FE5">
        <w:t xml:space="preserve">the broadcasting and narrowcasting sector and </w:t>
      </w:r>
      <w:r w:rsidR="00134F5B">
        <w:t xml:space="preserve">the </w:t>
      </w:r>
      <w:r w:rsidR="00136E0B">
        <w:t>satellite sector</w:t>
      </w:r>
      <w:r w:rsidR="00C535DC">
        <w:t>.</w:t>
      </w:r>
      <w:r w:rsidR="004F672D">
        <w:t xml:space="preserve"> </w:t>
      </w:r>
      <w:r w:rsidR="00C535DC">
        <w:t xml:space="preserve">Other sectors like mobile, </w:t>
      </w:r>
      <w:r w:rsidR="00D11606">
        <w:t>internet service providers (</w:t>
      </w:r>
      <w:r w:rsidR="00C535DC">
        <w:t>ISPs</w:t>
      </w:r>
      <w:r w:rsidR="00D11606">
        <w:t>)</w:t>
      </w:r>
      <w:r w:rsidR="00C535DC">
        <w:t xml:space="preserve"> and </w:t>
      </w:r>
      <w:r w:rsidR="00B2015E">
        <w:t xml:space="preserve">government agencies </w:t>
      </w:r>
      <w:r w:rsidR="003C6FC1">
        <w:t xml:space="preserve">raised </w:t>
      </w:r>
      <w:r w:rsidR="000F0BDC">
        <w:t xml:space="preserve">a few </w:t>
      </w:r>
      <w:r w:rsidR="003C6FC1">
        <w:t xml:space="preserve">issues that were </w:t>
      </w:r>
      <w:r w:rsidR="00964086">
        <w:t>common</w:t>
      </w:r>
      <w:r w:rsidR="00B16CA7">
        <w:t xml:space="preserve"> to all pricing arrangements and as such have not been identified in this </w:t>
      </w:r>
      <w:r w:rsidR="005658FF">
        <w:t>part of the response</w:t>
      </w:r>
      <w:r w:rsidR="00B2015E">
        <w:t>.</w:t>
      </w:r>
    </w:p>
    <w:p w14:paraId="7311DA23" w14:textId="67750F26" w:rsidR="00AD2337" w:rsidRDefault="00B672B9" w:rsidP="008A3711">
      <w:pPr>
        <w:pStyle w:val="Heading3"/>
      </w:pPr>
      <w:r>
        <w:t>Br</w:t>
      </w:r>
      <w:r w:rsidR="0090651B">
        <w:t>oa</w:t>
      </w:r>
      <w:r>
        <w:t>dcasting</w:t>
      </w:r>
      <w:r w:rsidR="000675D1">
        <w:t xml:space="preserve"> and narrowcasting</w:t>
      </w:r>
      <w:r>
        <w:t xml:space="preserve"> related</w:t>
      </w:r>
      <w:r w:rsidR="00AD2337">
        <w:t xml:space="preserve"> licen</w:t>
      </w:r>
      <w:r w:rsidR="0090651B">
        <w:t>c</w:t>
      </w:r>
      <w:r w:rsidR="00AD2337">
        <w:t>e taxes</w:t>
      </w:r>
    </w:p>
    <w:p w14:paraId="213592F3" w14:textId="3F9A8B39" w:rsidR="00AD2337" w:rsidRDefault="000F0BDC" w:rsidP="008A3711">
      <w:pPr>
        <w:pStyle w:val="Paragraph"/>
      </w:pPr>
      <w:r>
        <w:t>Several</w:t>
      </w:r>
      <w:r w:rsidR="00AD2337">
        <w:t xml:space="preserve"> submissions were received from the narrowcasting industry</w:t>
      </w:r>
      <w:r w:rsidR="0006548A">
        <w:t xml:space="preserve">, arguing </w:t>
      </w:r>
      <w:r w:rsidR="005D6380">
        <w:t>t</w:t>
      </w:r>
      <w:r w:rsidR="00AD2337">
        <w:t xml:space="preserve">hat narrowcasters pay excessive </w:t>
      </w:r>
      <w:r w:rsidR="00EE7864">
        <w:t xml:space="preserve">taxes </w:t>
      </w:r>
      <w:r w:rsidR="00AD2337">
        <w:t>when compared with those paid by commercial broadcasters</w:t>
      </w:r>
      <w:r w:rsidR="00EE62C0">
        <w:t>,</w:t>
      </w:r>
      <w:r w:rsidR="00AD2337">
        <w:t xml:space="preserve"> and that </w:t>
      </w:r>
      <w:r w:rsidR="00EE7864">
        <w:t>the</w:t>
      </w:r>
      <w:r w:rsidR="00EE62C0">
        <w:t>ir</w:t>
      </w:r>
      <w:r w:rsidR="00EE7864">
        <w:t xml:space="preserve"> taxes </w:t>
      </w:r>
      <w:r w:rsidR="00AD2337">
        <w:t>should be reduced to an equivalent level or lower.</w:t>
      </w:r>
    </w:p>
    <w:p w14:paraId="2582ADD6" w14:textId="48DA4A41" w:rsidR="00E706D7" w:rsidRDefault="00E706D7" w:rsidP="008A3711">
      <w:pPr>
        <w:pStyle w:val="Paragraph"/>
      </w:pPr>
      <w:r>
        <w:t xml:space="preserve">Submissions were </w:t>
      </w:r>
      <w:r w:rsidR="008F4A5E">
        <w:t xml:space="preserve">also </w:t>
      </w:r>
      <w:r>
        <w:t xml:space="preserve">received proposing that low-power open </w:t>
      </w:r>
      <w:r w:rsidR="00EE7864">
        <w:t xml:space="preserve">narrowcasting </w:t>
      </w:r>
      <w:r w:rsidR="00AD206D">
        <w:t>(LPON</w:t>
      </w:r>
      <w:r w:rsidR="00140CC9">
        <w:t xml:space="preserve">s) </w:t>
      </w:r>
      <w:r w:rsidR="00EE7864">
        <w:t>licences</w:t>
      </w:r>
      <w:r w:rsidR="00140CC9">
        <w:t xml:space="preserve"> </w:t>
      </w:r>
      <w:r>
        <w:t xml:space="preserve">should be subject to a new </w:t>
      </w:r>
      <w:r w:rsidR="00116DB9">
        <w:t xml:space="preserve">tax </w:t>
      </w:r>
      <w:r>
        <w:t>structure depending on the number of licen</w:t>
      </w:r>
      <w:r w:rsidR="00116DB9">
        <w:t>c</w:t>
      </w:r>
      <w:r>
        <w:t xml:space="preserve">es held. This was because many operators needed </w:t>
      </w:r>
      <w:r w:rsidR="00116DB9">
        <w:t xml:space="preserve">to have </w:t>
      </w:r>
      <w:r w:rsidR="00D11098">
        <w:t>large number of licences</w:t>
      </w:r>
      <w:r>
        <w:t xml:space="preserve"> to provide sufficient coverage in many areas.</w:t>
      </w:r>
    </w:p>
    <w:p w14:paraId="7F654D73" w14:textId="1F894A7D" w:rsidR="00F119F8" w:rsidRDefault="00BF2F54" w:rsidP="008A3711">
      <w:pPr>
        <w:pStyle w:val="Paragraph"/>
      </w:pPr>
      <w:r>
        <w:t xml:space="preserve">One submitter also </w:t>
      </w:r>
      <w:r w:rsidR="00134F5B">
        <w:t>suggested</w:t>
      </w:r>
      <w:r>
        <w:t xml:space="preserve"> that </w:t>
      </w:r>
      <w:r w:rsidR="00F119F8">
        <w:t xml:space="preserve">that different pricing constructs such as $/MHz/Pop for </w:t>
      </w:r>
      <w:r w:rsidR="0074399A">
        <w:t xml:space="preserve">narrowband </w:t>
      </w:r>
      <w:r w:rsidR="00A62438">
        <w:t xml:space="preserve">services </w:t>
      </w:r>
      <w:r w:rsidR="00F119F8">
        <w:t xml:space="preserve">are unnecessarily complex. Meanwhile, </w:t>
      </w:r>
      <w:r w:rsidR="00134F5B">
        <w:t xml:space="preserve">they argued, </w:t>
      </w:r>
      <w:r w:rsidR="00A62438">
        <w:t>m</w:t>
      </w:r>
      <w:r w:rsidR="00F119F8">
        <w:t>edium-frequency narrowband area service (MFNAS) licences current</w:t>
      </w:r>
      <w:r w:rsidR="00A62438">
        <w:t>ly pay</w:t>
      </w:r>
      <w:r w:rsidR="00F119F8">
        <w:t xml:space="preserve"> tax</w:t>
      </w:r>
      <w:r w:rsidR="00A62438">
        <w:t>es</w:t>
      </w:r>
      <w:r w:rsidR="00F119F8">
        <w:t xml:space="preserve"> </w:t>
      </w:r>
      <w:r w:rsidR="002243A9">
        <w:t xml:space="preserve">that are calculated </w:t>
      </w:r>
      <w:r w:rsidR="00F119F8">
        <w:t>independent</w:t>
      </w:r>
      <w:r w:rsidR="002243A9">
        <w:t>ly</w:t>
      </w:r>
      <w:r w:rsidR="00F119F8">
        <w:t xml:space="preserve"> of </w:t>
      </w:r>
      <w:r w:rsidR="002243A9">
        <w:t xml:space="preserve">the </w:t>
      </w:r>
      <w:r w:rsidR="00F119F8">
        <w:t xml:space="preserve">spectrum density area </w:t>
      </w:r>
      <w:r w:rsidR="002243A9">
        <w:t xml:space="preserve">in which the licence authorise operation </w:t>
      </w:r>
      <w:r w:rsidR="00F119F8">
        <w:t>and</w:t>
      </w:r>
      <w:r w:rsidR="002023FD">
        <w:t>,</w:t>
      </w:r>
      <w:r w:rsidR="00F119F8">
        <w:t xml:space="preserve"> therefore</w:t>
      </w:r>
      <w:r w:rsidR="002023FD">
        <w:t>,</w:t>
      </w:r>
      <w:r w:rsidR="00F119F8">
        <w:t xml:space="preserve"> are too high in</w:t>
      </w:r>
      <w:r w:rsidR="00BA2D9A">
        <w:t xml:space="preserve"> both</w:t>
      </w:r>
      <w:r w:rsidR="00F119F8">
        <w:t xml:space="preserve"> the medium and low spectrum density areas. </w:t>
      </w:r>
    </w:p>
    <w:p w14:paraId="1F53449A" w14:textId="30A4CA75" w:rsidR="00AD2337" w:rsidRDefault="0068679C" w:rsidP="008A3711">
      <w:pPr>
        <w:pStyle w:val="Paragraph"/>
      </w:pPr>
      <w:r>
        <w:t>Submissions</w:t>
      </w:r>
      <w:r w:rsidR="00AD2337">
        <w:t xml:space="preserve"> also raised </w:t>
      </w:r>
      <w:r>
        <w:t xml:space="preserve">concerns </w:t>
      </w:r>
      <w:r w:rsidR="00AD2337">
        <w:t>that c</w:t>
      </w:r>
      <w:r w:rsidR="00AD2337" w:rsidRPr="00551F45">
        <w:t xml:space="preserve">ommercial broadcasters were </w:t>
      </w:r>
      <w:r w:rsidR="00FF40DF">
        <w:t xml:space="preserve">provided with a </w:t>
      </w:r>
      <w:r w:rsidR="00057362">
        <w:t xml:space="preserve">tax </w:t>
      </w:r>
      <w:r w:rsidR="00AD2337" w:rsidRPr="00551F45">
        <w:t>waiver for 12 months due to the impact of COVID-19</w:t>
      </w:r>
      <w:r w:rsidR="00AD2337">
        <w:t xml:space="preserve">. Submitters argued that a similar fee waiver should be granted to narrowcasters given </w:t>
      </w:r>
      <w:r w:rsidR="00057362">
        <w:t xml:space="preserve">that </w:t>
      </w:r>
      <w:r w:rsidR="00AD2337">
        <w:t xml:space="preserve">they were impacted in </w:t>
      </w:r>
      <w:r w:rsidR="000C5B4F">
        <w:t xml:space="preserve">a similar </w:t>
      </w:r>
      <w:r w:rsidR="00AD2337">
        <w:t>way by the pandemic.</w:t>
      </w:r>
    </w:p>
    <w:p w14:paraId="035F1561" w14:textId="71CFF3AB" w:rsidR="00AD2337" w:rsidRPr="00611C71" w:rsidRDefault="006C0B48" w:rsidP="00611C71">
      <w:pPr>
        <w:pStyle w:val="Heading4"/>
      </w:pPr>
      <w:r w:rsidRPr="00611C71">
        <w:t>Response to submitters</w:t>
      </w:r>
    </w:p>
    <w:p w14:paraId="6B1E10B6" w14:textId="5B047427" w:rsidR="00924C83" w:rsidRDefault="009D08F6" w:rsidP="008A3711">
      <w:pPr>
        <w:pStyle w:val="Paragraph"/>
      </w:pPr>
      <w:r>
        <w:t>The ACMA acknowledges that there are differences between</w:t>
      </w:r>
      <w:r w:rsidR="00F54FA3">
        <w:t xml:space="preserve"> apparatus</w:t>
      </w:r>
      <w:r w:rsidR="001B67EA">
        <w:t xml:space="preserve"> licence taxes and commercial broadcasting taxes</w:t>
      </w:r>
      <w:r w:rsidR="008E44C1">
        <w:t>.</w:t>
      </w:r>
      <w:r w:rsidR="004F672D">
        <w:t xml:space="preserve"> </w:t>
      </w:r>
      <w:r w:rsidR="00CB095B">
        <w:t xml:space="preserve">While taxes for </w:t>
      </w:r>
      <w:r w:rsidR="00001650">
        <w:t xml:space="preserve">narrowcasting services </w:t>
      </w:r>
      <w:r w:rsidR="00EF2602">
        <w:t xml:space="preserve">can be </w:t>
      </w:r>
      <w:r w:rsidR="003264F9">
        <w:t>higher than the commercial broadcasting taxes</w:t>
      </w:r>
      <w:r w:rsidR="00B64DAB">
        <w:t xml:space="preserve"> in the same band</w:t>
      </w:r>
      <w:r w:rsidR="00071938">
        <w:t xml:space="preserve">, </w:t>
      </w:r>
      <w:r w:rsidR="0042314A">
        <w:t>it can be difficult to make like</w:t>
      </w:r>
      <w:r w:rsidR="00805AA1">
        <w:t>-</w:t>
      </w:r>
      <w:r w:rsidR="0042314A">
        <w:t>for</w:t>
      </w:r>
      <w:r w:rsidR="00805AA1">
        <w:t>-</w:t>
      </w:r>
      <w:r w:rsidR="0042314A">
        <w:t>like comp</w:t>
      </w:r>
      <w:r w:rsidR="0039402C">
        <w:t>arisons across different licens</w:t>
      </w:r>
      <w:r w:rsidR="008F3BE2">
        <w:t>ing types</w:t>
      </w:r>
      <w:r w:rsidR="00AD2337">
        <w:t>.</w:t>
      </w:r>
      <w:r w:rsidR="00E72B47">
        <w:t xml:space="preserve"> </w:t>
      </w:r>
    </w:p>
    <w:p w14:paraId="185C8051" w14:textId="56593AB5" w:rsidR="00AD2337" w:rsidRDefault="00E72B47" w:rsidP="008A3711">
      <w:pPr>
        <w:pStyle w:val="Paragraph"/>
      </w:pPr>
      <w:r w:rsidRPr="00E65B9E">
        <w:t xml:space="preserve">LPON </w:t>
      </w:r>
      <w:r w:rsidR="00856F81">
        <w:t xml:space="preserve">licence </w:t>
      </w:r>
      <w:r w:rsidRPr="00E65B9E">
        <w:t>tax</w:t>
      </w:r>
      <w:r w:rsidR="00856F81">
        <w:t xml:space="preserve"> rat</w:t>
      </w:r>
      <w:r w:rsidRPr="00E65B9E">
        <w:t>es are gener</w:t>
      </w:r>
      <w:r w:rsidR="00924C83" w:rsidRPr="00E65B9E">
        <w:t>ally at</w:t>
      </w:r>
      <w:r w:rsidR="00856F81">
        <w:t>,</w:t>
      </w:r>
      <w:r w:rsidR="00924C83" w:rsidRPr="00E65B9E">
        <w:t xml:space="preserve"> or close to</w:t>
      </w:r>
      <w:r w:rsidR="00856F81">
        <w:t>,</w:t>
      </w:r>
      <w:r w:rsidR="00924C83" w:rsidRPr="00E65B9E">
        <w:t xml:space="preserve"> minimum annual taxes rates</w:t>
      </w:r>
      <w:r w:rsidR="003F0F79">
        <w:t xml:space="preserve"> </w:t>
      </w:r>
      <w:r w:rsidR="00C47969">
        <w:t xml:space="preserve">(of </w:t>
      </w:r>
      <w:r w:rsidR="00442D40">
        <w:t>$</w:t>
      </w:r>
      <w:r w:rsidR="00B943D4">
        <w:t>41.</w:t>
      </w:r>
      <w:r w:rsidR="00442D40">
        <w:t>49</w:t>
      </w:r>
      <w:r w:rsidR="00C47969">
        <w:t xml:space="preserve">) </w:t>
      </w:r>
      <w:r w:rsidR="003F0F79">
        <w:t>and the ACMA expects that</w:t>
      </w:r>
      <w:r w:rsidR="009D11E8">
        <w:t xml:space="preserve"> pricing </w:t>
      </w:r>
      <w:r w:rsidR="69B1D4C1">
        <w:t xml:space="preserve">to remain low </w:t>
      </w:r>
      <w:r w:rsidR="009D11E8">
        <w:t>for these services</w:t>
      </w:r>
      <w:r w:rsidR="00C47969">
        <w:t xml:space="preserve"> </w:t>
      </w:r>
      <w:r w:rsidR="2328951C">
        <w:t>due to the low power and low spectrum denial</w:t>
      </w:r>
      <w:r w:rsidR="009D11E8">
        <w:t>.</w:t>
      </w:r>
    </w:p>
    <w:p w14:paraId="69456BE8" w14:textId="54E8E78A" w:rsidR="00791C43" w:rsidRDefault="00452FF1" w:rsidP="008A3711">
      <w:pPr>
        <w:pStyle w:val="Paragraph"/>
      </w:pPr>
      <w:r>
        <w:t>To provide parity</w:t>
      </w:r>
      <w:r w:rsidR="0011747A">
        <w:t xml:space="preserve"> in pricing between narrowcasting and commercial broadcasting would </w:t>
      </w:r>
      <w:r w:rsidR="00134F5B">
        <w:t>require</w:t>
      </w:r>
      <w:r w:rsidR="0070010D">
        <w:t xml:space="preserve"> a </w:t>
      </w:r>
      <w:r w:rsidR="0005355E">
        <w:t xml:space="preserve">mix of </w:t>
      </w:r>
      <w:r w:rsidR="00AA10CF">
        <w:t>changes to</w:t>
      </w:r>
      <w:r w:rsidR="0005355E">
        <w:t xml:space="preserve"> apparatus licence taxes.</w:t>
      </w:r>
      <w:r w:rsidR="004F672D">
        <w:t xml:space="preserve"> </w:t>
      </w:r>
      <w:r w:rsidR="0005355E">
        <w:t>We are currently consulting</w:t>
      </w:r>
      <w:r w:rsidR="00414BAE">
        <w:t xml:space="preserve"> on the commercial broadcasting tax</w:t>
      </w:r>
      <w:r w:rsidR="001E20E0">
        <w:t xml:space="preserve"> review</w:t>
      </w:r>
      <w:r w:rsidR="00E536FD">
        <w:t xml:space="preserve"> and considering different prici</w:t>
      </w:r>
      <w:r w:rsidR="00DC314B">
        <w:t>ng methodologies for commercial broadcasting taxes</w:t>
      </w:r>
      <w:r w:rsidR="00F21155">
        <w:t>, including moving to a $/MHz/</w:t>
      </w:r>
      <w:r w:rsidR="004B6EB7">
        <w:t xml:space="preserve">pop </w:t>
      </w:r>
      <w:r w:rsidR="00E71C93">
        <w:t>pricing construct.</w:t>
      </w:r>
      <w:r w:rsidR="009E2B88">
        <w:t xml:space="preserve"> However, the ACMA acknowledges that</w:t>
      </w:r>
      <w:r w:rsidR="00FB5FE8">
        <w:t xml:space="preserve"> this pricing construct may not be appropriate for all services.</w:t>
      </w:r>
      <w:r w:rsidR="00791C43">
        <w:t xml:space="preserve"> Further, under the </w:t>
      </w:r>
      <w:r w:rsidR="00791C43">
        <w:rPr>
          <w:i/>
          <w:iCs/>
        </w:rPr>
        <w:t>Commercial Broadcasting (Tax) Act 2017</w:t>
      </w:r>
      <w:r w:rsidR="00791C43">
        <w:t>, the tax for commercial broadcasting is set by the Minister</w:t>
      </w:r>
      <w:r w:rsidR="00A541E9">
        <w:t xml:space="preserve"> for Communications, Cyber </w:t>
      </w:r>
      <w:proofErr w:type="gramStart"/>
      <w:r w:rsidR="00A541E9">
        <w:t>Safety</w:t>
      </w:r>
      <w:proofErr w:type="gramEnd"/>
      <w:r w:rsidR="00A541E9">
        <w:t xml:space="preserve"> and the Arts</w:t>
      </w:r>
      <w:r w:rsidR="00791C43">
        <w:t>, rather than the ACMA.</w:t>
      </w:r>
    </w:p>
    <w:p w14:paraId="46E3D2A3" w14:textId="2B418D0F" w:rsidR="00AD2337" w:rsidRDefault="00887EF3" w:rsidP="008A3711">
      <w:pPr>
        <w:pStyle w:val="Paragraph"/>
      </w:pPr>
      <w:r>
        <w:t xml:space="preserve">We have provided industry through the pandemic with extended timeframes for consultations, and assistance </w:t>
      </w:r>
      <w:r w:rsidRPr="008A3711">
        <w:rPr>
          <w:rStyle w:val="normaltextrun"/>
        </w:rPr>
        <w:t>with</w:t>
      </w:r>
      <w:r>
        <w:t xml:space="preserve"> deferrals and instalment arrangements</w:t>
      </w:r>
      <w:r w:rsidR="00F047F4">
        <w:t xml:space="preserve"> for amounts owing to the Commonwealth</w:t>
      </w:r>
      <w:r w:rsidR="00E14DC5">
        <w:t xml:space="preserve">. However, </w:t>
      </w:r>
      <w:r w:rsidR="003E0122">
        <w:t>the ACMA has no power to exempt licensees from apparatus licence taxes</w:t>
      </w:r>
      <w:r w:rsidR="000F3998">
        <w:t>.</w:t>
      </w:r>
    </w:p>
    <w:p w14:paraId="74DFBAF2" w14:textId="5C50A4E5" w:rsidR="00842061" w:rsidRDefault="00842061" w:rsidP="008A3711">
      <w:pPr>
        <w:pStyle w:val="Paragraph"/>
      </w:pPr>
      <w:r>
        <w:t xml:space="preserve">We are proposing a work plan to consider </w:t>
      </w:r>
      <w:r w:rsidR="00925018">
        <w:t>broadcasting</w:t>
      </w:r>
      <w:r w:rsidR="00B13858">
        <w:t>/narrowcasting</w:t>
      </w:r>
      <w:r w:rsidR="00925018">
        <w:t xml:space="preserve"> related taxes</w:t>
      </w:r>
      <w:r>
        <w:t xml:space="preserve"> in light of </w:t>
      </w:r>
      <w:r w:rsidR="003E0122">
        <w:t xml:space="preserve">the report to be given </w:t>
      </w:r>
      <w:r>
        <w:t xml:space="preserve">to the </w:t>
      </w:r>
      <w:r w:rsidR="00A541E9">
        <w:t>m</w:t>
      </w:r>
      <w:r>
        <w:t xml:space="preserve">inister about </w:t>
      </w:r>
      <w:r w:rsidR="001507F9">
        <w:t xml:space="preserve">the </w:t>
      </w:r>
      <w:r>
        <w:t>commercial broadcasting tax review</w:t>
      </w:r>
      <w:r w:rsidR="001507F9">
        <w:t xml:space="preserve">, </w:t>
      </w:r>
      <w:r w:rsidR="00192FF2">
        <w:t xml:space="preserve">in accordance with section 216AA of the </w:t>
      </w:r>
      <w:r w:rsidR="00192FF2">
        <w:rPr>
          <w:i/>
          <w:iCs/>
        </w:rPr>
        <w:t>Broadcasting Services Act 1992</w:t>
      </w:r>
      <w:r>
        <w:t>.</w:t>
      </w:r>
    </w:p>
    <w:p w14:paraId="20659A5E" w14:textId="72294979" w:rsidR="00842061" w:rsidRPr="00AB4A15" w:rsidRDefault="007B76F8" w:rsidP="008A3711">
      <w:pPr>
        <w:pStyle w:val="Heading3"/>
      </w:pPr>
      <w:r w:rsidRPr="00AB4A15">
        <w:t>The satellite industry</w:t>
      </w:r>
    </w:p>
    <w:p w14:paraId="1971FAA4" w14:textId="2F10145B" w:rsidR="00AB4A15" w:rsidRPr="00832CD1" w:rsidRDefault="00AB4A15" w:rsidP="008A3711">
      <w:pPr>
        <w:pStyle w:val="Paragraph"/>
      </w:pPr>
      <w:r w:rsidRPr="00832CD1">
        <w:t xml:space="preserve">A key feature of </w:t>
      </w:r>
      <w:r w:rsidR="004E19A2">
        <w:t>F</w:t>
      </w:r>
      <w:r w:rsidRPr="00832CD1">
        <w:t xml:space="preserve">ocus </w:t>
      </w:r>
      <w:r w:rsidR="00DC6BA0">
        <w:t>A</w:t>
      </w:r>
      <w:r w:rsidRPr="00832CD1">
        <w:t>rea 1</w:t>
      </w:r>
      <w:r w:rsidR="002D4E40" w:rsidRPr="00832CD1">
        <w:t xml:space="preserve"> in the consultation paper </w:t>
      </w:r>
      <w:r w:rsidR="004120A2" w:rsidRPr="00832CD1">
        <w:t xml:space="preserve">related to the taxation issues </w:t>
      </w:r>
      <w:r w:rsidR="00FB3745" w:rsidRPr="00832CD1">
        <w:t>associated with</w:t>
      </w:r>
      <w:r w:rsidR="00832CD1" w:rsidRPr="00832CD1">
        <w:t xml:space="preserve"> services using large bandwidths and deploying multiple devices.</w:t>
      </w:r>
      <w:r w:rsidR="00DC4AB0">
        <w:t xml:space="preserve"> There was strong support from the space sector in particular</w:t>
      </w:r>
      <w:r w:rsidR="00DF3931">
        <w:t xml:space="preserve"> for reviewing these taxes.</w:t>
      </w:r>
    </w:p>
    <w:p w14:paraId="09E2EE99" w14:textId="027F21D2" w:rsidR="007B76F8" w:rsidRDefault="007B76F8" w:rsidP="008A3711">
      <w:pPr>
        <w:pStyle w:val="Paragraph"/>
      </w:pPr>
      <w:r>
        <w:t xml:space="preserve">The advent of non-geostationary satellite </w:t>
      </w:r>
      <w:r w:rsidR="00192FF2">
        <w:t xml:space="preserve">orbit (NGSO) </w:t>
      </w:r>
      <w:r>
        <w:t>technology poses some potential issues with respect to how spectrum is managed and priced in the relevant spectrum frequencies. Submitters posited that, given the nature of the technology, a</w:t>
      </w:r>
      <w:r w:rsidRPr="009040C8">
        <w:t xml:space="preserve"> single apparatus licen</w:t>
      </w:r>
      <w:r w:rsidR="00B841F7">
        <w:t>c</w:t>
      </w:r>
      <w:r w:rsidRPr="009040C8">
        <w:t xml:space="preserve">e should be </w:t>
      </w:r>
      <w:r w:rsidR="00B841F7">
        <w:t xml:space="preserve">issued </w:t>
      </w:r>
      <w:r w:rsidRPr="009040C8">
        <w:t xml:space="preserve">to </w:t>
      </w:r>
      <w:r w:rsidR="009C4A48">
        <w:t>authorise</w:t>
      </w:r>
      <w:r w:rsidRPr="009040C8">
        <w:t xml:space="preserve"> each earth station for NGSO satellites</w:t>
      </w:r>
      <w:r>
        <w:t xml:space="preserve"> which </w:t>
      </w:r>
      <w:r w:rsidRPr="009040C8">
        <w:t>reflects their actual usage and denial characteristics more fairly.</w:t>
      </w:r>
    </w:p>
    <w:p w14:paraId="2C7FC9C8" w14:textId="6472B89F" w:rsidR="00020C84" w:rsidRPr="00281C80" w:rsidRDefault="007B76F8" w:rsidP="008A3711">
      <w:pPr>
        <w:pStyle w:val="Paragraph"/>
      </w:pPr>
      <w:r w:rsidRPr="00DB6682">
        <w:t xml:space="preserve">Submitters within the industry noted that changes were required to the framework so that </w:t>
      </w:r>
      <w:r w:rsidR="00C944BF">
        <w:t xml:space="preserve">taxes </w:t>
      </w:r>
      <w:r w:rsidRPr="00590299">
        <w:t>are not applied repeatedly for accessing the same bandwidth</w:t>
      </w:r>
      <w:r w:rsidRPr="001B6033">
        <w:t xml:space="preserve">. </w:t>
      </w:r>
    </w:p>
    <w:p w14:paraId="135B93D5" w14:textId="20218E4B" w:rsidR="00DB6682" w:rsidRPr="00177720" w:rsidRDefault="00DB6682" w:rsidP="008A3711">
      <w:pPr>
        <w:pStyle w:val="Paragraph"/>
      </w:pPr>
      <w:r w:rsidRPr="0074399A">
        <w:t xml:space="preserve">Examples were </w:t>
      </w:r>
      <w:r w:rsidR="00FF1322" w:rsidRPr="0074399A">
        <w:t xml:space="preserve">also </w:t>
      </w:r>
      <w:r w:rsidRPr="0074399A">
        <w:t xml:space="preserve">provided where </w:t>
      </w:r>
      <w:r w:rsidR="00FF1322" w:rsidRPr="00057362">
        <w:t xml:space="preserve">there are </w:t>
      </w:r>
      <w:r w:rsidRPr="004B6333">
        <w:t>differen</w:t>
      </w:r>
      <w:r w:rsidR="000344CC" w:rsidRPr="00192FF2">
        <w:t>t taxes for</w:t>
      </w:r>
      <w:r w:rsidRPr="00192FF2">
        <w:t xml:space="preserve"> mobile satellit</w:t>
      </w:r>
      <w:r w:rsidRPr="00B841F7">
        <w:t xml:space="preserve">e services (MSS) and </w:t>
      </w:r>
      <w:r w:rsidR="00AE4E43" w:rsidRPr="003F56A6">
        <w:t>television outside broadcast service (</w:t>
      </w:r>
      <w:r w:rsidRPr="009E2A13">
        <w:t>TOBS</w:t>
      </w:r>
      <w:r w:rsidR="00AE4E43" w:rsidRPr="009E2A13">
        <w:t>)</w:t>
      </w:r>
      <w:r w:rsidRPr="00A911A6">
        <w:t xml:space="preserve"> and </w:t>
      </w:r>
      <w:r w:rsidR="00AE4E43" w:rsidRPr="002208EE">
        <w:t>point to multi-point (</w:t>
      </w:r>
      <w:r w:rsidRPr="00695ECC">
        <w:t>P2MP</w:t>
      </w:r>
      <w:r w:rsidR="00AE4E43" w:rsidRPr="00695ECC">
        <w:t>)</w:t>
      </w:r>
      <w:r w:rsidRPr="004E7975">
        <w:t xml:space="preserve"> </w:t>
      </w:r>
      <w:r w:rsidR="00020C84" w:rsidRPr="00177720">
        <w:t>using similar spectrum</w:t>
      </w:r>
      <w:r w:rsidR="0084470D" w:rsidRPr="00177720">
        <w:t>.</w:t>
      </w:r>
      <w:r w:rsidRPr="00177720">
        <w:t xml:space="preserve"> </w:t>
      </w:r>
    </w:p>
    <w:p w14:paraId="7EC4BEBA" w14:textId="4994EE3A" w:rsidR="00A052F3" w:rsidRDefault="00A052F3" w:rsidP="008A3711">
      <w:pPr>
        <w:pStyle w:val="Paragraph"/>
      </w:pPr>
      <w:r>
        <w:t>Some submitters noted that</w:t>
      </w:r>
      <w:r w:rsidR="006A673B">
        <w:t xml:space="preserve"> while </w:t>
      </w:r>
      <w:r w:rsidR="0060421B">
        <w:t>they</w:t>
      </w:r>
      <w:r w:rsidR="006A673B">
        <w:t xml:space="preserve"> understood the ACMA </w:t>
      </w:r>
      <w:r w:rsidR="00436EEE">
        <w:t xml:space="preserve">was </w:t>
      </w:r>
      <w:r w:rsidR="006A673B">
        <w:t xml:space="preserve">encouraging </w:t>
      </w:r>
      <w:r w:rsidR="007107C5">
        <w:t>satellite ground station operators to establish outside of high-density regions</w:t>
      </w:r>
      <w:r w:rsidR="00123EE1">
        <w:t>,</w:t>
      </w:r>
      <w:r w:rsidR="0072777D">
        <w:t xml:space="preserve"> </w:t>
      </w:r>
      <w:r w:rsidR="0060421B">
        <w:t>they</w:t>
      </w:r>
      <w:r w:rsidR="0072777D">
        <w:t xml:space="preserve"> </w:t>
      </w:r>
      <w:r w:rsidR="00436EEE">
        <w:t xml:space="preserve">were </w:t>
      </w:r>
      <w:r w:rsidR="0072777D">
        <w:t>concerned that there is</w:t>
      </w:r>
      <w:r w:rsidR="007107C5">
        <w:t xml:space="preserve"> no core infrastructure</w:t>
      </w:r>
      <w:r w:rsidR="00231E16">
        <w:t xml:space="preserve"> to support their services</w:t>
      </w:r>
      <w:r w:rsidR="00436EEE">
        <w:t xml:space="preserve"> outside of high-density areas</w:t>
      </w:r>
      <w:r w:rsidR="007107C5">
        <w:t xml:space="preserve">. </w:t>
      </w:r>
    </w:p>
    <w:p w14:paraId="49A4FBF7" w14:textId="71840DCB" w:rsidR="00007FB2" w:rsidRPr="00231E16" w:rsidRDefault="00826294" w:rsidP="008A3711">
      <w:pPr>
        <w:pStyle w:val="Paragraph"/>
      </w:pPr>
      <w:r w:rsidRPr="00231E16">
        <w:t xml:space="preserve">Some submitters also raised issues about the </w:t>
      </w:r>
      <w:r w:rsidR="00F5292A">
        <w:t xml:space="preserve">cost recovery </w:t>
      </w:r>
      <w:r w:rsidR="00007FB2" w:rsidRPr="00231E16">
        <w:t>charges for the satellite industry.</w:t>
      </w:r>
      <w:r w:rsidR="00FE09DD" w:rsidRPr="00231E16">
        <w:t xml:space="preserve"> For example</w:t>
      </w:r>
      <w:r w:rsidR="003442EC" w:rsidRPr="00231E16">
        <w:t xml:space="preserve">, </w:t>
      </w:r>
      <w:r w:rsidR="00290AFC" w:rsidRPr="00231E16">
        <w:t xml:space="preserve">it was </w:t>
      </w:r>
      <w:r w:rsidR="003442EC">
        <w:t>s</w:t>
      </w:r>
      <w:r w:rsidR="00FE09DD">
        <w:t xml:space="preserve">uggested that partial to full cost recovery waivers be available to academia, </w:t>
      </w:r>
      <w:proofErr w:type="gramStart"/>
      <w:r w:rsidR="00FE09DD">
        <w:t>science</w:t>
      </w:r>
      <w:proofErr w:type="gramEnd"/>
      <w:r w:rsidR="00FE09DD">
        <w:t xml:space="preserve"> and start-up businesses, to support the growth and transformation of the industry. </w:t>
      </w:r>
    </w:p>
    <w:p w14:paraId="34F4AB82" w14:textId="1DCC8207" w:rsidR="007B76F8" w:rsidRDefault="007B76F8" w:rsidP="008A3711">
      <w:pPr>
        <w:pStyle w:val="Heading3"/>
      </w:pPr>
      <w:r w:rsidRPr="00DF3931">
        <w:t>Response to submitters</w:t>
      </w:r>
    </w:p>
    <w:p w14:paraId="52D4C900" w14:textId="21878F0B" w:rsidR="00DF3931" w:rsidRDefault="00DF3931" w:rsidP="008A3711">
      <w:pPr>
        <w:pStyle w:val="Paragraph"/>
      </w:pPr>
      <w:r w:rsidRPr="00CA4838">
        <w:t>The ACMA is proposing</w:t>
      </w:r>
      <w:r w:rsidR="00717346" w:rsidRPr="00CA4838">
        <w:t xml:space="preserve"> new tax</w:t>
      </w:r>
      <w:r w:rsidR="00F5292A">
        <w:t xml:space="preserve"> rat</w:t>
      </w:r>
      <w:r w:rsidR="00717346" w:rsidRPr="00CA4838">
        <w:t xml:space="preserve">es under the tax formula for </w:t>
      </w:r>
      <w:r w:rsidR="00F5292A">
        <w:t xml:space="preserve">licences </w:t>
      </w:r>
      <w:r w:rsidR="00717346" w:rsidRPr="00CA4838">
        <w:t>in frequency ranges above 5</w:t>
      </w:r>
      <w:r w:rsidR="00E30EBB">
        <w:t xml:space="preserve"> </w:t>
      </w:r>
      <w:r w:rsidR="00717346" w:rsidRPr="00CA4838">
        <w:t>GHz</w:t>
      </w:r>
      <w:r w:rsidR="00CA4838" w:rsidRPr="00CA4838">
        <w:t>.</w:t>
      </w:r>
      <w:r w:rsidR="009B388C">
        <w:t xml:space="preserve"> </w:t>
      </w:r>
      <w:r w:rsidR="001B7EB1">
        <w:t xml:space="preserve">We are also considering a systems approach to the taxation of </w:t>
      </w:r>
      <w:r w:rsidR="00F5292A">
        <w:t xml:space="preserve">licences for </w:t>
      </w:r>
      <w:r w:rsidR="001B7EB1">
        <w:t>earth stations.</w:t>
      </w:r>
      <w:r w:rsidR="00D17EF8">
        <w:t xml:space="preserve"> </w:t>
      </w:r>
      <w:r w:rsidR="00BA3550">
        <w:t xml:space="preserve">This </w:t>
      </w:r>
      <w:r w:rsidR="00EF0708">
        <w:t xml:space="preserve">systems approach was highlighted </w:t>
      </w:r>
      <w:r w:rsidR="00194999">
        <w:t xml:space="preserve">in the initial consultation paper. </w:t>
      </w:r>
      <w:r w:rsidR="003E0C4D">
        <w:t>Further consideration</w:t>
      </w:r>
      <w:r w:rsidR="00C61C2C">
        <w:t xml:space="preserve"> </w:t>
      </w:r>
      <w:r w:rsidR="00130938">
        <w:t xml:space="preserve">of taxes for space </w:t>
      </w:r>
      <w:r w:rsidR="00C03856">
        <w:t>licensing</w:t>
      </w:r>
      <w:r w:rsidR="00130938">
        <w:t xml:space="preserve"> may be appropriate</w:t>
      </w:r>
      <w:r w:rsidR="005628F2">
        <w:t xml:space="preserve"> as the work associated with earth stations </w:t>
      </w:r>
      <w:r w:rsidR="00911D57">
        <w:t xml:space="preserve">develops. </w:t>
      </w:r>
      <w:r w:rsidR="009B388C">
        <w:t>Details of the proposed tax</w:t>
      </w:r>
      <w:r w:rsidR="00C04C8B">
        <w:t xml:space="preserve"> rat</w:t>
      </w:r>
      <w:r w:rsidR="009B388C">
        <w:t xml:space="preserve">es </w:t>
      </w:r>
      <w:r w:rsidR="00C04C8B">
        <w:t>are</w:t>
      </w:r>
      <w:r w:rsidR="009B388C">
        <w:t xml:space="preserve"> available in the</w:t>
      </w:r>
      <w:r w:rsidR="00E30EBB">
        <w:t xml:space="preserve"> </w:t>
      </w:r>
      <w:hyperlink w:anchor="_Work_Program" w:history="1">
        <w:r w:rsidR="00E30EBB" w:rsidRPr="00E30EBB">
          <w:rPr>
            <w:rStyle w:val="Hyperlink"/>
          </w:rPr>
          <w:t>work program</w:t>
        </w:r>
      </w:hyperlink>
      <w:r w:rsidR="00E30EBB">
        <w:t xml:space="preserve"> </w:t>
      </w:r>
      <w:r w:rsidR="007B6ACA">
        <w:t>and the</w:t>
      </w:r>
      <w:r w:rsidR="00E30EBB">
        <w:t xml:space="preserve"> </w:t>
      </w:r>
      <w:hyperlink w:anchor="_Consultation" w:history="1">
        <w:r w:rsidR="00E30EBB" w:rsidRPr="00E30EBB">
          <w:rPr>
            <w:rStyle w:val="Hyperlink"/>
          </w:rPr>
          <w:t>consultation</w:t>
        </w:r>
      </w:hyperlink>
      <w:r w:rsidR="00E30EBB">
        <w:t xml:space="preserve"> </w:t>
      </w:r>
      <w:r w:rsidR="007B6ACA">
        <w:t>sect</w:t>
      </w:r>
      <w:r w:rsidR="00B50AFF">
        <w:t>ions</w:t>
      </w:r>
      <w:r w:rsidR="007B6ACA">
        <w:t xml:space="preserve"> of this paper.</w:t>
      </w:r>
      <w:r w:rsidR="00054A43">
        <w:t xml:space="preserve"> </w:t>
      </w:r>
    </w:p>
    <w:p w14:paraId="4A3830E2" w14:textId="3067178D" w:rsidR="002D7F5C" w:rsidRDefault="002D7F5C" w:rsidP="008A3711">
      <w:pPr>
        <w:pStyle w:val="Paragraph"/>
      </w:pPr>
      <w:r>
        <w:t>As noted in the FYSO</w:t>
      </w:r>
      <w:r w:rsidR="00E30EBB">
        <w:t>,</w:t>
      </w:r>
      <w:r>
        <w:t xml:space="preserve"> it is </w:t>
      </w:r>
      <w:r w:rsidR="00D17EF8">
        <w:t xml:space="preserve">also </w:t>
      </w:r>
      <w:r>
        <w:t xml:space="preserve">possible </w:t>
      </w:r>
      <w:r w:rsidRPr="000220F0">
        <w:t>that the outcome of the Communications</w:t>
      </w:r>
      <w:r w:rsidR="00E30EBB">
        <w:t>’</w:t>
      </w:r>
      <w:r w:rsidRPr="000220F0">
        <w:t xml:space="preserve"> portfolio five-yearly Portfolio Charging Review</w:t>
      </w:r>
      <w:r w:rsidRPr="000220F0">
        <w:rPr>
          <w:rStyle w:val="FootnoteReference"/>
        </w:rPr>
        <w:footnoteReference w:id="3"/>
      </w:r>
      <w:r w:rsidRPr="000220F0">
        <w:t xml:space="preserve"> will require a review of </w:t>
      </w:r>
      <w:r>
        <w:t xml:space="preserve">our </w:t>
      </w:r>
      <w:r w:rsidRPr="000220F0">
        <w:t>satellite filing cost recovery process to ensure that practices are consistent with outcomes of that work.</w:t>
      </w:r>
      <w:r>
        <w:t xml:space="preserve"> </w:t>
      </w:r>
    </w:p>
    <w:p w14:paraId="7F1D2194" w14:textId="17323A9C" w:rsidR="003F28C4" w:rsidRDefault="003F28C4" w:rsidP="007B242A">
      <w:pPr>
        <w:pStyle w:val="Heading2"/>
        <w:keepLines/>
      </w:pPr>
      <w:bookmarkStart w:id="16" w:name="_Toc59007929"/>
      <w:r w:rsidRPr="003F28C4">
        <w:t xml:space="preserve">The </w:t>
      </w:r>
      <w:r w:rsidR="00E30EBB">
        <w:t>t</w:t>
      </w:r>
      <w:r w:rsidRPr="003F28C4">
        <w:t>ax formula</w:t>
      </w:r>
      <w:bookmarkEnd w:id="16"/>
    </w:p>
    <w:p w14:paraId="2780CA3C" w14:textId="7CFF2702" w:rsidR="00310543" w:rsidRDefault="00E456AE" w:rsidP="007B242A">
      <w:pPr>
        <w:pStyle w:val="Paragraphbeforelist"/>
      </w:pPr>
      <w:r>
        <w:t xml:space="preserve">Recommendation 7 of the Spectrum Pricing Review </w:t>
      </w:r>
      <w:r w:rsidR="004E37DA">
        <w:t xml:space="preserve">recommends </w:t>
      </w:r>
      <w:r>
        <w:t>the ACMA</w:t>
      </w:r>
      <w:r w:rsidR="00502D40">
        <w:t xml:space="preserve"> </w:t>
      </w:r>
      <w:r w:rsidR="00431F8C">
        <w:t xml:space="preserve">should </w:t>
      </w:r>
      <w:r w:rsidR="00502D40">
        <w:t xml:space="preserve">review the </w:t>
      </w:r>
      <w:r w:rsidR="004E37DA">
        <w:t xml:space="preserve">apparatus licence </w:t>
      </w:r>
      <w:r w:rsidR="00502D40">
        <w:t>tax formula</w:t>
      </w:r>
      <w:r w:rsidR="00160D39">
        <w:t xml:space="preserve">: </w:t>
      </w:r>
    </w:p>
    <w:p w14:paraId="46E4C6E6" w14:textId="5399164D" w:rsidR="00812EEE" w:rsidRDefault="00812EEE" w:rsidP="007B242A">
      <w:pPr>
        <w:pStyle w:val="Paragraph"/>
        <w:keepNext/>
        <w:keepLines/>
        <w:ind w:left="284"/>
      </w:pPr>
      <w:r>
        <w:t xml:space="preserve">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w:t>
      </w:r>
      <w:proofErr w:type="gramStart"/>
      <w:r>
        <w:t>demography</w:t>
      </w:r>
      <w:proofErr w:type="gramEnd"/>
      <w:r>
        <w:t xml:space="preserve"> and demand.</w:t>
      </w:r>
    </w:p>
    <w:p w14:paraId="32F95D8B" w14:textId="63885FFD" w:rsidR="00C338A2" w:rsidRPr="00310543" w:rsidRDefault="00C338A2" w:rsidP="00C338A2">
      <w:pPr>
        <w:pStyle w:val="Paragraph"/>
      </w:pPr>
      <w:r>
        <w:t>The ACMA’s work program details</w:t>
      </w:r>
      <w:r w:rsidR="00217260">
        <w:t xml:space="preserve"> the work it will conduct over 2021 in undertaking th</w:t>
      </w:r>
      <w:r w:rsidR="004E37DA">
        <w:t>is</w:t>
      </w:r>
      <w:r w:rsidR="00217260">
        <w:t xml:space="preserve"> review, including its initial proposal to reduce taxe</w:t>
      </w:r>
      <w:r w:rsidR="008B5044">
        <w:t xml:space="preserve">s for </w:t>
      </w:r>
      <w:r w:rsidR="004E37DA">
        <w:t xml:space="preserve">licences </w:t>
      </w:r>
      <w:r w:rsidR="008B5044">
        <w:t xml:space="preserve">above </w:t>
      </w:r>
      <w:r w:rsidR="004E37DA">
        <w:t>5 </w:t>
      </w:r>
      <w:r w:rsidR="008B5044">
        <w:t>GHz. In addition</w:t>
      </w:r>
      <w:r w:rsidR="009357EE">
        <w:t>, submitters noted some additional</w:t>
      </w:r>
      <w:r w:rsidR="00DB5D95">
        <w:t xml:space="preserve"> issues for consideration</w:t>
      </w:r>
      <w:r w:rsidR="003C2E9D">
        <w:t>:</w:t>
      </w:r>
      <w:r w:rsidR="004F672D">
        <w:t xml:space="preserve"> </w:t>
      </w:r>
    </w:p>
    <w:p w14:paraId="717E8ED0" w14:textId="01D7507E" w:rsidR="00AD2337" w:rsidRPr="00C22C16" w:rsidRDefault="00AD2337" w:rsidP="007B242A">
      <w:pPr>
        <w:pStyle w:val="Heading3"/>
      </w:pPr>
      <w:r>
        <w:t>Tax formula normalisation factor</w:t>
      </w:r>
      <w:r w:rsidR="00E500AC">
        <w:t xml:space="preserve"> (</w:t>
      </w:r>
      <w:r w:rsidR="00381B6C">
        <w:t>i.e.</w:t>
      </w:r>
      <w:r w:rsidR="00E500AC">
        <w:t xml:space="preserve"> </w:t>
      </w:r>
      <w:r w:rsidR="00E30EBB">
        <w:t>u</w:t>
      </w:r>
      <w:r w:rsidR="00E500AC">
        <w:t>pdates for inflation)</w:t>
      </w:r>
    </w:p>
    <w:p w14:paraId="563DC22B" w14:textId="6BD7EADB" w:rsidR="00AD2337" w:rsidRDefault="002F3947" w:rsidP="007B242A">
      <w:pPr>
        <w:pStyle w:val="Paragraph"/>
        <w:rPr>
          <w:bCs/>
        </w:rPr>
      </w:pPr>
      <w:r>
        <w:t>Currently</w:t>
      </w:r>
      <w:r w:rsidR="00431F8C">
        <w:t>,</w:t>
      </w:r>
      <w:r>
        <w:t xml:space="preserve"> one of the ways we keep </w:t>
      </w:r>
      <w:r w:rsidR="00E837BA" w:rsidRPr="00046DA5">
        <w:t>spectrum pricing contemporary includ</w:t>
      </w:r>
      <w:r w:rsidR="00704450">
        <w:t>es</w:t>
      </w:r>
      <w:r w:rsidR="00E837BA" w:rsidRPr="00046DA5">
        <w:t xml:space="preserve"> updat</w:t>
      </w:r>
      <w:r w:rsidR="00431F8C">
        <w:t>ing</w:t>
      </w:r>
      <w:r w:rsidR="00704450">
        <w:t xml:space="preserve"> the </w:t>
      </w:r>
      <w:r w:rsidR="00381B6C">
        <w:t xml:space="preserve">apparatus licence </w:t>
      </w:r>
      <w:r w:rsidR="00704450">
        <w:t xml:space="preserve">tax </w:t>
      </w:r>
      <w:r w:rsidR="00536491">
        <w:t>formula</w:t>
      </w:r>
      <w:r w:rsidR="00704450">
        <w:t xml:space="preserve"> </w:t>
      </w:r>
      <w:r w:rsidR="00E837BA" w:rsidRPr="00046DA5">
        <w:t>for inflation.</w:t>
      </w:r>
    </w:p>
    <w:p w14:paraId="1A4EBD4C" w14:textId="0BA86EB7" w:rsidR="00AD2337" w:rsidRDefault="00AD2337" w:rsidP="007B242A">
      <w:pPr>
        <w:pStyle w:val="Paragraph"/>
        <w:rPr>
          <w:bCs/>
        </w:rPr>
      </w:pPr>
      <w:r>
        <w:rPr>
          <w:bCs/>
        </w:rPr>
        <w:t xml:space="preserve">Some submitters noted that the annual adjustment </w:t>
      </w:r>
      <w:r w:rsidR="000B1FA6">
        <w:rPr>
          <w:bCs/>
        </w:rPr>
        <w:t xml:space="preserve">for inflation </w:t>
      </w:r>
      <w:r>
        <w:rPr>
          <w:bCs/>
        </w:rPr>
        <w:t xml:space="preserve">should be </w:t>
      </w:r>
      <w:r w:rsidR="000B1FA6">
        <w:rPr>
          <w:bCs/>
        </w:rPr>
        <w:t>reviewed</w:t>
      </w:r>
      <w:r>
        <w:rPr>
          <w:bCs/>
        </w:rPr>
        <w:t>. One proposition put forward is that the CPI adjustments should be based on ‘</w:t>
      </w:r>
      <w:r w:rsidR="00E30EBB">
        <w:rPr>
          <w:bCs/>
        </w:rPr>
        <w:t>t</w:t>
      </w:r>
      <w:r>
        <w:rPr>
          <w:bCs/>
        </w:rPr>
        <w:t>elecommunication equipment and services’ and not ‘</w:t>
      </w:r>
      <w:r w:rsidR="00E30EBB">
        <w:rPr>
          <w:bCs/>
        </w:rPr>
        <w:t>a</w:t>
      </w:r>
      <w:r>
        <w:rPr>
          <w:bCs/>
        </w:rPr>
        <w:t xml:space="preserve">ll </w:t>
      </w:r>
      <w:r w:rsidR="00E30EBB">
        <w:rPr>
          <w:bCs/>
        </w:rPr>
        <w:t>g</w:t>
      </w:r>
      <w:r>
        <w:rPr>
          <w:bCs/>
        </w:rPr>
        <w:t>roups’ as i</w:t>
      </w:r>
      <w:r w:rsidR="008E405F">
        <w:rPr>
          <w:bCs/>
        </w:rPr>
        <w:t>s</w:t>
      </w:r>
      <w:r>
        <w:rPr>
          <w:bCs/>
        </w:rPr>
        <w:t xml:space="preserve"> currently the case. This argument here is that this should better reflect the prices within the industries relevant to spectrum management.</w:t>
      </w:r>
    </w:p>
    <w:p w14:paraId="59C0BFA2" w14:textId="435CC024" w:rsidR="00AD2337" w:rsidRDefault="00AD2337" w:rsidP="004C2E17">
      <w:pPr>
        <w:pStyle w:val="Paragraph"/>
      </w:pPr>
      <w:r>
        <w:rPr>
          <w:bCs/>
        </w:rPr>
        <w:t>Other</w:t>
      </w:r>
      <w:r w:rsidR="00AC050B">
        <w:rPr>
          <w:bCs/>
        </w:rPr>
        <w:t>s</w:t>
      </w:r>
      <w:r>
        <w:rPr>
          <w:bCs/>
        </w:rPr>
        <w:t xml:space="preserve"> propos</w:t>
      </w:r>
      <w:r w:rsidR="00AC050B">
        <w:rPr>
          <w:bCs/>
        </w:rPr>
        <w:t>ed</w:t>
      </w:r>
      <w:r>
        <w:rPr>
          <w:bCs/>
        </w:rPr>
        <w:t xml:space="preserve"> </w:t>
      </w:r>
      <w:r w:rsidR="00832872">
        <w:rPr>
          <w:bCs/>
        </w:rPr>
        <w:t>remov</w:t>
      </w:r>
      <w:r w:rsidR="00AC050B">
        <w:rPr>
          <w:bCs/>
        </w:rPr>
        <w:t>ing</w:t>
      </w:r>
      <w:r>
        <w:rPr>
          <w:bCs/>
        </w:rPr>
        <w:t xml:space="preserve"> the annual adjustment altogether. Arguments put forward </w:t>
      </w:r>
      <w:r w:rsidR="00F569CE">
        <w:rPr>
          <w:bCs/>
        </w:rPr>
        <w:t xml:space="preserve">were </w:t>
      </w:r>
      <w:r>
        <w:rPr>
          <w:bCs/>
        </w:rPr>
        <w:t>that the annual adjustment was pushing the price of spectrum above what is affordable, especially for services in regional or remote Australia, and that these increases did not reflect actual pricing pressures within markets.</w:t>
      </w:r>
    </w:p>
    <w:p w14:paraId="5B386AE6" w14:textId="3B25CAB2" w:rsidR="00AD2337" w:rsidRPr="00DB223F" w:rsidRDefault="006C0B48" w:rsidP="00DB223F">
      <w:pPr>
        <w:pStyle w:val="Heading4"/>
      </w:pPr>
      <w:r w:rsidRPr="00DB223F">
        <w:t>Response to submitters</w:t>
      </w:r>
    </w:p>
    <w:p w14:paraId="735A4ACF" w14:textId="284B85B6" w:rsidR="00AD2337" w:rsidRDefault="00060D29" w:rsidP="004C2E17">
      <w:pPr>
        <w:pStyle w:val="Paragraph"/>
      </w:pPr>
      <w:r>
        <w:t>The</w:t>
      </w:r>
      <w:r w:rsidR="00031143">
        <w:t xml:space="preserve"> annual inflation rate</w:t>
      </w:r>
      <w:r w:rsidR="00C108EA">
        <w:t xml:space="preserve"> for the period up until June 30, 2020 was </w:t>
      </w:r>
      <w:r w:rsidR="007B75C5">
        <w:t xml:space="preserve">minus </w:t>
      </w:r>
      <w:r w:rsidR="5C6817CF">
        <w:t>0.3</w:t>
      </w:r>
      <w:r w:rsidR="00E30EBB">
        <w:t>%</w:t>
      </w:r>
      <w:r w:rsidR="007B75C5">
        <w:t>.</w:t>
      </w:r>
      <w:r w:rsidR="00B939FB">
        <w:rPr>
          <w:rStyle w:val="FootnoteReference"/>
        </w:rPr>
        <w:footnoteReference w:id="4"/>
      </w:r>
      <w:r w:rsidR="00CE1BE4">
        <w:t xml:space="preserve"> </w:t>
      </w:r>
      <w:r w:rsidR="00D60143">
        <w:t>We are</w:t>
      </w:r>
      <w:r w:rsidR="007B75C5">
        <w:t xml:space="preserve"> proposing</w:t>
      </w:r>
      <w:r w:rsidR="008F408C">
        <w:t xml:space="preserve"> to </w:t>
      </w:r>
      <w:r w:rsidR="009E2A13">
        <w:t xml:space="preserve">reduce </w:t>
      </w:r>
      <w:r w:rsidR="008F408C">
        <w:t>apparatus licence tax</w:t>
      </w:r>
      <w:r w:rsidR="00F60E3C">
        <w:t xml:space="preserve"> rat</w:t>
      </w:r>
      <w:r w:rsidR="008F408C">
        <w:t xml:space="preserve">es as </w:t>
      </w:r>
      <w:r w:rsidR="00F35596">
        <w:t>a result, with effect from 5</w:t>
      </w:r>
      <w:r w:rsidR="00F966A5">
        <w:t> </w:t>
      </w:r>
      <w:r w:rsidR="00D60143">
        <w:t>April 2021.</w:t>
      </w:r>
      <w:r w:rsidR="00B42B4E">
        <w:t xml:space="preserve"> This is a matter of a separate consultation process.</w:t>
      </w:r>
      <w:r w:rsidR="004F672D">
        <w:t xml:space="preserve"> </w:t>
      </w:r>
    </w:p>
    <w:p w14:paraId="5DB320DB" w14:textId="5559D230" w:rsidR="006A6212" w:rsidRDefault="007E1882" w:rsidP="004C2E17">
      <w:pPr>
        <w:pStyle w:val="Paragraph"/>
        <w:rPr>
          <w:b/>
        </w:rPr>
      </w:pPr>
      <w:r>
        <w:t xml:space="preserve">As part of our work program we will consider </w:t>
      </w:r>
      <w:r w:rsidR="002F5D36">
        <w:t xml:space="preserve">other </w:t>
      </w:r>
      <w:r>
        <w:t>approaches</w:t>
      </w:r>
      <w:r w:rsidR="00AD3B8D">
        <w:t xml:space="preserve"> to </w:t>
      </w:r>
      <w:r w:rsidR="002F5D36">
        <w:t xml:space="preserve">keeping </w:t>
      </w:r>
      <w:r w:rsidR="00C07989">
        <w:t xml:space="preserve">apparatus licence </w:t>
      </w:r>
      <w:r w:rsidR="002F5D36">
        <w:t xml:space="preserve">taxes </w:t>
      </w:r>
      <w:r w:rsidR="00431F8C">
        <w:t>up to date</w:t>
      </w:r>
      <w:r w:rsidR="00AD3B8D">
        <w:t>.</w:t>
      </w:r>
    </w:p>
    <w:p w14:paraId="4FB0839F" w14:textId="53755632" w:rsidR="006A6212" w:rsidRDefault="006A6212" w:rsidP="004C2E17">
      <w:pPr>
        <w:pStyle w:val="Heading3"/>
      </w:pPr>
      <w:r>
        <w:t>Tax formula adjustment factor</w:t>
      </w:r>
      <w:r w:rsidR="0014455D">
        <w:t>s</w:t>
      </w:r>
    </w:p>
    <w:p w14:paraId="41B64BA5" w14:textId="46D57F0F" w:rsidR="006A6212" w:rsidRDefault="006A6212" w:rsidP="006A6212">
      <w:pPr>
        <w:spacing w:after="80"/>
        <w:rPr>
          <w:bCs/>
        </w:rPr>
      </w:pPr>
      <w:r>
        <w:rPr>
          <w:bCs/>
        </w:rPr>
        <w:t xml:space="preserve">Several submissions discussed the various adjustment factors for different classes of </w:t>
      </w:r>
      <w:r w:rsidR="00A911A6">
        <w:rPr>
          <w:bCs/>
        </w:rPr>
        <w:t xml:space="preserve">apparatus </w:t>
      </w:r>
      <w:r>
        <w:rPr>
          <w:bCs/>
        </w:rPr>
        <w:t xml:space="preserve">licenses. An example is that of the adjustment factor for fixed point-to-point </w:t>
      </w:r>
      <w:r w:rsidR="007835C7">
        <w:rPr>
          <w:bCs/>
        </w:rPr>
        <w:t>licences</w:t>
      </w:r>
      <w:r>
        <w:rPr>
          <w:bCs/>
        </w:rPr>
        <w:t xml:space="preserve">, where it was argued that they do not service the local population within the interim network but are instead used for </w:t>
      </w:r>
      <w:proofErr w:type="gramStart"/>
      <w:r>
        <w:rPr>
          <w:bCs/>
        </w:rPr>
        <w:t>backhaul</w:t>
      </w:r>
      <w:proofErr w:type="gramEnd"/>
      <w:r>
        <w:rPr>
          <w:bCs/>
        </w:rPr>
        <w:t>.</w:t>
      </w:r>
    </w:p>
    <w:p w14:paraId="0980CD77" w14:textId="77777777" w:rsidR="006A6212" w:rsidRPr="00B70597" w:rsidRDefault="006A6212" w:rsidP="006A6212">
      <w:pPr>
        <w:pStyle w:val="Heading4"/>
      </w:pPr>
      <w:r w:rsidRPr="00B70597">
        <w:t>Response to submitters</w:t>
      </w:r>
    </w:p>
    <w:p w14:paraId="20EB9884" w14:textId="7361F614" w:rsidR="006A6212" w:rsidRDefault="00DA6FCD" w:rsidP="004C2E17">
      <w:pPr>
        <w:pStyle w:val="Paragraph"/>
      </w:pPr>
      <w:r>
        <w:t>Complications may arise where a transmitter in one area serves a population in a different area, and those areas have different applicable tax rates</w:t>
      </w:r>
      <w:r w:rsidR="006A6212">
        <w:t>. However, reflecting those differences in spectrum pricing arrangements is difficult when services are potentially denying other services in highly popul</w:t>
      </w:r>
      <w:r w:rsidR="00694057">
        <w:t>ated</w:t>
      </w:r>
      <w:r w:rsidR="006A6212">
        <w:t xml:space="preserve"> areas. Typically, spectrum prices are higher in such areas to promote the efficient use of the spectrum. While not part of our initial work program, different pricing constructs such as $/MHz/Pop may be part of a </w:t>
      </w:r>
      <w:r w:rsidR="00F52389">
        <w:t>longer-term</w:t>
      </w:r>
      <w:r w:rsidR="006A6212">
        <w:t xml:space="preserve"> </w:t>
      </w:r>
      <w:r w:rsidR="00B23D84">
        <w:t>solution</w:t>
      </w:r>
      <w:r w:rsidR="006A6212">
        <w:t>.</w:t>
      </w:r>
    </w:p>
    <w:p w14:paraId="797C1331" w14:textId="77777777" w:rsidR="00A80104" w:rsidRPr="000D7E38" w:rsidRDefault="00A80104" w:rsidP="00A80104">
      <w:pPr>
        <w:pStyle w:val="Heading2"/>
      </w:pPr>
      <w:bookmarkStart w:id="17" w:name="_Ref57137283"/>
      <w:bookmarkStart w:id="18" w:name="_Toc59007930"/>
      <w:r w:rsidRPr="000D7E38">
        <w:t>Spectrum pricing guidelines</w:t>
      </w:r>
      <w:bookmarkEnd w:id="17"/>
      <w:bookmarkEnd w:id="18"/>
    </w:p>
    <w:p w14:paraId="27F92FCB" w14:textId="102A5B60" w:rsidR="00A80104" w:rsidRPr="000D7E38" w:rsidRDefault="00A80104" w:rsidP="004C2E17">
      <w:pPr>
        <w:pStyle w:val="Paragraph"/>
      </w:pPr>
      <w:r w:rsidRPr="000D7E38">
        <w:t xml:space="preserve">There was general support </w:t>
      </w:r>
      <w:r w:rsidR="00DA6FCD">
        <w:t>for</w:t>
      </w:r>
      <w:r w:rsidRPr="000D7E38">
        <w:t xml:space="preserve"> the proposed </w:t>
      </w:r>
      <w:r w:rsidR="00AC4D81">
        <w:t>s</w:t>
      </w:r>
      <w:r w:rsidRPr="000D7E38">
        <w:t xml:space="preserve">pectrum </w:t>
      </w:r>
      <w:r w:rsidR="00AC4D81">
        <w:t>p</w:t>
      </w:r>
      <w:r w:rsidRPr="000D7E38">
        <w:t xml:space="preserve">ricing </w:t>
      </w:r>
      <w:r w:rsidR="00AC4D81">
        <w:t>g</w:t>
      </w:r>
      <w:r w:rsidRPr="000D7E38">
        <w:t xml:space="preserve">uidelines from submitters. However, several suggestions were also made with respect to how they might be further bolstered and refined. </w:t>
      </w:r>
    </w:p>
    <w:p w14:paraId="1DAB554A" w14:textId="54DEF3E1" w:rsidR="00A80104" w:rsidRPr="000D7E38" w:rsidRDefault="00154E8A" w:rsidP="004C2E17">
      <w:pPr>
        <w:pStyle w:val="Paragraph"/>
      </w:pPr>
      <w:r>
        <w:t>As noted above</w:t>
      </w:r>
      <w:r w:rsidR="00DA6FCD">
        <w:t>,</w:t>
      </w:r>
      <w:r>
        <w:t xml:space="preserve"> </w:t>
      </w:r>
      <w:r w:rsidR="00B64189">
        <w:t xml:space="preserve">some submitters commented on the issues associated with recognising </w:t>
      </w:r>
      <w:r w:rsidR="002473D0">
        <w:t>the public good or benefit of their services</w:t>
      </w:r>
      <w:r w:rsidR="00210876">
        <w:t>. Other</w:t>
      </w:r>
      <w:r w:rsidR="00DE5389">
        <w:t>s</w:t>
      </w:r>
      <w:r w:rsidR="00210876">
        <w:t xml:space="preserve"> commented on ensuring that</w:t>
      </w:r>
      <w:r w:rsidR="00247F92">
        <w:t xml:space="preserve"> that there is flexibility in pricing arrangements. </w:t>
      </w:r>
      <w:r w:rsidR="00A80104" w:rsidRPr="000D7E38">
        <w:t xml:space="preserve">The space industry made suggestions to incorporate global benchmarking of services within the guidelines and an accommodation of different sizes and different models of business to enter the Australian market. The suggestion was made that Australian pricing for spectrum relating to satellite services was not competitive when compared with international jurisdictions and thus could act as a barrier to entry for small and medium sized providers. </w:t>
      </w:r>
    </w:p>
    <w:p w14:paraId="50F3C9DB" w14:textId="0427ACF2" w:rsidR="00A80104" w:rsidRPr="000D7E38" w:rsidRDefault="00A80104" w:rsidP="004C2E17">
      <w:pPr>
        <w:pStyle w:val="Paragraph"/>
      </w:pPr>
      <w:r w:rsidRPr="000D7E38">
        <w:t xml:space="preserve">Others commented on the spectrum pricing in instances where there is excess supply in particular bands. The suggestion quoted final recommendations for the Spectrum Pricing Review that stated where there is enough spectrum to satisfy the demand of all interested parties if prices were to be zero, </w:t>
      </w:r>
      <w:r w:rsidR="008072EB">
        <w:t xml:space="preserve">taxes and </w:t>
      </w:r>
      <w:r w:rsidRPr="000D7E38">
        <w:t>charges should be limited to recovering the ACMA’s direct and indirect costs of managing the spectrum.</w:t>
      </w:r>
    </w:p>
    <w:p w14:paraId="423F5D9C" w14:textId="77777777" w:rsidR="00A80104" w:rsidRPr="000D7E38" w:rsidRDefault="00A80104" w:rsidP="00A80104">
      <w:pPr>
        <w:pStyle w:val="Heading4"/>
      </w:pPr>
      <w:r w:rsidRPr="000D7E38">
        <w:t>Response to submitters</w:t>
      </w:r>
    </w:p>
    <w:p w14:paraId="34DEBAE4" w14:textId="0C3A2317" w:rsidR="00B5583F" w:rsidRDefault="00EC106B" w:rsidP="004C2E17">
      <w:pPr>
        <w:pStyle w:val="Paragraphbeforelist"/>
      </w:pPr>
      <w:r>
        <w:t>No specific</w:t>
      </w:r>
      <w:r w:rsidR="005E70B1">
        <w:t xml:space="preserve"> example</w:t>
      </w:r>
      <w:r>
        <w:t>s</w:t>
      </w:r>
      <w:r w:rsidR="005E70B1">
        <w:t xml:space="preserve"> of pricing</w:t>
      </w:r>
      <w:r>
        <w:t xml:space="preserve"> are included</w:t>
      </w:r>
      <w:r w:rsidR="005E70B1">
        <w:t xml:space="preserve"> in the guidelines. However, we have updated the guidelines to highlight that</w:t>
      </w:r>
      <w:r w:rsidR="009C25B9">
        <w:t xml:space="preserve">: </w:t>
      </w:r>
    </w:p>
    <w:p w14:paraId="5ABE1818" w14:textId="3A60F689" w:rsidR="009C25B9" w:rsidRPr="00030B07" w:rsidRDefault="009C25B9" w:rsidP="004C2E17">
      <w:pPr>
        <w:pStyle w:val="ListBullet"/>
      </w:pPr>
      <w:r w:rsidRPr="00030B07">
        <w:t>Opportunity cost can reflect both the commercial value and the public benefit of services and therefore promote the efficient allocation of spectrum.</w:t>
      </w:r>
    </w:p>
    <w:p w14:paraId="7EDF6948" w14:textId="0ADD72F6" w:rsidR="003C24E5" w:rsidRPr="00030B07" w:rsidRDefault="00515FF2" w:rsidP="004C2E17">
      <w:pPr>
        <w:pStyle w:val="ListBulletLast"/>
      </w:pPr>
      <w:r w:rsidRPr="00030B07">
        <w:rPr>
          <w:iCs/>
        </w:rPr>
        <w:t>In providing pricing arrangement</w:t>
      </w:r>
      <w:r w:rsidR="008222F5" w:rsidRPr="00030B07">
        <w:rPr>
          <w:iCs/>
        </w:rPr>
        <w:t>s</w:t>
      </w:r>
      <w:r w:rsidRPr="00030B07">
        <w:rPr>
          <w:iCs/>
        </w:rPr>
        <w:t xml:space="preserve"> that </w:t>
      </w:r>
      <w:r w:rsidR="008222F5" w:rsidRPr="00030B07">
        <w:rPr>
          <w:iCs/>
        </w:rPr>
        <w:t>are</w:t>
      </w:r>
      <w:r w:rsidRPr="00030B07">
        <w:rPr>
          <w:iCs/>
        </w:rPr>
        <w:t xml:space="preserve"> f</w:t>
      </w:r>
      <w:r w:rsidR="008222F5" w:rsidRPr="00030B07">
        <w:rPr>
          <w:iCs/>
        </w:rPr>
        <w:t>lexible to technology change</w:t>
      </w:r>
      <w:r w:rsidR="005E70B1" w:rsidRPr="00030B07">
        <w:rPr>
          <w:iCs/>
        </w:rPr>
        <w:t xml:space="preserve"> </w:t>
      </w:r>
      <w:r w:rsidR="00030B07" w:rsidRPr="00030B07">
        <w:t xml:space="preserve">this can also </w:t>
      </w:r>
      <w:r w:rsidR="003C24E5" w:rsidRPr="00030B07">
        <w:t>promote the use of spectrum by providers of different sizes and business models.</w:t>
      </w:r>
    </w:p>
    <w:p w14:paraId="29B74B7A" w14:textId="4C1BE335" w:rsidR="002208EE" w:rsidRPr="002208EE" w:rsidRDefault="002208EE" w:rsidP="00734632">
      <w:pPr>
        <w:keepNext/>
        <w:keepLines/>
        <w:rPr>
          <w:iCs/>
        </w:rPr>
      </w:pPr>
      <w:r w:rsidRPr="002208EE">
        <w:rPr>
          <w:iCs/>
        </w:rPr>
        <w:t xml:space="preserve">The ACMA’s </w:t>
      </w:r>
      <w:r w:rsidR="00FA1166">
        <w:rPr>
          <w:iCs/>
        </w:rPr>
        <w:fldChar w:fldCharType="begin"/>
      </w:r>
      <w:r w:rsidR="00FA1166">
        <w:rPr>
          <w:iCs/>
        </w:rPr>
        <w:instrText xml:space="preserve"> REF _Ref57136189 \h </w:instrText>
      </w:r>
      <w:r w:rsidR="00FA1166">
        <w:rPr>
          <w:iCs/>
        </w:rPr>
      </w:r>
      <w:r w:rsidR="00FA1166">
        <w:rPr>
          <w:iCs/>
        </w:rPr>
        <w:fldChar w:fldCharType="separate"/>
      </w:r>
      <w:r w:rsidR="00FA1166">
        <w:t>Spectrum Pricing Guidelines</w:t>
      </w:r>
      <w:r w:rsidR="00FA1166">
        <w:rPr>
          <w:iCs/>
        </w:rPr>
        <w:fldChar w:fldCharType="end"/>
      </w:r>
      <w:r w:rsidRPr="002208EE">
        <w:rPr>
          <w:iCs/>
        </w:rPr>
        <w:t xml:space="preserve"> are set out </w:t>
      </w:r>
      <w:r w:rsidR="002542C0">
        <w:rPr>
          <w:iCs/>
        </w:rPr>
        <w:t>later in this paper</w:t>
      </w:r>
      <w:r w:rsidRPr="002208EE">
        <w:rPr>
          <w:iCs/>
        </w:rPr>
        <w:t xml:space="preserve">. </w:t>
      </w:r>
    </w:p>
    <w:p w14:paraId="4D0F3122" w14:textId="6D06071A" w:rsidR="00AD2337" w:rsidRDefault="00C470F5" w:rsidP="00AD2337">
      <w:pPr>
        <w:pStyle w:val="Heading2"/>
      </w:pPr>
      <w:bookmarkStart w:id="19" w:name="_Toc59007931"/>
      <w:r>
        <w:t>Focus Area</w:t>
      </w:r>
      <w:r w:rsidR="00FE7F1C">
        <w:t xml:space="preserve"> 1: </w:t>
      </w:r>
      <w:r w:rsidR="00AD2337">
        <w:t>Large bandwidth and multiple device requirements</w:t>
      </w:r>
      <w:bookmarkEnd w:id="19"/>
    </w:p>
    <w:p w14:paraId="7E38F3FE" w14:textId="25C90EE0" w:rsidR="00AD2337" w:rsidRPr="00231B57" w:rsidRDefault="0010562A" w:rsidP="004C2E17">
      <w:pPr>
        <w:pStyle w:val="Paragraph"/>
      </w:pPr>
      <w:r>
        <w:t xml:space="preserve">As noted </w:t>
      </w:r>
      <w:r w:rsidR="005F0725">
        <w:t>above there was strong support from the space sector to review taxes</w:t>
      </w:r>
      <w:r w:rsidR="00157FF1">
        <w:t xml:space="preserve"> to take account of these factors</w:t>
      </w:r>
      <w:r w:rsidR="005F0725">
        <w:t>.</w:t>
      </w:r>
    </w:p>
    <w:p w14:paraId="097E2994" w14:textId="77777777" w:rsidR="00FC7AA2" w:rsidRDefault="00FC7AA2" w:rsidP="00FC7AA2">
      <w:pPr>
        <w:spacing w:after="80"/>
        <w:rPr>
          <w:b/>
        </w:rPr>
      </w:pPr>
      <w:r w:rsidRPr="00DF3931">
        <w:rPr>
          <w:b/>
        </w:rPr>
        <w:t>Response to submitters</w:t>
      </w:r>
    </w:p>
    <w:p w14:paraId="564A6D1C" w14:textId="75242A9A" w:rsidR="002E258C" w:rsidRDefault="00FC7AA2" w:rsidP="004C2E17">
      <w:pPr>
        <w:pStyle w:val="Paragraph"/>
      </w:pPr>
      <w:r w:rsidRPr="00CA4838">
        <w:t>The ACMA is proposing new tax</w:t>
      </w:r>
      <w:r w:rsidR="00FA1166">
        <w:t xml:space="preserve"> rat</w:t>
      </w:r>
      <w:r w:rsidRPr="00CA4838">
        <w:t xml:space="preserve">es </w:t>
      </w:r>
      <w:r w:rsidR="00FA1166">
        <w:t xml:space="preserve">using </w:t>
      </w:r>
      <w:r w:rsidRPr="00CA4838">
        <w:t xml:space="preserve">the </w:t>
      </w:r>
      <w:r w:rsidR="00FA1166">
        <w:t>apparatus licence</w:t>
      </w:r>
      <w:r w:rsidRPr="00CA4838">
        <w:t xml:space="preserve"> tax formula for services in frequency ranges above 5</w:t>
      </w:r>
      <w:r w:rsidR="004F672D">
        <w:t xml:space="preserve"> </w:t>
      </w:r>
      <w:r w:rsidRPr="00CA4838">
        <w:t>GHz.</w:t>
      </w:r>
      <w:r>
        <w:t xml:space="preserve"> </w:t>
      </w:r>
    </w:p>
    <w:p w14:paraId="435AF2A7" w14:textId="5FEDFC40" w:rsidR="002E258C" w:rsidRDefault="002E258C" w:rsidP="004C2E17">
      <w:pPr>
        <w:pStyle w:val="Paragraph"/>
      </w:pPr>
      <w:r>
        <w:t xml:space="preserve">The ACMA has reviewed the location weightings to address the </w:t>
      </w:r>
      <w:r w:rsidR="0006558E">
        <w:t>concern</w:t>
      </w:r>
      <w:r>
        <w:t xml:space="preserve"> that high licence tax</w:t>
      </w:r>
      <w:r w:rsidR="00E80E04">
        <w:t xml:space="preserve"> amounts</w:t>
      </w:r>
      <w:r>
        <w:t xml:space="preserve"> </w:t>
      </w:r>
      <w:r w:rsidR="00516EA3">
        <w:t xml:space="preserve">are incurred </w:t>
      </w:r>
      <w:r>
        <w:t xml:space="preserve">for services with large bandwidths. This issue is known </w:t>
      </w:r>
      <w:r w:rsidR="00E80E04">
        <w:t xml:space="preserve">to exist </w:t>
      </w:r>
      <w:r>
        <w:t xml:space="preserve">in frequency bands </w:t>
      </w:r>
      <w:r w:rsidR="00510090">
        <w:t xml:space="preserve">above </w:t>
      </w:r>
      <w:r>
        <w:t>5</w:t>
      </w:r>
      <w:r w:rsidR="004F672D">
        <w:t xml:space="preserve"> </w:t>
      </w:r>
      <w:r>
        <w:t xml:space="preserve">GHz and the ACMA proposes to adjust these </w:t>
      </w:r>
      <w:r w:rsidR="00516EA3">
        <w:t xml:space="preserve">taxes </w:t>
      </w:r>
      <w:r>
        <w:t xml:space="preserve">on a sliding scale as we move higher up in frequency </w:t>
      </w:r>
      <w:r w:rsidRPr="004440D8">
        <w:t>(see last column of Table 1)</w:t>
      </w:r>
      <w:r>
        <w:t xml:space="preserve">. </w:t>
      </w:r>
      <w:r w:rsidR="00510090">
        <w:t xml:space="preserve">It is a </w:t>
      </w:r>
      <w:r>
        <w:t xml:space="preserve">recognition of </w:t>
      </w:r>
      <w:r w:rsidR="00C05A57">
        <w:t xml:space="preserve">the </w:t>
      </w:r>
      <w:r>
        <w:t>different value and scarcity of spectrum due to shorter propagation</w:t>
      </w:r>
      <w:r w:rsidR="00435F7E">
        <w:t xml:space="preserve"> and </w:t>
      </w:r>
      <w:r>
        <w:t>higher reuse for higher frequencies.</w:t>
      </w:r>
    </w:p>
    <w:p w14:paraId="7F9F993B" w14:textId="57226E2C" w:rsidR="009A3F7F" w:rsidRDefault="003B4908" w:rsidP="002836B6">
      <w:pPr>
        <w:pStyle w:val="Paragraph"/>
        <w:keepNext/>
        <w:keepLines/>
      </w:pPr>
      <w:r w:rsidRPr="0069731F">
        <w:t xml:space="preserve">The weightings </w:t>
      </w:r>
      <w:r w:rsidR="00435F7E">
        <w:t xml:space="preserve">are </w:t>
      </w:r>
      <w:r w:rsidRPr="0069731F">
        <w:t>adjusted down to bring satellite taxes closer to</w:t>
      </w:r>
      <w:r w:rsidR="00F562F7">
        <w:t xml:space="preserve"> </w:t>
      </w:r>
      <w:r w:rsidRPr="0069731F">
        <w:t xml:space="preserve">other jurisdictions. A short description of the process for </w:t>
      </w:r>
      <w:r w:rsidR="006B1033">
        <w:t>deriving</w:t>
      </w:r>
      <w:r w:rsidRPr="0069731F">
        <w:t xml:space="preserve"> the new location weightings </w:t>
      </w:r>
      <w:r w:rsidR="009905A6">
        <w:t xml:space="preserve">is at </w:t>
      </w:r>
      <w:hyperlink w:anchor="_Appendix_A:_Process" w:history="1">
        <w:r w:rsidR="009905A6" w:rsidRPr="002C6825">
          <w:rPr>
            <w:rStyle w:val="Hyperlink"/>
          </w:rPr>
          <w:t>Appendix A</w:t>
        </w:r>
      </w:hyperlink>
      <w:r w:rsidR="009905A6">
        <w:t xml:space="preserve"> </w:t>
      </w:r>
      <w:r w:rsidRPr="0069731F">
        <w:t xml:space="preserve">and the proposed new taxes can be found at </w:t>
      </w:r>
      <w:hyperlink w:anchor="_Appendix_C:_Proposed" w:history="1">
        <w:r w:rsidRPr="002C6825">
          <w:rPr>
            <w:rStyle w:val="Hyperlink"/>
          </w:rPr>
          <w:t xml:space="preserve">Appendix </w:t>
        </w:r>
        <w:r w:rsidR="009905A6" w:rsidRPr="002C6825">
          <w:rPr>
            <w:rStyle w:val="Hyperlink"/>
          </w:rPr>
          <w:t>C</w:t>
        </w:r>
      </w:hyperlink>
      <w:r w:rsidRPr="0069731F">
        <w:t xml:space="preserve">. These weightings outlined in Table 1 flow through to all </w:t>
      </w:r>
      <w:r w:rsidR="00F562F7">
        <w:t xml:space="preserve">licences whose tax is </w:t>
      </w:r>
      <w:r w:rsidRPr="0069731F">
        <w:t xml:space="preserve">governed by the </w:t>
      </w:r>
      <w:r w:rsidR="00030BD4">
        <w:t xml:space="preserve">apparatus </w:t>
      </w:r>
      <w:r w:rsidRPr="0069731F">
        <w:t xml:space="preserve">licence tax formula. </w:t>
      </w:r>
      <w:r w:rsidR="009A3F7F">
        <w:br w:type="page"/>
      </w:r>
    </w:p>
    <w:p w14:paraId="5CFDD516" w14:textId="77777777" w:rsidR="009A3F7F" w:rsidRPr="0069731F" w:rsidRDefault="009A3F7F" w:rsidP="00AE1F7F">
      <w:pPr>
        <w:spacing w:after="80"/>
      </w:pPr>
    </w:p>
    <w:p w14:paraId="2BE43285" w14:textId="0994635F" w:rsidR="002E258C" w:rsidRDefault="008F435F" w:rsidP="006178A5">
      <w:pPr>
        <w:pStyle w:val="Caption"/>
        <w:spacing w:after="120"/>
      </w:pPr>
      <w:r>
        <w:t>P</w:t>
      </w:r>
      <w:r w:rsidR="002E258C" w:rsidRPr="00B41C04">
        <w:t xml:space="preserve">roposed weightings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8"/>
        <w:gridCol w:w="723"/>
        <w:gridCol w:w="862"/>
        <w:gridCol w:w="790"/>
        <w:gridCol w:w="862"/>
        <w:gridCol w:w="722"/>
        <w:gridCol w:w="862"/>
        <w:gridCol w:w="722"/>
        <w:gridCol w:w="862"/>
        <w:gridCol w:w="722"/>
        <w:gridCol w:w="862"/>
        <w:gridCol w:w="870"/>
      </w:tblGrid>
      <w:tr w:rsidR="002C2704" w:rsidRPr="0047202C" w14:paraId="07925335" w14:textId="738405D0" w:rsidTr="004D5ADC">
        <w:trPr>
          <w:trHeight w:val="158"/>
        </w:trPr>
        <w:tc>
          <w:tcPr>
            <w:tcW w:w="988" w:type="dxa"/>
            <w:vMerge w:val="restart"/>
            <w:shd w:val="clear" w:color="000000" w:fill="404040"/>
            <w:noWrap/>
            <w:vAlign w:val="center"/>
            <w:hideMark/>
          </w:tcPr>
          <w:p w14:paraId="0B70E744"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Spectrum location</w:t>
            </w:r>
          </w:p>
        </w:tc>
        <w:tc>
          <w:tcPr>
            <w:tcW w:w="7298" w:type="dxa"/>
            <w:gridSpan w:val="10"/>
            <w:shd w:val="clear" w:color="000000" w:fill="404040"/>
            <w:noWrap/>
            <w:vAlign w:val="bottom"/>
            <w:hideMark/>
          </w:tcPr>
          <w:p w14:paraId="0564D028"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Geographic location</w:t>
            </w:r>
          </w:p>
        </w:tc>
        <w:tc>
          <w:tcPr>
            <w:tcW w:w="781" w:type="dxa"/>
            <w:vMerge w:val="restart"/>
            <w:shd w:val="clear" w:color="000000" w:fill="404040"/>
          </w:tcPr>
          <w:p w14:paraId="2ADFE863" w14:textId="2A5DEC45"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 of current weighting</w:t>
            </w:r>
          </w:p>
        </w:tc>
      </w:tr>
      <w:tr w:rsidR="00EA6770" w:rsidRPr="0047202C" w14:paraId="37359352" w14:textId="1CC37E52" w:rsidTr="004D5ADC">
        <w:trPr>
          <w:trHeight w:val="158"/>
        </w:trPr>
        <w:tc>
          <w:tcPr>
            <w:tcW w:w="988" w:type="dxa"/>
            <w:vMerge/>
            <w:vAlign w:val="center"/>
            <w:hideMark/>
          </w:tcPr>
          <w:p w14:paraId="138ECAB9" w14:textId="77777777" w:rsidR="002C2704" w:rsidRPr="0047202C" w:rsidRDefault="002C2704" w:rsidP="00EA6770">
            <w:pPr>
              <w:spacing w:after="0" w:line="240" w:lineRule="auto"/>
              <w:rPr>
                <w:rFonts w:cs="Arial"/>
                <w:b/>
                <w:bCs/>
                <w:color w:val="FFFFFF"/>
                <w:sz w:val="14"/>
                <w:szCs w:val="14"/>
              </w:rPr>
            </w:pPr>
          </w:p>
        </w:tc>
        <w:tc>
          <w:tcPr>
            <w:tcW w:w="1478" w:type="dxa"/>
            <w:gridSpan w:val="2"/>
            <w:shd w:val="clear" w:color="000000" w:fill="404040"/>
            <w:noWrap/>
            <w:vAlign w:val="bottom"/>
            <w:hideMark/>
          </w:tcPr>
          <w:p w14:paraId="6803C859"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Australia-wide</w:t>
            </w:r>
          </w:p>
        </w:tc>
        <w:tc>
          <w:tcPr>
            <w:tcW w:w="1560" w:type="dxa"/>
            <w:gridSpan w:val="2"/>
            <w:shd w:val="clear" w:color="000000" w:fill="404040"/>
            <w:noWrap/>
            <w:vAlign w:val="bottom"/>
            <w:hideMark/>
          </w:tcPr>
          <w:p w14:paraId="7429FC2C" w14:textId="16D46BA1"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High</w:t>
            </w:r>
            <w:r w:rsidR="004D5ADC">
              <w:rPr>
                <w:rFonts w:cs="Arial"/>
                <w:b/>
                <w:bCs/>
                <w:color w:val="FFFFFF"/>
                <w:sz w:val="14"/>
                <w:szCs w:val="14"/>
              </w:rPr>
              <w:t xml:space="preserve"> </w:t>
            </w:r>
            <w:r w:rsidRPr="0047202C">
              <w:rPr>
                <w:rFonts w:cs="Arial"/>
                <w:b/>
                <w:bCs/>
                <w:color w:val="FFFFFF"/>
                <w:sz w:val="14"/>
                <w:szCs w:val="14"/>
              </w:rPr>
              <w:t>density</w:t>
            </w:r>
          </w:p>
        </w:tc>
        <w:tc>
          <w:tcPr>
            <w:tcW w:w="1420" w:type="dxa"/>
            <w:gridSpan w:val="2"/>
            <w:shd w:val="clear" w:color="000000" w:fill="404040"/>
            <w:noWrap/>
            <w:vAlign w:val="bottom"/>
            <w:hideMark/>
          </w:tcPr>
          <w:p w14:paraId="09BC137B" w14:textId="03440410"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Medium</w:t>
            </w:r>
            <w:r w:rsidR="004D5ADC">
              <w:rPr>
                <w:rFonts w:cs="Arial"/>
                <w:b/>
                <w:bCs/>
                <w:color w:val="FFFFFF"/>
                <w:sz w:val="14"/>
                <w:szCs w:val="14"/>
              </w:rPr>
              <w:t xml:space="preserve"> </w:t>
            </w:r>
            <w:r w:rsidRPr="0047202C">
              <w:rPr>
                <w:rFonts w:cs="Arial"/>
                <w:b/>
                <w:bCs/>
                <w:color w:val="FFFFFF"/>
                <w:sz w:val="14"/>
                <w:szCs w:val="14"/>
              </w:rPr>
              <w:t>density</w:t>
            </w:r>
          </w:p>
        </w:tc>
        <w:tc>
          <w:tcPr>
            <w:tcW w:w="1420" w:type="dxa"/>
            <w:gridSpan w:val="2"/>
            <w:shd w:val="clear" w:color="000000" w:fill="404040"/>
            <w:noWrap/>
            <w:vAlign w:val="bottom"/>
            <w:hideMark/>
          </w:tcPr>
          <w:p w14:paraId="0F4413F4" w14:textId="6FD62ADE"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Low</w:t>
            </w:r>
            <w:r w:rsidR="004D5ADC">
              <w:rPr>
                <w:rFonts w:cs="Arial"/>
                <w:b/>
                <w:bCs/>
                <w:color w:val="FFFFFF"/>
                <w:sz w:val="14"/>
                <w:szCs w:val="14"/>
              </w:rPr>
              <w:t xml:space="preserve"> </w:t>
            </w:r>
            <w:r w:rsidRPr="0047202C">
              <w:rPr>
                <w:rFonts w:cs="Arial"/>
                <w:b/>
                <w:bCs/>
                <w:color w:val="FFFFFF"/>
                <w:sz w:val="14"/>
                <w:szCs w:val="14"/>
              </w:rPr>
              <w:t>density</w:t>
            </w:r>
          </w:p>
        </w:tc>
        <w:tc>
          <w:tcPr>
            <w:tcW w:w="1420" w:type="dxa"/>
            <w:gridSpan w:val="2"/>
            <w:shd w:val="clear" w:color="000000" w:fill="404040"/>
            <w:noWrap/>
            <w:vAlign w:val="bottom"/>
            <w:hideMark/>
          </w:tcPr>
          <w:p w14:paraId="41BE28F2" w14:textId="1757B7BF"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Remote</w:t>
            </w:r>
            <w:r w:rsidR="004D5ADC">
              <w:rPr>
                <w:rFonts w:cs="Arial"/>
                <w:b/>
                <w:bCs/>
                <w:color w:val="FFFFFF"/>
                <w:sz w:val="14"/>
                <w:szCs w:val="14"/>
              </w:rPr>
              <w:t xml:space="preserve"> </w:t>
            </w:r>
            <w:r w:rsidRPr="0047202C">
              <w:rPr>
                <w:rFonts w:cs="Arial"/>
                <w:b/>
                <w:bCs/>
                <w:color w:val="FFFFFF"/>
                <w:sz w:val="14"/>
                <w:szCs w:val="14"/>
              </w:rPr>
              <w:t>density</w:t>
            </w:r>
          </w:p>
        </w:tc>
        <w:tc>
          <w:tcPr>
            <w:tcW w:w="781" w:type="dxa"/>
            <w:vMerge/>
            <w:shd w:val="clear" w:color="000000" w:fill="404040"/>
          </w:tcPr>
          <w:p w14:paraId="12D1C24B" w14:textId="77777777" w:rsidR="002C2704" w:rsidRPr="0047202C" w:rsidRDefault="002C2704" w:rsidP="00EA6770">
            <w:pPr>
              <w:spacing w:after="0" w:line="240" w:lineRule="auto"/>
              <w:rPr>
                <w:rFonts w:cs="Arial"/>
                <w:b/>
                <w:bCs/>
                <w:color w:val="FFFFFF"/>
                <w:sz w:val="14"/>
                <w:szCs w:val="14"/>
              </w:rPr>
            </w:pPr>
          </w:p>
        </w:tc>
      </w:tr>
      <w:tr w:rsidR="00EA6770" w:rsidRPr="0047202C" w14:paraId="7122E48D" w14:textId="0AFF194C" w:rsidTr="004D5ADC">
        <w:trPr>
          <w:trHeight w:val="158"/>
        </w:trPr>
        <w:tc>
          <w:tcPr>
            <w:tcW w:w="988" w:type="dxa"/>
            <w:vMerge/>
            <w:vAlign w:val="center"/>
            <w:hideMark/>
          </w:tcPr>
          <w:p w14:paraId="1D618E9A" w14:textId="77777777" w:rsidR="002C2704" w:rsidRPr="0047202C" w:rsidRDefault="002C2704" w:rsidP="00EA6770">
            <w:pPr>
              <w:spacing w:after="0" w:line="240" w:lineRule="auto"/>
              <w:rPr>
                <w:rFonts w:cs="Arial"/>
                <w:b/>
                <w:bCs/>
                <w:color w:val="FFFFFF"/>
                <w:sz w:val="14"/>
                <w:szCs w:val="14"/>
              </w:rPr>
            </w:pPr>
          </w:p>
        </w:tc>
        <w:tc>
          <w:tcPr>
            <w:tcW w:w="708" w:type="dxa"/>
            <w:shd w:val="clear" w:color="000000" w:fill="404040"/>
            <w:noWrap/>
            <w:vAlign w:val="bottom"/>
            <w:hideMark/>
          </w:tcPr>
          <w:p w14:paraId="42A86D4E"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Current</w:t>
            </w:r>
          </w:p>
        </w:tc>
        <w:tc>
          <w:tcPr>
            <w:tcW w:w="770" w:type="dxa"/>
            <w:shd w:val="clear" w:color="000000" w:fill="404040"/>
            <w:noWrap/>
            <w:vAlign w:val="bottom"/>
            <w:hideMark/>
          </w:tcPr>
          <w:p w14:paraId="52762E7D"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Proposed</w:t>
            </w:r>
          </w:p>
        </w:tc>
        <w:tc>
          <w:tcPr>
            <w:tcW w:w="790" w:type="dxa"/>
            <w:shd w:val="clear" w:color="000000" w:fill="404040"/>
            <w:noWrap/>
            <w:vAlign w:val="bottom"/>
            <w:hideMark/>
          </w:tcPr>
          <w:p w14:paraId="1AE2537E"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Current</w:t>
            </w:r>
          </w:p>
        </w:tc>
        <w:tc>
          <w:tcPr>
            <w:tcW w:w="770" w:type="dxa"/>
            <w:shd w:val="clear" w:color="000000" w:fill="404040"/>
            <w:noWrap/>
            <w:vAlign w:val="bottom"/>
            <w:hideMark/>
          </w:tcPr>
          <w:p w14:paraId="77A9D9B1"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Proposed</w:t>
            </w:r>
          </w:p>
        </w:tc>
        <w:tc>
          <w:tcPr>
            <w:tcW w:w="650" w:type="dxa"/>
            <w:shd w:val="clear" w:color="000000" w:fill="404040"/>
            <w:noWrap/>
            <w:vAlign w:val="bottom"/>
            <w:hideMark/>
          </w:tcPr>
          <w:p w14:paraId="4A116219"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Current</w:t>
            </w:r>
          </w:p>
        </w:tc>
        <w:tc>
          <w:tcPr>
            <w:tcW w:w="770" w:type="dxa"/>
            <w:shd w:val="clear" w:color="000000" w:fill="404040"/>
            <w:noWrap/>
            <w:vAlign w:val="bottom"/>
            <w:hideMark/>
          </w:tcPr>
          <w:p w14:paraId="17ED2A3B"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Proposed</w:t>
            </w:r>
          </w:p>
        </w:tc>
        <w:tc>
          <w:tcPr>
            <w:tcW w:w="650" w:type="dxa"/>
            <w:shd w:val="clear" w:color="000000" w:fill="404040"/>
            <w:noWrap/>
            <w:vAlign w:val="bottom"/>
            <w:hideMark/>
          </w:tcPr>
          <w:p w14:paraId="0079E86A"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Current</w:t>
            </w:r>
          </w:p>
        </w:tc>
        <w:tc>
          <w:tcPr>
            <w:tcW w:w="770" w:type="dxa"/>
            <w:shd w:val="clear" w:color="000000" w:fill="404040"/>
            <w:noWrap/>
            <w:vAlign w:val="bottom"/>
            <w:hideMark/>
          </w:tcPr>
          <w:p w14:paraId="5FD5C8DA"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Proposed</w:t>
            </w:r>
          </w:p>
        </w:tc>
        <w:tc>
          <w:tcPr>
            <w:tcW w:w="650" w:type="dxa"/>
            <w:shd w:val="clear" w:color="000000" w:fill="404040"/>
            <w:noWrap/>
            <w:vAlign w:val="bottom"/>
            <w:hideMark/>
          </w:tcPr>
          <w:p w14:paraId="278742B1"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Current</w:t>
            </w:r>
          </w:p>
        </w:tc>
        <w:tc>
          <w:tcPr>
            <w:tcW w:w="770" w:type="dxa"/>
            <w:shd w:val="clear" w:color="000000" w:fill="404040"/>
            <w:noWrap/>
            <w:vAlign w:val="bottom"/>
            <w:hideMark/>
          </w:tcPr>
          <w:p w14:paraId="0B164A09" w14:textId="77777777" w:rsidR="002C2704" w:rsidRPr="0047202C" w:rsidRDefault="002C2704" w:rsidP="00EA6770">
            <w:pPr>
              <w:spacing w:after="0" w:line="240" w:lineRule="auto"/>
              <w:rPr>
                <w:rFonts w:cs="Arial"/>
                <w:b/>
                <w:bCs/>
                <w:color w:val="FFFFFF"/>
                <w:sz w:val="14"/>
                <w:szCs w:val="14"/>
              </w:rPr>
            </w:pPr>
            <w:r w:rsidRPr="0047202C">
              <w:rPr>
                <w:rFonts w:cs="Arial"/>
                <w:b/>
                <w:bCs/>
                <w:color w:val="FFFFFF"/>
                <w:sz w:val="14"/>
                <w:szCs w:val="14"/>
              </w:rPr>
              <w:t>Proposed</w:t>
            </w:r>
          </w:p>
        </w:tc>
        <w:tc>
          <w:tcPr>
            <w:tcW w:w="781" w:type="dxa"/>
            <w:vMerge/>
            <w:shd w:val="clear" w:color="000000" w:fill="404040"/>
          </w:tcPr>
          <w:p w14:paraId="777A256A" w14:textId="77777777" w:rsidR="002C2704" w:rsidRPr="0047202C" w:rsidRDefault="002C2704" w:rsidP="00EA6770">
            <w:pPr>
              <w:spacing w:after="0" w:line="240" w:lineRule="auto"/>
              <w:rPr>
                <w:rFonts w:cs="Arial"/>
                <w:b/>
                <w:bCs/>
                <w:color w:val="FFFFFF"/>
                <w:sz w:val="14"/>
                <w:szCs w:val="14"/>
              </w:rPr>
            </w:pPr>
          </w:p>
        </w:tc>
      </w:tr>
      <w:tr w:rsidR="00EA6770" w:rsidRPr="0047202C" w14:paraId="790B1848" w14:textId="569E45DA" w:rsidTr="004D5ADC">
        <w:trPr>
          <w:trHeight w:val="150"/>
        </w:trPr>
        <w:tc>
          <w:tcPr>
            <w:tcW w:w="988" w:type="dxa"/>
            <w:shd w:val="clear" w:color="auto" w:fill="auto"/>
            <w:noWrap/>
            <w:vAlign w:val="bottom"/>
            <w:hideMark/>
          </w:tcPr>
          <w:p w14:paraId="62A6F8A5"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 xml:space="preserve"> 0 to 30 MHz</w:t>
            </w:r>
          </w:p>
        </w:tc>
        <w:tc>
          <w:tcPr>
            <w:tcW w:w="708" w:type="dxa"/>
            <w:shd w:val="clear" w:color="auto" w:fill="auto"/>
            <w:noWrap/>
            <w:vAlign w:val="bottom"/>
            <w:hideMark/>
          </w:tcPr>
          <w:p w14:paraId="3A9DC2D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70" w:type="dxa"/>
            <w:shd w:val="clear" w:color="000000" w:fill="E7E6E6"/>
            <w:noWrap/>
            <w:vAlign w:val="bottom"/>
            <w:hideMark/>
          </w:tcPr>
          <w:p w14:paraId="5149417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90" w:type="dxa"/>
            <w:shd w:val="clear" w:color="auto" w:fill="auto"/>
            <w:noWrap/>
            <w:vAlign w:val="bottom"/>
            <w:hideMark/>
          </w:tcPr>
          <w:p w14:paraId="02627B3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70" w:type="dxa"/>
            <w:shd w:val="clear" w:color="000000" w:fill="E7E6E6"/>
            <w:noWrap/>
            <w:vAlign w:val="bottom"/>
            <w:hideMark/>
          </w:tcPr>
          <w:p w14:paraId="171E54F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650" w:type="dxa"/>
            <w:shd w:val="clear" w:color="auto" w:fill="auto"/>
            <w:noWrap/>
            <w:vAlign w:val="bottom"/>
            <w:hideMark/>
          </w:tcPr>
          <w:p w14:paraId="01AE22A3"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70" w:type="dxa"/>
            <w:shd w:val="clear" w:color="000000" w:fill="E7E6E6"/>
            <w:noWrap/>
            <w:vAlign w:val="bottom"/>
            <w:hideMark/>
          </w:tcPr>
          <w:p w14:paraId="1073735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650" w:type="dxa"/>
            <w:shd w:val="clear" w:color="auto" w:fill="auto"/>
            <w:noWrap/>
            <w:vAlign w:val="bottom"/>
            <w:hideMark/>
          </w:tcPr>
          <w:p w14:paraId="381CF6A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70" w:type="dxa"/>
            <w:shd w:val="clear" w:color="000000" w:fill="E7E6E6"/>
            <w:noWrap/>
            <w:vAlign w:val="bottom"/>
            <w:hideMark/>
          </w:tcPr>
          <w:p w14:paraId="4A2F1C9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650" w:type="dxa"/>
            <w:shd w:val="clear" w:color="auto" w:fill="auto"/>
            <w:noWrap/>
            <w:vAlign w:val="bottom"/>
            <w:hideMark/>
          </w:tcPr>
          <w:p w14:paraId="0C67AD7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70" w:type="dxa"/>
            <w:shd w:val="clear" w:color="000000" w:fill="E7E6E6"/>
            <w:noWrap/>
            <w:vAlign w:val="bottom"/>
            <w:hideMark/>
          </w:tcPr>
          <w:p w14:paraId="00773A7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4.3150</w:t>
            </w:r>
          </w:p>
        </w:tc>
        <w:tc>
          <w:tcPr>
            <w:tcW w:w="781" w:type="dxa"/>
            <w:shd w:val="clear" w:color="000000" w:fill="E7E6E6"/>
          </w:tcPr>
          <w:p w14:paraId="10EAB0B6" w14:textId="5119ECBB"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028C529E" w14:textId="1B83B9F7" w:rsidTr="004D5ADC">
        <w:trPr>
          <w:trHeight w:val="150"/>
        </w:trPr>
        <w:tc>
          <w:tcPr>
            <w:tcW w:w="988" w:type="dxa"/>
            <w:shd w:val="clear" w:color="auto" w:fill="auto"/>
            <w:noWrap/>
            <w:vAlign w:val="bottom"/>
            <w:hideMark/>
          </w:tcPr>
          <w:p w14:paraId="39AF8AA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&gt;30 to 70 MHz</w:t>
            </w:r>
          </w:p>
        </w:tc>
        <w:tc>
          <w:tcPr>
            <w:tcW w:w="708" w:type="dxa"/>
            <w:shd w:val="clear" w:color="auto" w:fill="auto"/>
            <w:noWrap/>
            <w:vAlign w:val="bottom"/>
            <w:hideMark/>
          </w:tcPr>
          <w:p w14:paraId="1E67F24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9.7470</w:t>
            </w:r>
          </w:p>
        </w:tc>
        <w:tc>
          <w:tcPr>
            <w:tcW w:w="770" w:type="dxa"/>
            <w:shd w:val="clear" w:color="000000" w:fill="E7E6E6"/>
            <w:noWrap/>
            <w:vAlign w:val="bottom"/>
            <w:hideMark/>
          </w:tcPr>
          <w:p w14:paraId="14C6690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9.7470</w:t>
            </w:r>
          </w:p>
        </w:tc>
        <w:tc>
          <w:tcPr>
            <w:tcW w:w="790" w:type="dxa"/>
            <w:shd w:val="clear" w:color="auto" w:fill="auto"/>
            <w:noWrap/>
            <w:vAlign w:val="bottom"/>
            <w:hideMark/>
          </w:tcPr>
          <w:p w14:paraId="1AB9211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3.8070</w:t>
            </w:r>
          </w:p>
        </w:tc>
        <w:tc>
          <w:tcPr>
            <w:tcW w:w="770" w:type="dxa"/>
            <w:shd w:val="clear" w:color="000000" w:fill="E7E6E6"/>
            <w:noWrap/>
            <w:vAlign w:val="bottom"/>
            <w:hideMark/>
          </w:tcPr>
          <w:p w14:paraId="4B3660F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3.8070</w:t>
            </w:r>
          </w:p>
        </w:tc>
        <w:tc>
          <w:tcPr>
            <w:tcW w:w="650" w:type="dxa"/>
            <w:shd w:val="clear" w:color="auto" w:fill="auto"/>
            <w:noWrap/>
            <w:vAlign w:val="bottom"/>
            <w:hideMark/>
          </w:tcPr>
          <w:p w14:paraId="0033C59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2.0250</w:t>
            </w:r>
          </w:p>
        </w:tc>
        <w:tc>
          <w:tcPr>
            <w:tcW w:w="770" w:type="dxa"/>
            <w:shd w:val="clear" w:color="000000" w:fill="E7E6E6"/>
            <w:noWrap/>
            <w:vAlign w:val="bottom"/>
            <w:hideMark/>
          </w:tcPr>
          <w:p w14:paraId="5D3113F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2.0250</w:t>
            </w:r>
          </w:p>
        </w:tc>
        <w:tc>
          <w:tcPr>
            <w:tcW w:w="650" w:type="dxa"/>
            <w:shd w:val="clear" w:color="auto" w:fill="auto"/>
            <w:noWrap/>
            <w:vAlign w:val="bottom"/>
            <w:hideMark/>
          </w:tcPr>
          <w:p w14:paraId="3ED7D535"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770" w:type="dxa"/>
            <w:shd w:val="clear" w:color="000000" w:fill="E7E6E6"/>
            <w:noWrap/>
            <w:vAlign w:val="bottom"/>
            <w:hideMark/>
          </w:tcPr>
          <w:p w14:paraId="791B186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650" w:type="dxa"/>
            <w:shd w:val="clear" w:color="auto" w:fill="auto"/>
            <w:noWrap/>
            <w:vAlign w:val="bottom"/>
            <w:hideMark/>
          </w:tcPr>
          <w:p w14:paraId="1F83686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70" w:type="dxa"/>
            <w:shd w:val="clear" w:color="000000" w:fill="E7E6E6"/>
            <w:noWrap/>
            <w:vAlign w:val="bottom"/>
            <w:hideMark/>
          </w:tcPr>
          <w:p w14:paraId="0F491A8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81" w:type="dxa"/>
            <w:shd w:val="clear" w:color="000000" w:fill="E7E6E6"/>
          </w:tcPr>
          <w:p w14:paraId="2781EA69" w14:textId="18062D5C"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68EBFECB" w14:textId="78C7BBC4" w:rsidTr="004D5ADC">
        <w:trPr>
          <w:trHeight w:val="150"/>
        </w:trPr>
        <w:tc>
          <w:tcPr>
            <w:tcW w:w="988" w:type="dxa"/>
            <w:shd w:val="clear" w:color="auto" w:fill="auto"/>
            <w:noWrap/>
            <w:vAlign w:val="bottom"/>
            <w:hideMark/>
          </w:tcPr>
          <w:p w14:paraId="5C4A1E23"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&gt;70 to 399.9 MHz</w:t>
            </w:r>
          </w:p>
        </w:tc>
        <w:tc>
          <w:tcPr>
            <w:tcW w:w="708" w:type="dxa"/>
            <w:shd w:val="clear" w:color="auto" w:fill="auto"/>
            <w:noWrap/>
            <w:vAlign w:val="bottom"/>
            <w:hideMark/>
          </w:tcPr>
          <w:p w14:paraId="2272FB0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70" w:type="dxa"/>
            <w:shd w:val="clear" w:color="000000" w:fill="E7E6E6"/>
            <w:noWrap/>
            <w:vAlign w:val="bottom"/>
            <w:hideMark/>
          </w:tcPr>
          <w:p w14:paraId="30155C5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90" w:type="dxa"/>
            <w:shd w:val="clear" w:color="auto" w:fill="auto"/>
            <w:noWrap/>
            <w:vAlign w:val="bottom"/>
            <w:hideMark/>
          </w:tcPr>
          <w:p w14:paraId="3E8447C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4.1040</w:t>
            </w:r>
          </w:p>
        </w:tc>
        <w:tc>
          <w:tcPr>
            <w:tcW w:w="770" w:type="dxa"/>
            <w:shd w:val="clear" w:color="000000" w:fill="E7E6E6"/>
            <w:noWrap/>
            <w:vAlign w:val="bottom"/>
            <w:hideMark/>
          </w:tcPr>
          <w:p w14:paraId="73C3674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4.1040</w:t>
            </w:r>
          </w:p>
        </w:tc>
        <w:tc>
          <w:tcPr>
            <w:tcW w:w="650" w:type="dxa"/>
            <w:shd w:val="clear" w:color="auto" w:fill="auto"/>
            <w:noWrap/>
            <w:vAlign w:val="bottom"/>
            <w:hideMark/>
          </w:tcPr>
          <w:p w14:paraId="2A5DE68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1.8780</w:t>
            </w:r>
          </w:p>
        </w:tc>
        <w:tc>
          <w:tcPr>
            <w:tcW w:w="770" w:type="dxa"/>
            <w:shd w:val="clear" w:color="000000" w:fill="E7E6E6"/>
            <w:noWrap/>
            <w:vAlign w:val="bottom"/>
            <w:hideMark/>
          </w:tcPr>
          <w:p w14:paraId="6F61E43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1.8780</w:t>
            </w:r>
          </w:p>
        </w:tc>
        <w:tc>
          <w:tcPr>
            <w:tcW w:w="650" w:type="dxa"/>
            <w:shd w:val="clear" w:color="auto" w:fill="auto"/>
            <w:noWrap/>
            <w:vAlign w:val="bottom"/>
            <w:hideMark/>
          </w:tcPr>
          <w:p w14:paraId="197D190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0.4210</w:t>
            </w:r>
          </w:p>
        </w:tc>
        <w:tc>
          <w:tcPr>
            <w:tcW w:w="770" w:type="dxa"/>
            <w:shd w:val="clear" w:color="000000" w:fill="E7E6E6"/>
            <w:noWrap/>
            <w:vAlign w:val="bottom"/>
            <w:hideMark/>
          </w:tcPr>
          <w:p w14:paraId="6F34FB2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0.4210</w:t>
            </w:r>
          </w:p>
        </w:tc>
        <w:tc>
          <w:tcPr>
            <w:tcW w:w="650" w:type="dxa"/>
            <w:shd w:val="clear" w:color="auto" w:fill="auto"/>
            <w:noWrap/>
            <w:vAlign w:val="bottom"/>
            <w:hideMark/>
          </w:tcPr>
          <w:p w14:paraId="5E92EA9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0.2100</w:t>
            </w:r>
          </w:p>
        </w:tc>
        <w:tc>
          <w:tcPr>
            <w:tcW w:w="770" w:type="dxa"/>
            <w:shd w:val="clear" w:color="000000" w:fill="E7E6E6"/>
            <w:noWrap/>
            <w:vAlign w:val="bottom"/>
            <w:hideMark/>
          </w:tcPr>
          <w:p w14:paraId="453DA4E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0.2100</w:t>
            </w:r>
          </w:p>
        </w:tc>
        <w:tc>
          <w:tcPr>
            <w:tcW w:w="781" w:type="dxa"/>
            <w:shd w:val="clear" w:color="000000" w:fill="E7E6E6"/>
          </w:tcPr>
          <w:p w14:paraId="217B481D" w14:textId="4006EF60" w:rsidR="00756E33" w:rsidRPr="0047202C" w:rsidRDefault="00801AC3" w:rsidP="00EA6770">
            <w:pPr>
              <w:spacing w:after="0" w:line="240" w:lineRule="auto"/>
              <w:rPr>
                <w:rFonts w:cs="Arial"/>
                <w:b/>
                <w:bCs/>
                <w:color w:val="000000"/>
                <w:sz w:val="14"/>
                <w:szCs w:val="14"/>
              </w:rPr>
            </w:pPr>
            <w:r w:rsidRPr="0047202C">
              <w:rPr>
                <w:rFonts w:cs="Arial"/>
                <w:color w:val="000000"/>
                <w:sz w:val="14"/>
                <w:szCs w:val="14"/>
              </w:rPr>
              <w:t>100%</w:t>
            </w:r>
          </w:p>
        </w:tc>
      </w:tr>
      <w:tr w:rsidR="00EA6770" w:rsidRPr="0047202C" w14:paraId="70BB570A" w14:textId="2BCB1C7E" w:rsidTr="004D5ADC">
        <w:trPr>
          <w:trHeight w:val="150"/>
        </w:trPr>
        <w:tc>
          <w:tcPr>
            <w:tcW w:w="988" w:type="dxa"/>
            <w:shd w:val="clear" w:color="auto" w:fill="auto"/>
            <w:noWrap/>
            <w:vAlign w:val="bottom"/>
            <w:hideMark/>
          </w:tcPr>
          <w:p w14:paraId="409A998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&gt;399.9 to 403 MHz</w:t>
            </w:r>
          </w:p>
        </w:tc>
        <w:tc>
          <w:tcPr>
            <w:tcW w:w="708" w:type="dxa"/>
            <w:shd w:val="clear" w:color="auto" w:fill="auto"/>
            <w:noWrap/>
            <w:vAlign w:val="bottom"/>
            <w:hideMark/>
          </w:tcPr>
          <w:p w14:paraId="0600731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70" w:type="dxa"/>
            <w:shd w:val="clear" w:color="000000" w:fill="E7E6E6"/>
            <w:noWrap/>
            <w:vAlign w:val="bottom"/>
            <w:hideMark/>
          </w:tcPr>
          <w:p w14:paraId="5A4CD34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90" w:type="dxa"/>
            <w:shd w:val="clear" w:color="auto" w:fill="auto"/>
            <w:noWrap/>
            <w:vAlign w:val="bottom"/>
            <w:hideMark/>
          </w:tcPr>
          <w:p w14:paraId="50536B3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5.6000</w:t>
            </w:r>
          </w:p>
        </w:tc>
        <w:tc>
          <w:tcPr>
            <w:tcW w:w="770" w:type="dxa"/>
            <w:shd w:val="clear" w:color="000000" w:fill="E7E6E6"/>
            <w:noWrap/>
            <w:vAlign w:val="bottom"/>
            <w:hideMark/>
          </w:tcPr>
          <w:p w14:paraId="2B4618C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5.6000</w:t>
            </w:r>
          </w:p>
        </w:tc>
        <w:tc>
          <w:tcPr>
            <w:tcW w:w="650" w:type="dxa"/>
            <w:shd w:val="clear" w:color="auto" w:fill="auto"/>
            <w:noWrap/>
            <w:vAlign w:val="bottom"/>
            <w:hideMark/>
          </w:tcPr>
          <w:p w14:paraId="3B31F37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770" w:type="dxa"/>
            <w:shd w:val="clear" w:color="000000" w:fill="E7E6E6"/>
            <w:noWrap/>
            <w:vAlign w:val="bottom"/>
            <w:hideMark/>
          </w:tcPr>
          <w:p w14:paraId="065626A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650" w:type="dxa"/>
            <w:shd w:val="clear" w:color="auto" w:fill="auto"/>
            <w:noWrap/>
            <w:vAlign w:val="bottom"/>
            <w:hideMark/>
          </w:tcPr>
          <w:p w14:paraId="32148E6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770" w:type="dxa"/>
            <w:shd w:val="clear" w:color="000000" w:fill="E7E6E6"/>
            <w:noWrap/>
            <w:vAlign w:val="bottom"/>
            <w:hideMark/>
          </w:tcPr>
          <w:p w14:paraId="59A8142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650" w:type="dxa"/>
            <w:shd w:val="clear" w:color="auto" w:fill="auto"/>
            <w:noWrap/>
            <w:vAlign w:val="bottom"/>
            <w:hideMark/>
          </w:tcPr>
          <w:p w14:paraId="201A1D5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70" w:type="dxa"/>
            <w:shd w:val="clear" w:color="000000" w:fill="E7E6E6"/>
            <w:noWrap/>
            <w:vAlign w:val="bottom"/>
            <w:hideMark/>
          </w:tcPr>
          <w:p w14:paraId="24E4988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81" w:type="dxa"/>
            <w:shd w:val="clear" w:color="000000" w:fill="E7E6E6"/>
          </w:tcPr>
          <w:p w14:paraId="2A10CED0" w14:textId="6519FE41"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19EC78BC" w14:textId="7B6834BA" w:rsidTr="004D5ADC">
        <w:trPr>
          <w:trHeight w:val="150"/>
        </w:trPr>
        <w:tc>
          <w:tcPr>
            <w:tcW w:w="988" w:type="dxa"/>
            <w:shd w:val="clear" w:color="auto" w:fill="auto"/>
            <w:noWrap/>
            <w:vAlign w:val="bottom"/>
            <w:hideMark/>
          </w:tcPr>
          <w:p w14:paraId="5E07141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 403 to 520 MHz</w:t>
            </w:r>
          </w:p>
        </w:tc>
        <w:tc>
          <w:tcPr>
            <w:tcW w:w="708" w:type="dxa"/>
            <w:shd w:val="clear" w:color="auto" w:fill="auto"/>
            <w:noWrap/>
            <w:vAlign w:val="bottom"/>
            <w:hideMark/>
          </w:tcPr>
          <w:p w14:paraId="509AA12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70" w:type="dxa"/>
            <w:shd w:val="clear" w:color="000000" w:fill="E7E6E6"/>
            <w:noWrap/>
            <w:vAlign w:val="bottom"/>
            <w:hideMark/>
          </w:tcPr>
          <w:p w14:paraId="5724429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90" w:type="dxa"/>
            <w:shd w:val="clear" w:color="auto" w:fill="auto"/>
            <w:noWrap/>
            <w:vAlign w:val="bottom"/>
            <w:hideMark/>
          </w:tcPr>
          <w:p w14:paraId="251C296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7.4114</w:t>
            </w:r>
          </w:p>
        </w:tc>
        <w:tc>
          <w:tcPr>
            <w:tcW w:w="770" w:type="dxa"/>
            <w:shd w:val="clear" w:color="000000" w:fill="E7E6E6"/>
            <w:noWrap/>
            <w:vAlign w:val="bottom"/>
            <w:hideMark/>
          </w:tcPr>
          <w:p w14:paraId="446DEA6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7.4110</w:t>
            </w:r>
          </w:p>
        </w:tc>
        <w:tc>
          <w:tcPr>
            <w:tcW w:w="650" w:type="dxa"/>
            <w:shd w:val="clear" w:color="auto" w:fill="auto"/>
            <w:noWrap/>
            <w:vAlign w:val="bottom"/>
            <w:hideMark/>
          </w:tcPr>
          <w:p w14:paraId="47C646E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770" w:type="dxa"/>
            <w:shd w:val="clear" w:color="000000" w:fill="E7E6E6"/>
            <w:noWrap/>
            <w:vAlign w:val="bottom"/>
            <w:hideMark/>
          </w:tcPr>
          <w:p w14:paraId="1C9B3C2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650" w:type="dxa"/>
            <w:shd w:val="clear" w:color="auto" w:fill="auto"/>
            <w:noWrap/>
            <w:vAlign w:val="bottom"/>
            <w:hideMark/>
          </w:tcPr>
          <w:p w14:paraId="0A5F600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770" w:type="dxa"/>
            <w:shd w:val="clear" w:color="000000" w:fill="E7E6E6"/>
            <w:noWrap/>
            <w:vAlign w:val="bottom"/>
            <w:hideMark/>
          </w:tcPr>
          <w:p w14:paraId="07F4182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650" w:type="dxa"/>
            <w:shd w:val="clear" w:color="auto" w:fill="auto"/>
            <w:noWrap/>
            <w:vAlign w:val="bottom"/>
            <w:hideMark/>
          </w:tcPr>
          <w:p w14:paraId="3A4E822E" w14:textId="77777777" w:rsidR="00756E33" w:rsidRPr="0047202C" w:rsidRDefault="00756E33" w:rsidP="00EA6770">
            <w:pPr>
              <w:spacing w:after="0" w:line="240" w:lineRule="auto"/>
              <w:rPr>
                <w:rFonts w:cs="Arial"/>
                <w:sz w:val="14"/>
                <w:szCs w:val="14"/>
              </w:rPr>
            </w:pPr>
            <w:r w:rsidRPr="0047202C">
              <w:rPr>
                <w:rFonts w:cs="Arial"/>
                <w:sz w:val="14"/>
                <w:szCs w:val="14"/>
              </w:rPr>
              <w:t>0.0000</w:t>
            </w:r>
          </w:p>
        </w:tc>
        <w:tc>
          <w:tcPr>
            <w:tcW w:w="770" w:type="dxa"/>
            <w:shd w:val="clear" w:color="000000" w:fill="E7E6E6"/>
            <w:noWrap/>
            <w:vAlign w:val="bottom"/>
            <w:hideMark/>
          </w:tcPr>
          <w:p w14:paraId="70E4F08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0.0000</w:t>
            </w:r>
          </w:p>
        </w:tc>
        <w:tc>
          <w:tcPr>
            <w:tcW w:w="781" w:type="dxa"/>
            <w:shd w:val="clear" w:color="000000" w:fill="E7E6E6"/>
          </w:tcPr>
          <w:p w14:paraId="67BBC0EC" w14:textId="313BEF49"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5EA43BA6" w14:textId="22EF40A8" w:rsidTr="004D5ADC">
        <w:trPr>
          <w:trHeight w:val="150"/>
        </w:trPr>
        <w:tc>
          <w:tcPr>
            <w:tcW w:w="988" w:type="dxa"/>
            <w:shd w:val="clear" w:color="auto" w:fill="auto"/>
            <w:noWrap/>
            <w:vAlign w:val="bottom"/>
            <w:hideMark/>
          </w:tcPr>
          <w:p w14:paraId="1FE08A5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 520 to 960 MHz</w:t>
            </w:r>
          </w:p>
        </w:tc>
        <w:tc>
          <w:tcPr>
            <w:tcW w:w="708" w:type="dxa"/>
            <w:shd w:val="clear" w:color="auto" w:fill="auto"/>
            <w:noWrap/>
            <w:vAlign w:val="bottom"/>
            <w:hideMark/>
          </w:tcPr>
          <w:p w14:paraId="0428988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70" w:type="dxa"/>
            <w:shd w:val="clear" w:color="000000" w:fill="E7E6E6"/>
            <w:noWrap/>
            <w:vAlign w:val="bottom"/>
            <w:hideMark/>
          </w:tcPr>
          <w:p w14:paraId="24705A3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10.0000</w:t>
            </w:r>
          </w:p>
        </w:tc>
        <w:tc>
          <w:tcPr>
            <w:tcW w:w="790" w:type="dxa"/>
            <w:shd w:val="clear" w:color="auto" w:fill="auto"/>
            <w:noWrap/>
            <w:vAlign w:val="bottom"/>
            <w:hideMark/>
          </w:tcPr>
          <w:p w14:paraId="0541F4C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5.6000</w:t>
            </w:r>
          </w:p>
        </w:tc>
        <w:tc>
          <w:tcPr>
            <w:tcW w:w="770" w:type="dxa"/>
            <w:shd w:val="clear" w:color="000000" w:fill="E7E6E6"/>
            <w:noWrap/>
            <w:vAlign w:val="bottom"/>
            <w:hideMark/>
          </w:tcPr>
          <w:p w14:paraId="4E5764D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5.6000</w:t>
            </w:r>
          </w:p>
        </w:tc>
        <w:tc>
          <w:tcPr>
            <w:tcW w:w="650" w:type="dxa"/>
            <w:shd w:val="clear" w:color="auto" w:fill="auto"/>
            <w:noWrap/>
            <w:vAlign w:val="bottom"/>
            <w:hideMark/>
          </w:tcPr>
          <w:p w14:paraId="09C5101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770" w:type="dxa"/>
            <w:shd w:val="clear" w:color="000000" w:fill="E7E6E6"/>
            <w:noWrap/>
            <w:vAlign w:val="bottom"/>
            <w:hideMark/>
          </w:tcPr>
          <w:p w14:paraId="6807C0E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2.5620</w:t>
            </w:r>
          </w:p>
        </w:tc>
        <w:tc>
          <w:tcPr>
            <w:tcW w:w="650" w:type="dxa"/>
            <w:shd w:val="clear" w:color="auto" w:fill="auto"/>
            <w:noWrap/>
            <w:vAlign w:val="bottom"/>
            <w:hideMark/>
          </w:tcPr>
          <w:p w14:paraId="0C7F9F95"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770" w:type="dxa"/>
            <w:shd w:val="clear" w:color="000000" w:fill="E7E6E6"/>
            <w:noWrap/>
            <w:vAlign w:val="bottom"/>
            <w:hideMark/>
          </w:tcPr>
          <w:p w14:paraId="1719C5D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0.4370</w:t>
            </w:r>
          </w:p>
        </w:tc>
        <w:tc>
          <w:tcPr>
            <w:tcW w:w="650" w:type="dxa"/>
            <w:shd w:val="clear" w:color="auto" w:fill="auto"/>
            <w:noWrap/>
            <w:vAlign w:val="bottom"/>
            <w:hideMark/>
          </w:tcPr>
          <w:p w14:paraId="52C6764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70" w:type="dxa"/>
            <w:shd w:val="clear" w:color="000000" w:fill="E7E6E6"/>
            <w:noWrap/>
            <w:vAlign w:val="bottom"/>
            <w:hideMark/>
          </w:tcPr>
          <w:p w14:paraId="22B39693"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0.2180</w:t>
            </w:r>
          </w:p>
        </w:tc>
        <w:tc>
          <w:tcPr>
            <w:tcW w:w="781" w:type="dxa"/>
            <w:shd w:val="clear" w:color="000000" w:fill="E7E6E6"/>
          </w:tcPr>
          <w:p w14:paraId="4F90259A" w14:textId="63579E08"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6A53A28E" w14:textId="40CEBBED" w:rsidTr="004D5ADC">
        <w:trPr>
          <w:trHeight w:val="150"/>
        </w:trPr>
        <w:tc>
          <w:tcPr>
            <w:tcW w:w="988" w:type="dxa"/>
            <w:shd w:val="clear" w:color="auto" w:fill="auto"/>
            <w:noWrap/>
            <w:vAlign w:val="bottom"/>
            <w:hideMark/>
          </w:tcPr>
          <w:p w14:paraId="5D913CA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&gt;960 to 2,690 MHz</w:t>
            </w:r>
          </w:p>
        </w:tc>
        <w:tc>
          <w:tcPr>
            <w:tcW w:w="708" w:type="dxa"/>
            <w:shd w:val="clear" w:color="auto" w:fill="auto"/>
            <w:noWrap/>
            <w:vAlign w:val="bottom"/>
            <w:hideMark/>
          </w:tcPr>
          <w:p w14:paraId="27CFA07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9.9850</w:t>
            </w:r>
          </w:p>
        </w:tc>
        <w:tc>
          <w:tcPr>
            <w:tcW w:w="770" w:type="dxa"/>
            <w:shd w:val="clear" w:color="000000" w:fill="E7E6E6"/>
            <w:noWrap/>
            <w:vAlign w:val="bottom"/>
            <w:hideMark/>
          </w:tcPr>
          <w:p w14:paraId="634CB77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9.9850</w:t>
            </w:r>
          </w:p>
        </w:tc>
        <w:tc>
          <w:tcPr>
            <w:tcW w:w="790" w:type="dxa"/>
            <w:shd w:val="clear" w:color="auto" w:fill="auto"/>
            <w:noWrap/>
            <w:vAlign w:val="bottom"/>
            <w:hideMark/>
          </w:tcPr>
          <w:p w14:paraId="1128660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2.2410</w:t>
            </w:r>
          </w:p>
        </w:tc>
        <w:tc>
          <w:tcPr>
            <w:tcW w:w="770" w:type="dxa"/>
            <w:shd w:val="clear" w:color="000000" w:fill="E7E6E6"/>
            <w:noWrap/>
            <w:vAlign w:val="bottom"/>
            <w:hideMark/>
          </w:tcPr>
          <w:p w14:paraId="55DF84D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2.2410</w:t>
            </w:r>
          </w:p>
        </w:tc>
        <w:tc>
          <w:tcPr>
            <w:tcW w:w="650" w:type="dxa"/>
            <w:shd w:val="clear" w:color="auto" w:fill="auto"/>
            <w:noWrap/>
            <w:vAlign w:val="bottom"/>
            <w:hideMark/>
          </w:tcPr>
          <w:p w14:paraId="7AF82BE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1.0360</w:t>
            </w:r>
          </w:p>
        </w:tc>
        <w:tc>
          <w:tcPr>
            <w:tcW w:w="770" w:type="dxa"/>
            <w:shd w:val="clear" w:color="000000" w:fill="E7E6E6"/>
            <w:noWrap/>
            <w:vAlign w:val="bottom"/>
            <w:hideMark/>
          </w:tcPr>
          <w:p w14:paraId="1DBA4505"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1.0360</w:t>
            </w:r>
          </w:p>
        </w:tc>
        <w:tc>
          <w:tcPr>
            <w:tcW w:w="650" w:type="dxa"/>
            <w:shd w:val="clear" w:color="auto" w:fill="auto"/>
            <w:noWrap/>
            <w:vAlign w:val="bottom"/>
            <w:hideMark/>
          </w:tcPr>
          <w:p w14:paraId="0DF6988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0.5210</w:t>
            </w:r>
          </w:p>
        </w:tc>
        <w:tc>
          <w:tcPr>
            <w:tcW w:w="770" w:type="dxa"/>
            <w:shd w:val="clear" w:color="000000" w:fill="E7E6E6"/>
            <w:noWrap/>
            <w:vAlign w:val="bottom"/>
            <w:hideMark/>
          </w:tcPr>
          <w:p w14:paraId="4846200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0.5210</w:t>
            </w:r>
          </w:p>
        </w:tc>
        <w:tc>
          <w:tcPr>
            <w:tcW w:w="650" w:type="dxa"/>
            <w:shd w:val="clear" w:color="auto" w:fill="auto"/>
            <w:noWrap/>
            <w:vAlign w:val="bottom"/>
            <w:hideMark/>
          </w:tcPr>
          <w:p w14:paraId="4546793D"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0.2600</w:t>
            </w:r>
          </w:p>
        </w:tc>
        <w:tc>
          <w:tcPr>
            <w:tcW w:w="770" w:type="dxa"/>
            <w:shd w:val="clear" w:color="000000" w:fill="E7E6E6"/>
            <w:noWrap/>
            <w:vAlign w:val="bottom"/>
            <w:hideMark/>
          </w:tcPr>
          <w:p w14:paraId="3BA5FFD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0.2600</w:t>
            </w:r>
          </w:p>
        </w:tc>
        <w:tc>
          <w:tcPr>
            <w:tcW w:w="781" w:type="dxa"/>
            <w:shd w:val="clear" w:color="000000" w:fill="E7E6E6"/>
          </w:tcPr>
          <w:p w14:paraId="560C5BEC" w14:textId="335682EE"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5B6362AD" w14:textId="5DF4E4D7" w:rsidTr="004D5ADC">
        <w:trPr>
          <w:trHeight w:val="150"/>
        </w:trPr>
        <w:tc>
          <w:tcPr>
            <w:tcW w:w="988" w:type="dxa"/>
            <w:shd w:val="clear" w:color="auto" w:fill="auto"/>
            <w:noWrap/>
            <w:vAlign w:val="bottom"/>
            <w:hideMark/>
          </w:tcPr>
          <w:p w14:paraId="2590132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&gt;2.69 to 5.0 GHz</w:t>
            </w:r>
          </w:p>
        </w:tc>
        <w:tc>
          <w:tcPr>
            <w:tcW w:w="708" w:type="dxa"/>
            <w:shd w:val="clear" w:color="auto" w:fill="auto"/>
            <w:noWrap/>
            <w:vAlign w:val="bottom"/>
            <w:hideMark/>
          </w:tcPr>
          <w:p w14:paraId="233C8D4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9.9740</w:t>
            </w:r>
          </w:p>
        </w:tc>
        <w:tc>
          <w:tcPr>
            <w:tcW w:w="770" w:type="dxa"/>
            <w:shd w:val="clear" w:color="000000" w:fill="E7E6E6"/>
            <w:noWrap/>
            <w:vAlign w:val="bottom"/>
            <w:hideMark/>
          </w:tcPr>
          <w:p w14:paraId="65048DC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9.9740</w:t>
            </w:r>
          </w:p>
        </w:tc>
        <w:tc>
          <w:tcPr>
            <w:tcW w:w="790" w:type="dxa"/>
            <w:shd w:val="clear" w:color="auto" w:fill="auto"/>
            <w:noWrap/>
            <w:vAlign w:val="bottom"/>
            <w:hideMark/>
          </w:tcPr>
          <w:p w14:paraId="7AC09D0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1.8530</w:t>
            </w:r>
          </w:p>
        </w:tc>
        <w:tc>
          <w:tcPr>
            <w:tcW w:w="770" w:type="dxa"/>
            <w:shd w:val="clear" w:color="000000" w:fill="E7E6E6"/>
            <w:noWrap/>
            <w:vAlign w:val="bottom"/>
            <w:hideMark/>
          </w:tcPr>
          <w:p w14:paraId="4A541DA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1.8530</w:t>
            </w:r>
          </w:p>
        </w:tc>
        <w:tc>
          <w:tcPr>
            <w:tcW w:w="650" w:type="dxa"/>
            <w:shd w:val="clear" w:color="auto" w:fill="auto"/>
            <w:noWrap/>
            <w:vAlign w:val="bottom"/>
            <w:hideMark/>
          </w:tcPr>
          <w:p w14:paraId="18029E4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0.7510</w:t>
            </w:r>
          </w:p>
        </w:tc>
        <w:tc>
          <w:tcPr>
            <w:tcW w:w="770" w:type="dxa"/>
            <w:shd w:val="clear" w:color="000000" w:fill="E7E6E6"/>
            <w:noWrap/>
            <w:vAlign w:val="bottom"/>
            <w:hideMark/>
          </w:tcPr>
          <w:p w14:paraId="377E16D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0.7510</w:t>
            </w:r>
          </w:p>
        </w:tc>
        <w:tc>
          <w:tcPr>
            <w:tcW w:w="650" w:type="dxa"/>
            <w:shd w:val="clear" w:color="auto" w:fill="auto"/>
            <w:noWrap/>
            <w:vAlign w:val="bottom"/>
            <w:hideMark/>
          </w:tcPr>
          <w:p w14:paraId="7B3F90F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0.6220</w:t>
            </w:r>
          </w:p>
        </w:tc>
        <w:tc>
          <w:tcPr>
            <w:tcW w:w="770" w:type="dxa"/>
            <w:shd w:val="clear" w:color="000000" w:fill="E7E6E6"/>
            <w:noWrap/>
            <w:vAlign w:val="bottom"/>
            <w:hideMark/>
          </w:tcPr>
          <w:p w14:paraId="50A969E3"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0.6220</w:t>
            </w:r>
          </w:p>
        </w:tc>
        <w:tc>
          <w:tcPr>
            <w:tcW w:w="650" w:type="dxa"/>
            <w:shd w:val="clear" w:color="auto" w:fill="auto"/>
            <w:noWrap/>
            <w:vAlign w:val="bottom"/>
            <w:hideMark/>
          </w:tcPr>
          <w:p w14:paraId="0E50039B"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0.3110</w:t>
            </w:r>
          </w:p>
        </w:tc>
        <w:tc>
          <w:tcPr>
            <w:tcW w:w="770" w:type="dxa"/>
            <w:shd w:val="clear" w:color="000000" w:fill="E7E6E6"/>
            <w:noWrap/>
            <w:vAlign w:val="bottom"/>
            <w:hideMark/>
          </w:tcPr>
          <w:p w14:paraId="2EA7187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0.3110</w:t>
            </w:r>
          </w:p>
        </w:tc>
        <w:tc>
          <w:tcPr>
            <w:tcW w:w="781" w:type="dxa"/>
            <w:shd w:val="clear" w:color="000000" w:fill="E7E6E6"/>
          </w:tcPr>
          <w:p w14:paraId="16FBF070" w14:textId="18E9BF20"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100%</w:t>
            </w:r>
          </w:p>
        </w:tc>
      </w:tr>
      <w:tr w:rsidR="00EA6770" w:rsidRPr="0047202C" w14:paraId="58B0A8FE" w14:textId="40EFA5B7" w:rsidTr="004D5ADC">
        <w:trPr>
          <w:trHeight w:val="150"/>
        </w:trPr>
        <w:tc>
          <w:tcPr>
            <w:tcW w:w="988" w:type="dxa"/>
            <w:shd w:val="clear" w:color="auto" w:fill="auto"/>
            <w:noWrap/>
            <w:vAlign w:val="bottom"/>
            <w:hideMark/>
          </w:tcPr>
          <w:p w14:paraId="0ECD7CF0"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&gt;5.0 to 8.5 GHz</w:t>
            </w:r>
          </w:p>
        </w:tc>
        <w:tc>
          <w:tcPr>
            <w:tcW w:w="708" w:type="dxa"/>
            <w:shd w:val="clear" w:color="auto" w:fill="auto"/>
            <w:noWrap/>
            <w:vAlign w:val="bottom"/>
            <w:hideMark/>
          </w:tcPr>
          <w:p w14:paraId="7C3EC0D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8.4210</w:t>
            </w:r>
          </w:p>
        </w:tc>
        <w:tc>
          <w:tcPr>
            <w:tcW w:w="770" w:type="dxa"/>
            <w:shd w:val="clear" w:color="000000" w:fill="E7E6E6"/>
            <w:noWrap/>
            <w:vAlign w:val="bottom"/>
            <w:hideMark/>
          </w:tcPr>
          <w:p w14:paraId="0E7957D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6.3158</w:t>
            </w:r>
          </w:p>
        </w:tc>
        <w:tc>
          <w:tcPr>
            <w:tcW w:w="790" w:type="dxa"/>
            <w:shd w:val="clear" w:color="auto" w:fill="auto"/>
            <w:noWrap/>
            <w:vAlign w:val="bottom"/>
            <w:hideMark/>
          </w:tcPr>
          <w:p w14:paraId="602BBBA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1.5570</w:t>
            </w:r>
          </w:p>
        </w:tc>
        <w:tc>
          <w:tcPr>
            <w:tcW w:w="770" w:type="dxa"/>
            <w:shd w:val="clear" w:color="000000" w:fill="E7E6E6"/>
            <w:noWrap/>
            <w:vAlign w:val="bottom"/>
            <w:hideMark/>
          </w:tcPr>
          <w:p w14:paraId="08C9F83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1.1678</w:t>
            </w:r>
          </w:p>
        </w:tc>
        <w:tc>
          <w:tcPr>
            <w:tcW w:w="650" w:type="dxa"/>
            <w:shd w:val="clear" w:color="auto" w:fill="auto"/>
            <w:noWrap/>
            <w:vAlign w:val="bottom"/>
            <w:hideMark/>
          </w:tcPr>
          <w:p w14:paraId="47451374"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0.7250</w:t>
            </w:r>
          </w:p>
        </w:tc>
        <w:tc>
          <w:tcPr>
            <w:tcW w:w="770" w:type="dxa"/>
            <w:shd w:val="clear" w:color="000000" w:fill="E7E6E6"/>
            <w:noWrap/>
            <w:vAlign w:val="bottom"/>
            <w:hideMark/>
          </w:tcPr>
          <w:p w14:paraId="40081412"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0.5438</w:t>
            </w:r>
          </w:p>
        </w:tc>
        <w:tc>
          <w:tcPr>
            <w:tcW w:w="650" w:type="dxa"/>
            <w:shd w:val="clear" w:color="auto" w:fill="auto"/>
            <w:noWrap/>
            <w:vAlign w:val="bottom"/>
            <w:hideMark/>
          </w:tcPr>
          <w:p w14:paraId="10F6C29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0.3300</w:t>
            </w:r>
          </w:p>
        </w:tc>
        <w:tc>
          <w:tcPr>
            <w:tcW w:w="770" w:type="dxa"/>
            <w:shd w:val="clear" w:color="000000" w:fill="E7E6E6"/>
            <w:noWrap/>
            <w:vAlign w:val="bottom"/>
            <w:hideMark/>
          </w:tcPr>
          <w:p w14:paraId="659402B4"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0.2475</w:t>
            </w:r>
          </w:p>
        </w:tc>
        <w:tc>
          <w:tcPr>
            <w:tcW w:w="650" w:type="dxa"/>
            <w:shd w:val="clear" w:color="auto" w:fill="auto"/>
            <w:noWrap/>
            <w:vAlign w:val="bottom"/>
            <w:hideMark/>
          </w:tcPr>
          <w:p w14:paraId="7A38AA2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0.1600</w:t>
            </w:r>
          </w:p>
        </w:tc>
        <w:tc>
          <w:tcPr>
            <w:tcW w:w="770" w:type="dxa"/>
            <w:shd w:val="clear" w:color="000000" w:fill="E7E6E6"/>
            <w:noWrap/>
            <w:vAlign w:val="bottom"/>
            <w:hideMark/>
          </w:tcPr>
          <w:p w14:paraId="6AE4702F"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0.1200</w:t>
            </w:r>
          </w:p>
        </w:tc>
        <w:tc>
          <w:tcPr>
            <w:tcW w:w="781" w:type="dxa"/>
            <w:shd w:val="clear" w:color="000000" w:fill="E7E6E6"/>
          </w:tcPr>
          <w:p w14:paraId="44B52EED" w14:textId="09288D57"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75%</w:t>
            </w:r>
          </w:p>
        </w:tc>
      </w:tr>
      <w:tr w:rsidR="00EA6770" w:rsidRPr="0047202C" w14:paraId="45212A5B" w14:textId="40224991" w:rsidTr="004D5ADC">
        <w:trPr>
          <w:trHeight w:val="150"/>
        </w:trPr>
        <w:tc>
          <w:tcPr>
            <w:tcW w:w="988" w:type="dxa"/>
            <w:shd w:val="clear" w:color="auto" w:fill="auto"/>
            <w:noWrap/>
            <w:vAlign w:val="bottom"/>
            <w:hideMark/>
          </w:tcPr>
          <w:p w14:paraId="0C50041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&gt;8.5 to 14.5 GHz</w:t>
            </w:r>
          </w:p>
        </w:tc>
        <w:tc>
          <w:tcPr>
            <w:tcW w:w="708" w:type="dxa"/>
            <w:shd w:val="clear" w:color="auto" w:fill="auto"/>
            <w:noWrap/>
            <w:vAlign w:val="bottom"/>
            <w:hideMark/>
          </w:tcPr>
          <w:p w14:paraId="74B9F52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3.7110</w:t>
            </w:r>
          </w:p>
        </w:tc>
        <w:tc>
          <w:tcPr>
            <w:tcW w:w="770" w:type="dxa"/>
            <w:shd w:val="clear" w:color="000000" w:fill="E7E6E6"/>
            <w:noWrap/>
            <w:vAlign w:val="bottom"/>
            <w:hideMark/>
          </w:tcPr>
          <w:p w14:paraId="1CFF546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1.8555</w:t>
            </w:r>
          </w:p>
        </w:tc>
        <w:tc>
          <w:tcPr>
            <w:tcW w:w="790" w:type="dxa"/>
            <w:shd w:val="clear" w:color="auto" w:fill="auto"/>
            <w:noWrap/>
            <w:vAlign w:val="bottom"/>
            <w:hideMark/>
          </w:tcPr>
          <w:p w14:paraId="0A55CEE9"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1.3360</w:t>
            </w:r>
          </w:p>
        </w:tc>
        <w:tc>
          <w:tcPr>
            <w:tcW w:w="770" w:type="dxa"/>
            <w:shd w:val="clear" w:color="000000" w:fill="E7E6E6"/>
            <w:noWrap/>
            <w:vAlign w:val="bottom"/>
            <w:hideMark/>
          </w:tcPr>
          <w:p w14:paraId="18EF6BC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0.6680</w:t>
            </w:r>
          </w:p>
        </w:tc>
        <w:tc>
          <w:tcPr>
            <w:tcW w:w="650" w:type="dxa"/>
            <w:shd w:val="clear" w:color="auto" w:fill="auto"/>
            <w:noWrap/>
            <w:vAlign w:val="bottom"/>
            <w:hideMark/>
          </w:tcPr>
          <w:p w14:paraId="3407894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0.3160</w:t>
            </w:r>
          </w:p>
        </w:tc>
        <w:tc>
          <w:tcPr>
            <w:tcW w:w="770" w:type="dxa"/>
            <w:shd w:val="clear" w:color="000000" w:fill="E7E6E6"/>
            <w:noWrap/>
            <w:vAlign w:val="bottom"/>
            <w:hideMark/>
          </w:tcPr>
          <w:p w14:paraId="202AB25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0.1580</w:t>
            </w:r>
          </w:p>
        </w:tc>
        <w:tc>
          <w:tcPr>
            <w:tcW w:w="650" w:type="dxa"/>
            <w:shd w:val="clear" w:color="auto" w:fill="auto"/>
            <w:noWrap/>
            <w:vAlign w:val="bottom"/>
            <w:hideMark/>
          </w:tcPr>
          <w:p w14:paraId="2108F1B3"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0.0230</w:t>
            </w:r>
          </w:p>
        </w:tc>
        <w:tc>
          <w:tcPr>
            <w:tcW w:w="770" w:type="dxa"/>
            <w:shd w:val="clear" w:color="000000" w:fill="E7E6E6"/>
            <w:noWrap/>
            <w:vAlign w:val="bottom"/>
            <w:hideMark/>
          </w:tcPr>
          <w:p w14:paraId="6F2D330C"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0.0115</w:t>
            </w:r>
          </w:p>
        </w:tc>
        <w:tc>
          <w:tcPr>
            <w:tcW w:w="650" w:type="dxa"/>
            <w:shd w:val="clear" w:color="auto" w:fill="auto"/>
            <w:noWrap/>
            <w:vAlign w:val="bottom"/>
            <w:hideMark/>
          </w:tcPr>
          <w:p w14:paraId="340C371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0.0110</w:t>
            </w:r>
          </w:p>
        </w:tc>
        <w:tc>
          <w:tcPr>
            <w:tcW w:w="770" w:type="dxa"/>
            <w:shd w:val="clear" w:color="000000" w:fill="E7E6E6"/>
            <w:noWrap/>
            <w:vAlign w:val="bottom"/>
            <w:hideMark/>
          </w:tcPr>
          <w:p w14:paraId="53AA3E34"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0.0055</w:t>
            </w:r>
          </w:p>
        </w:tc>
        <w:tc>
          <w:tcPr>
            <w:tcW w:w="781" w:type="dxa"/>
            <w:shd w:val="clear" w:color="000000" w:fill="E7E6E6"/>
          </w:tcPr>
          <w:p w14:paraId="7E6D1D2F" w14:textId="255F013C"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50%</w:t>
            </w:r>
            <w:r w:rsidR="00634E78" w:rsidRPr="0047202C">
              <w:rPr>
                <w:rFonts w:cs="Arial"/>
                <w:color w:val="000000"/>
                <w:sz w:val="14"/>
                <w:szCs w:val="14"/>
              </w:rPr>
              <w:t>*</w:t>
            </w:r>
          </w:p>
        </w:tc>
      </w:tr>
      <w:tr w:rsidR="00EA6770" w:rsidRPr="0047202C" w14:paraId="4129A4A7" w14:textId="63A814FC" w:rsidTr="004D5ADC">
        <w:trPr>
          <w:trHeight w:val="150"/>
        </w:trPr>
        <w:tc>
          <w:tcPr>
            <w:tcW w:w="988" w:type="dxa"/>
            <w:shd w:val="clear" w:color="auto" w:fill="auto"/>
            <w:noWrap/>
            <w:vAlign w:val="bottom"/>
            <w:hideMark/>
          </w:tcPr>
          <w:p w14:paraId="2462BA4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&gt;14.5 to 31.3 GHz</w:t>
            </w:r>
          </w:p>
        </w:tc>
        <w:tc>
          <w:tcPr>
            <w:tcW w:w="708" w:type="dxa"/>
            <w:shd w:val="clear" w:color="auto" w:fill="auto"/>
            <w:noWrap/>
            <w:vAlign w:val="bottom"/>
            <w:hideMark/>
          </w:tcPr>
          <w:p w14:paraId="7A90173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3.7110</w:t>
            </w:r>
          </w:p>
        </w:tc>
        <w:tc>
          <w:tcPr>
            <w:tcW w:w="770" w:type="dxa"/>
            <w:shd w:val="clear" w:color="000000" w:fill="E7E6E6"/>
            <w:noWrap/>
            <w:vAlign w:val="bottom"/>
            <w:hideMark/>
          </w:tcPr>
          <w:p w14:paraId="04D8983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0.3711</w:t>
            </w:r>
          </w:p>
        </w:tc>
        <w:tc>
          <w:tcPr>
            <w:tcW w:w="790" w:type="dxa"/>
            <w:shd w:val="clear" w:color="auto" w:fill="auto"/>
            <w:noWrap/>
            <w:vAlign w:val="bottom"/>
            <w:hideMark/>
          </w:tcPr>
          <w:p w14:paraId="0455399A"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0.9880</w:t>
            </w:r>
          </w:p>
        </w:tc>
        <w:tc>
          <w:tcPr>
            <w:tcW w:w="770" w:type="dxa"/>
            <w:shd w:val="clear" w:color="000000" w:fill="E7E6E6"/>
            <w:noWrap/>
            <w:vAlign w:val="bottom"/>
            <w:hideMark/>
          </w:tcPr>
          <w:p w14:paraId="548F6977"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0.0988</w:t>
            </w:r>
          </w:p>
        </w:tc>
        <w:tc>
          <w:tcPr>
            <w:tcW w:w="650" w:type="dxa"/>
            <w:shd w:val="clear" w:color="auto" w:fill="auto"/>
            <w:noWrap/>
            <w:vAlign w:val="bottom"/>
            <w:hideMark/>
          </w:tcPr>
          <w:p w14:paraId="1CCDCDA1"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0.2170</w:t>
            </w:r>
          </w:p>
        </w:tc>
        <w:tc>
          <w:tcPr>
            <w:tcW w:w="770" w:type="dxa"/>
            <w:shd w:val="clear" w:color="000000" w:fill="E7E6E6"/>
            <w:noWrap/>
            <w:vAlign w:val="bottom"/>
            <w:hideMark/>
          </w:tcPr>
          <w:p w14:paraId="1E56535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0.0217</w:t>
            </w:r>
          </w:p>
        </w:tc>
        <w:tc>
          <w:tcPr>
            <w:tcW w:w="650" w:type="dxa"/>
            <w:shd w:val="clear" w:color="auto" w:fill="auto"/>
            <w:noWrap/>
            <w:vAlign w:val="bottom"/>
            <w:hideMark/>
          </w:tcPr>
          <w:p w14:paraId="70C7C668"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0.0230</w:t>
            </w:r>
          </w:p>
        </w:tc>
        <w:tc>
          <w:tcPr>
            <w:tcW w:w="770" w:type="dxa"/>
            <w:shd w:val="clear" w:color="000000" w:fill="E7E6E6"/>
            <w:noWrap/>
            <w:vAlign w:val="bottom"/>
            <w:hideMark/>
          </w:tcPr>
          <w:p w14:paraId="3B137E84"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0.0023</w:t>
            </w:r>
          </w:p>
        </w:tc>
        <w:tc>
          <w:tcPr>
            <w:tcW w:w="650" w:type="dxa"/>
            <w:shd w:val="clear" w:color="auto" w:fill="auto"/>
            <w:noWrap/>
            <w:vAlign w:val="bottom"/>
            <w:hideMark/>
          </w:tcPr>
          <w:p w14:paraId="75E955CE"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0.0110</w:t>
            </w:r>
          </w:p>
        </w:tc>
        <w:tc>
          <w:tcPr>
            <w:tcW w:w="770" w:type="dxa"/>
            <w:shd w:val="clear" w:color="000000" w:fill="E7E6E6"/>
            <w:noWrap/>
            <w:vAlign w:val="bottom"/>
            <w:hideMark/>
          </w:tcPr>
          <w:p w14:paraId="138DC776" w14:textId="77777777" w:rsidR="00756E33" w:rsidRPr="0047202C" w:rsidRDefault="00756E33" w:rsidP="00EA6770">
            <w:pPr>
              <w:spacing w:after="0" w:line="240" w:lineRule="auto"/>
              <w:rPr>
                <w:rFonts w:cs="Arial"/>
                <w:color w:val="000000"/>
                <w:sz w:val="14"/>
                <w:szCs w:val="14"/>
              </w:rPr>
            </w:pPr>
            <w:r w:rsidRPr="0047202C">
              <w:rPr>
                <w:rFonts w:cs="Arial"/>
                <w:color w:val="000000"/>
                <w:sz w:val="14"/>
                <w:szCs w:val="14"/>
              </w:rPr>
              <w:t>0.0011</w:t>
            </w:r>
          </w:p>
        </w:tc>
        <w:tc>
          <w:tcPr>
            <w:tcW w:w="781" w:type="dxa"/>
            <w:shd w:val="clear" w:color="000000" w:fill="E7E6E6"/>
          </w:tcPr>
          <w:p w14:paraId="4239E26F" w14:textId="48BF335D" w:rsidR="00756E33" w:rsidRPr="0047202C" w:rsidRDefault="00801AC3" w:rsidP="00EA6770">
            <w:pPr>
              <w:spacing w:after="0" w:line="240" w:lineRule="auto"/>
              <w:rPr>
                <w:rFonts w:cs="Arial"/>
                <w:color w:val="000000"/>
                <w:sz w:val="14"/>
                <w:szCs w:val="14"/>
              </w:rPr>
            </w:pPr>
            <w:r w:rsidRPr="0047202C">
              <w:rPr>
                <w:rFonts w:cs="Arial"/>
                <w:color w:val="000000"/>
                <w:sz w:val="14"/>
                <w:szCs w:val="14"/>
              </w:rPr>
              <w:t>10%</w:t>
            </w:r>
            <w:r w:rsidR="00634E78" w:rsidRPr="0047202C">
              <w:rPr>
                <w:rFonts w:cs="Arial"/>
                <w:color w:val="000000"/>
                <w:sz w:val="14"/>
                <w:szCs w:val="14"/>
              </w:rPr>
              <w:t>*</w:t>
            </w:r>
          </w:p>
        </w:tc>
      </w:tr>
      <w:tr w:rsidR="00EA6770" w:rsidRPr="0047202C" w14:paraId="337FAD9D" w14:textId="70295D5F" w:rsidTr="004D5ADC">
        <w:trPr>
          <w:trHeight w:val="150"/>
        </w:trPr>
        <w:tc>
          <w:tcPr>
            <w:tcW w:w="988" w:type="dxa"/>
            <w:shd w:val="clear" w:color="auto" w:fill="auto"/>
            <w:noWrap/>
            <w:vAlign w:val="bottom"/>
            <w:hideMark/>
          </w:tcPr>
          <w:p w14:paraId="759E69A4"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&gt;31.3 to 51.4 GHz</w:t>
            </w:r>
          </w:p>
        </w:tc>
        <w:tc>
          <w:tcPr>
            <w:tcW w:w="708" w:type="dxa"/>
            <w:shd w:val="clear" w:color="auto" w:fill="auto"/>
            <w:noWrap/>
            <w:vAlign w:val="bottom"/>
            <w:hideMark/>
          </w:tcPr>
          <w:p w14:paraId="5947A3A6"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1.0120</w:t>
            </w:r>
          </w:p>
        </w:tc>
        <w:tc>
          <w:tcPr>
            <w:tcW w:w="770" w:type="dxa"/>
            <w:shd w:val="clear" w:color="000000" w:fill="E7E6E6"/>
            <w:noWrap/>
            <w:vAlign w:val="bottom"/>
            <w:hideMark/>
          </w:tcPr>
          <w:p w14:paraId="2C5E06E0"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0.1012</w:t>
            </w:r>
          </w:p>
        </w:tc>
        <w:tc>
          <w:tcPr>
            <w:tcW w:w="790" w:type="dxa"/>
            <w:shd w:val="clear" w:color="auto" w:fill="auto"/>
            <w:noWrap/>
            <w:vAlign w:val="bottom"/>
            <w:hideMark/>
          </w:tcPr>
          <w:p w14:paraId="2E3A849C"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0.5390</w:t>
            </w:r>
          </w:p>
        </w:tc>
        <w:tc>
          <w:tcPr>
            <w:tcW w:w="770" w:type="dxa"/>
            <w:shd w:val="clear" w:color="000000" w:fill="E7E6E6"/>
            <w:noWrap/>
            <w:vAlign w:val="bottom"/>
            <w:hideMark/>
          </w:tcPr>
          <w:p w14:paraId="15FE2838"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0.0539</w:t>
            </w:r>
          </w:p>
        </w:tc>
        <w:tc>
          <w:tcPr>
            <w:tcW w:w="650" w:type="dxa"/>
            <w:shd w:val="clear" w:color="auto" w:fill="auto"/>
            <w:noWrap/>
            <w:vAlign w:val="bottom"/>
            <w:hideMark/>
          </w:tcPr>
          <w:p w14:paraId="5259B420"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0.1170</w:t>
            </w:r>
          </w:p>
        </w:tc>
        <w:tc>
          <w:tcPr>
            <w:tcW w:w="770" w:type="dxa"/>
            <w:shd w:val="clear" w:color="000000" w:fill="E7E6E6"/>
            <w:noWrap/>
            <w:vAlign w:val="bottom"/>
            <w:hideMark/>
          </w:tcPr>
          <w:p w14:paraId="566009EA"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0.0117</w:t>
            </w:r>
          </w:p>
        </w:tc>
        <w:tc>
          <w:tcPr>
            <w:tcW w:w="650" w:type="dxa"/>
            <w:shd w:val="clear" w:color="auto" w:fill="auto"/>
            <w:noWrap/>
            <w:vAlign w:val="bottom"/>
            <w:hideMark/>
          </w:tcPr>
          <w:p w14:paraId="3D692B20"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0.0040</w:t>
            </w:r>
          </w:p>
        </w:tc>
        <w:tc>
          <w:tcPr>
            <w:tcW w:w="770" w:type="dxa"/>
            <w:shd w:val="clear" w:color="000000" w:fill="E7E6E6"/>
            <w:noWrap/>
            <w:vAlign w:val="bottom"/>
            <w:hideMark/>
          </w:tcPr>
          <w:p w14:paraId="06A851A8"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0.0004</w:t>
            </w:r>
          </w:p>
        </w:tc>
        <w:tc>
          <w:tcPr>
            <w:tcW w:w="650" w:type="dxa"/>
            <w:shd w:val="clear" w:color="auto" w:fill="auto"/>
            <w:noWrap/>
            <w:vAlign w:val="bottom"/>
            <w:hideMark/>
          </w:tcPr>
          <w:p w14:paraId="02514425"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0.0020</w:t>
            </w:r>
          </w:p>
        </w:tc>
        <w:tc>
          <w:tcPr>
            <w:tcW w:w="770" w:type="dxa"/>
            <w:shd w:val="clear" w:color="000000" w:fill="E7E6E6"/>
            <w:noWrap/>
            <w:vAlign w:val="bottom"/>
            <w:hideMark/>
          </w:tcPr>
          <w:p w14:paraId="02AFF611"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0.0002</w:t>
            </w:r>
          </w:p>
        </w:tc>
        <w:tc>
          <w:tcPr>
            <w:tcW w:w="781" w:type="dxa"/>
            <w:shd w:val="clear" w:color="000000" w:fill="E7E6E6"/>
          </w:tcPr>
          <w:p w14:paraId="7DEFECAF" w14:textId="2BAF5F20"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10%</w:t>
            </w:r>
          </w:p>
        </w:tc>
      </w:tr>
      <w:tr w:rsidR="00EA6770" w:rsidRPr="0047202C" w14:paraId="195ACA89" w14:textId="3AE1F64A" w:rsidTr="004D5ADC">
        <w:trPr>
          <w:trHeight w:val="150"/>
        </w:trPr>
        <w:tc>
          <w:tcPr>
            <w:tcW w:w="988" w:type="dxa"/>
            <w:shd w:val="clear" w:color="auto" w:fill="auto"/>
            <w:noWrap/>
            <w:vAlign w:val="bottom"/>
            <w:hideMark/>
          </w:tcPr>
          <w:p w14:paraId="44343CCB"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&gt;51.4 GHz</w:t>
            </w:r>
          </w:p>
        </w:tc>
        <w:tc>
          <w:tcPr>
            <w:tcW w:w="708" w:type="dxa"/>
            <w:shd w:val="clear" w:color="auto" w:fill="auto"/>
            <w:noWrap/>
            <w:vAlign w:val="bottom"/>
            <w:hideMark/>
          </w:tcPr>
          <w:p w14:paraId="230D0500"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0.1000</w:t>
            </w:r>
          </w:p>
        </w:tc>
        <w:tc>
          <w:tcPr>
            <w:tcW w:w="770" w:type="dxa"/>
            <w:shd w:val="clear" w:color="000000" w:fill="E7E6E6"/>
            <w:noWrap/>
            <w:vAlign w:val="bottom"/>
            <w:hideMark/>
          </w:tcPr>
          <w:p w14:paraId="45858EE4"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0.0100</w:t>
            </w:r>
          </w:p>
        </w:tc>
        <w:tc>
          <w:tcPr>
            <w:tcW w:w="790" w:type="dxa"/>
            <w:shd w:val="clear" w:color="auto" w:fill="auto"/>
            <w:noWrap/>
            <w:vAlign w:val="bottom"/>
            <w:hideMark/>
          </w:tcPr>
          <w:p w14:paraId="2FC79C04"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0.0100</w:t>
            </w:r>
          </w:p>
        </w:tc>
        <w:tc>
          <w:tcPr>
            <w:tcW w:w="770" w:type="dxa"/>
            <w:shd w:val="clear" w:color="000000" w:fill="E7E6E6"/>
            <w:noWrap/>
            <w:vAlign w:val="bottom"/>
            <w:hideMark/>
          </w:tcPr>
          <w:p w14:paraId="17B92178"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0.0010</w:t>
            </w:r>
          </w:p>
        </w:tc>
        <w:tc>
          <w:tcPr>
            <w:tcW w:w="650" w:type="dxa"/>
            <w:shd w:val="clear" w:color="auto" w:fill="auto"/>
            <w:noWrap/>
            <w:vAlign w:val="bottom"/>
            <w:hideMark/>
          </w:tcPr>
          <w:p w14:paraId="3445AE2B"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0.0100</w:t>
            </w:r>
          </w:p>
        </w:tc>
        <w:tc>
          <w:tcPr>
            <w:tcW w:w="770" w:type="dxa"/>
            <w:shd w:val="clear" w:color="000000" w:fill="E7E6E6"/>
            <w:noWrap/>
            <w:vAlign w:val="bottom"/>
            <w:hideMark/>
          </w:tcPr>
          <w:p w14:paraId="70377C96"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0.0010</w:t>
            </w:r>
          </w:p>
        </w:tc>
        <w:tc>
          <w:tcPr>
            <w:tcW w:w="650" w:type="dxa"/>
            <w:shd w:val="clear" w:color="auto" w:fill="auto"/>
            <w:noWrap/>
            <w:vAlign w:val="bottom"/>
            <w:hideMark/>
          </w:tcPr>
          <w:p w14:paraId="1BB385F3"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0.0010</w:t>
            </w:r>
          </w:p>
        </w:tc>
        <w:tc>
          <w:tcPr>
            <w:tcW w:w="770" w:type="dxa"/>
            <w:shd w:val="clear" w:color="000000" w:fill="E7E6E6"/>
            <w:noWrap/>
            <w:vAlign w:val="bottom"/>
            <w:hideMark/>
          </w:tcPr>
          <w:p w14:paraId="51266DB4"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0.0001</w:t>
            </w:r>
          </w:p>
        </w:tc>
        <w:tc>
          <w:tcPr>
            <w:tcW w:w="650" w:type="dxa"/>
            <w:shd w:val="clear" w:color="auto" w:fill="auto"/>
            <w:noWrap/>
            <w:vAlign w:val="bottom"/>
            <w:hideMark/>
          </w:tcPr>
          <w:p w14:paraId="4A4B7598"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0.0010</w:t>
            </w:r>
          </w:p>
        </w:tc>
        <w:tc>
          <w:tcPr>
            <w:tcW w:w="770" w:type="dxa"/>
            <w:shd w:val="clear" w:color="000000" w:fill="E7E6E6"/>
            <w:noWrap/>
            <w:vAlign w:val="bottom"/>
            <w:hideMark/>
          </w:tcPr>
          <w:p w14:paraId="4BEB34F0" w14:textId="77777777"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0.0001</w:t>
            </w:r>
          </w:p>
        </w:tc>
        <w:tc>
          <w:tcPr>
            <w:tcW w:w="781" w:type="dxa"/>
            <w:shd w:val="clear" w:color="000000" w:fill="E7E6E6"/>
          </w:tcPr>
          <w:p w14:paraId="09B236D3" w14:textId="3E4C510C" w:rsidR="00801AC3" w:rsidRPr="0047202C" w:rsidRDefault="00801AC3" w:rsidP="00801AC3">
            <w:pPr>
              <w:spacing w:after="0" w:line="240" w:lineRule="auto"/>
              <w:rPr>
                <w:rFonts w:cs="Arial"/>
                <w:color w:val="000000"/>
                <w:sz w:val="14"/>
                <w:szCs w:val="14"/>
              </w:rPr>
            </w:pPr>
            <w:r w:rsidRPr="0047202C">
              <w:rPr>
                <w:rFonts w:cs="Arial"/>
                <w:color w:val="000000"/>
                <w:sz w:val="14"/>
                <w:szCs w:val="14"/>
              </w:rPr>
              <w:t>10%</w:t>
            </w:r>
          </w:p>
        </w:tc>
      </w:tr>
    </w:tbl>
    <w:p w14:paraId="3D330E94" w14:textId="4E95B970" w:rsidR="00F23966" w:rsidRPr="00805294" w:rsidRDefault="00EA6770" w:rsidP="00EA6770">
      <w:pPr>
        <w:pStyle w:val="Tableorfigurenote"/>
        <w:rPr>
          <w:highlight w:val="yellow"/>
        </w:rPr>
      </w:pPr>
      <w:r>
        <w:t xml:space="preserve">Note: </w:t>
      </w:r>
      <w:r w:rsidR="002A360E" w:rsidRPr="004440D8">
        <w:t>For Space and Earth station licences</w:t>
      </w:r>
      <w:r w:rsidR="000355DB">
        <w:t xml:space="preserve"> (both transmit and receive)</w:t>
      </w:r>
      <w:r w:rsidR="002A360E" w:rsidRPr="004440D8">
        <w:t>, the frequency ranges are</w:t>
      </w:r>
      <w:r w:rsidR="005A3472" w:rsidRPr="000B3EFA">
        <w:t xml:space="preserve"> </w:t>
      </w:r>
      <w:r w:rsidR="005A3472" w:rsidRPr="00EA6770">
        <w:t>&gt;8.5 to 17.3 GHz and &gt;17.3 to 31.3 GHz</w:t>
      </w:r>
      <w:r w:rsidR="00DC1A8C" w:rsidRPr="00EA6770">
        <w:t xml:space="preserve">. For these services and frequency ranges </w:t>
      </w:r>
      <w:r w:rsidR="00BD09EA" w:rsidRPr="00EA6770">
        <w:t>the weighting will reduce by 50% for &gt;8.5 to 17.3 GHz</w:t>
      </w:r>
      <w:r w:rsidR="00FA55C9" w:rsidRPr="00EA6770">
        <w:t xml:space="preserve"> and 90% for &gt;17.3 to 31.3 GHz</w:t>
      </w:r>
      <w:r w:rsidR="00E72C2C">
        <w:t>.</w:t>
      </w:r>
    </w:p>
    <w:p w14:paraId="4C29D147" w14:textId="77777777" w:rsidR="00756C3F" w:rsidRPr="00590299" w:rsidRDefault="00756C3F" w:rsidP="008D2D23">
      <w:pPr>
        <w:pStyle w:val="Heading3"/>
        <w:rPr>
          <w:lang w:val="en-GB"/>
        </w:rPr>
      </w:pPr>
      <w:r w:rsidRPr="0069731F">
        <w:t>Systems</w:t>
      </w:r>
      <w:r w:rsidRPr="0069731F">
        <w:rPr>
          <w:lang w:val="en-GB"/>
        </w:rPr>
        <w:t xml:space="preserve"> price for Earth stations</w:t>
      </w:r>
    </w:p>
    <w:p w14:paraId="3C8C4EE1" w14:textId="0C6F1674" w:rsidR="00D30CEA" w:rsidRDefault="00756C3F" w:rsidP="00F23966">
      <w:pPr>
        <w:spacing w:after="80"/>
      </w:pPr>
      <w:r w:rsidRPr="00842724">
        <w:t xml:space="preserve">The ACMA </w:t>
      </w:r>
      <w:r w:rsidR="00612355">
        <w:t xml:space="preserve">also </w:t>
      </w:r>
      <w:r w:rsidRPr="00842724">
        <w:t xml:space="preserve">proposes a ‘systems’ </w:t>
      </w:r>
      <w:r w:rsidR="00D5599B">
        <w:t xml:space="preserve">price </w:t>
      </w:r>
      <w:r w:rsidRPr="00842724">
        <w:t xml:space="preserve">for earth stations with multiple co-located antennas, managed by the same licensee using the same frequencies (similar to the pricing structure of scientific licences). This proposal recognises that additional antennas to these sites do not significantly add to spectrum denial. </w:t>
      </w:r>
      <w:r w:rsidR="00612355">
        <w:t>Details are p</w:t>
      </w:r>
      <w:r w:rsidR="00647D8C">
        <w:t xml:space="preserve">rovided in </w:t>
      </w:r>
      <w:hyperlink w:anchor="_Appendix_B:_Micro" w:history="1">
        <w:r w:rsidR="00647D8C" w:rsidRPr="002C6825">
          <w:rPr>
            <w:rStyle w:val="Hyperlink"/>
          </w:rPr>
          <w:t>Appendix B</w:t>
        </w:r>
      </w:hyperlink>
      <w:r w:rsidR="00647D8C">
        <w:t xml:space="preserve">. </w:t>
      </w:r>
    </w:p>
    <w:p w14:paraId="50950539" w14:textId="29DEAE1A" w:rsidR="00AD2337" w:rsidRDefault="00280E6B" w:rsidP="00AD2337">
      <w:pPr>
        <w:pStyle w:val="Heading2"/>
      </w:pPr>
      <w:bookmarkStart w:id="20" w:name="_Toc59007932"/>
      <w:r>
        <w:t xml:space="preserve">Focus Area 2: </w:t>
      </w:r>
      <w:r w:rsidR="00AD2337">
        <w:t>Sharing and low interference potential devices</w:t>
      </w:r>
      <w:bookmarkEnd w:id="20"/>
    </w:p>
    <w:p w14:paraId="7FF6370B" w14:textId="4D518309" w:rsidR="00AD2337" w:rsidRDefault="00BC7A25" w:rsidP="008D2D23">
      <w:pPr>
        <w:pStyle w:val="Paragraph"/>
      </w:pPr>
      <w:r>
        <w:t>There was general support</w:t>
      </w:r>
      <w:r w:rsidR="00A75D40">
        <w:t xml:space="preserve"> for the </w:t>
      </w:r>
      <w:r w:rsidR="00AB236A">
        <w:t xml:space="preserve">sharing of spectrum and providing incentives for </w:t>
      </w:r>
      <w:r w:rsidR="0026585F">
        <w:t>low interference potential</w:t>
      </w:r>
      <w:r w:rsidR="00687967">
        <w:t xml:space="preserve"> devices</w:t>
      </w:r>
      <w:r w:rsidR="004225E8">
        <w:t xml:space="preserve">. </w:t>
      </w:r>
      <w:r w:rsidR="006C757F">
        <w:t>The Australian Radio Communications Industry Association</w:t>
      </w:r>
      <w:r w:rsidR="004225E8">
        <w:t xml:space="preserve"> </w:t>
      </w:r>
      <w:r w:rsidR="00E12E4A">
        <w:t>(</w:t>
      </w:r>
      <w:r w:rsidR="004225E8">
        <w:t>ARCIA</w:t>
      </w:r>
      <w:r w:rsidR="00E12E4A">
        <w:t>)</w:t>
      </w:r>
      <w:r w:rsidR="004225E8">
        <w:t xml:space="preserve"> supported the </w:t>
      </w:r>
      <w:r w:rsidR="00687967">
        <w:t xml:space="preserve">further price incentives for the </w:t>
      </w:r>
      <w:r w:rsidR="00CB16DC">
        <w:t xml:space="preserve">licences issued in accordance with </w:t>
      </w:r>
      <w:r w:rsidR="00822288">
        <w:t>R</w:t>
      </w:r>
      <w:r w:rsidR="00E12E4A">
        <w:t xml:space="preserve">adiocommunications </w:t>
      </w:r>
      <w:r w:rsidR="00822288">
        <w:t>L</w:t>
      </w:r>
      <w:r w:rsidR="00E12E4A">
        <w:t xml:space="preserve">icensing </w:t>
      </w:r>
      <w:r w:rsidR="00822288">
        <w:t>I</w:t>
      </w:r>
      <w:r w:rsidR="00E12E4A">
        <w:t>nstruction (</w:t>
      </w:r>
      <w:r w:rsidR="005076C7">
        <w:t>RALI</w:t>
      </w:r>
      <w:r w:rsidR="00E12E4A">
        <w:t>)</w:t>
      </w:r>
      <w:r w:rsidR="005076C7">
        <w:t xml:space="preserve"> </w:t>
      </w:r>
      <w:hyperlink r:id="rId27" w:history="1">
        <w:r w:rsidR="000D3341" w:rsidRPr="00EB22F3">
          <w:rPr>
            <w:rStyle w:val="Hyperlink"/>
          </w:rPr>
          <w:t>LM</w:t>
        </w:r>
        <w:r w:rsidR="002C6825">
          <w:rPr>
            <w:rStyle w:val="Hyperlink"/>
          </w:rPr>
          <w:t>8: Land mobile service</w:t>
        </w:r>
      </w:hyperlink>
      <w:r w:rsidR="000D3341">
        <w:t>. The satellite industry commented</w:t>
      </w:r>
      <w:r w:rsidR="001A526D">
        <w:t xml:space="preserve"> </w:t>
      </w:r>
      <w:r w:rsidR="00853475">
        <w:t xml:space="preserve">on </w:t>
      </w:r>
      <w:r w:rsidR="004C5B20">
        <w:t xml:space="preserve">providing incentives for </w:t>
      </w:r>
      <w:r w:rsidR="005E2D73">
        <w:t>internet of things (</w:t>
      </w:r>
      <w:r w:rsidR="004C5B20">
        <w:t>I</w:t>
      </w:r>
      <w:r w:rsidR="00EA63FE">
        <w:t>o</w:t>
      </w:r>
      <w:r w:rsidR="004C5B20">
        <w:t>T</w:t>
      </w:r>
      <w:r w:rsidR="005E2D73">
        <w:t>)</w:t>
      </w:r>
      <w:r w:rsidR="004C5B20">
        <w:t xml:space="preserve"> services</w:t>
      </w:r>
      <w:r w:rsidR="00136AA4">
        <w:t xml:space="preserve"> and the need to promote sharing of spectrum.</w:t>
      </w:r>
      <w:r w:rsidR="001A526D">
        <w:t xml:space="preserve"> </w:t>
      </w:r>
      <w:r w:rsidR="00E02FF2">
        <w:t xml:space="preserve"> </w:t>
      </w:r>
    </w:p>
    <w:p w14:paraId="23B5FBE8" w14:textId="77777777" w:rsidR="00981FBA" w:rsidRDefault="00981FBA" w:rsidP="008D2D23">
      <w:pPr>
        <w:pStyle w:val="Heading3"/>
      </w:pPr>
      <w:r w:rsidRPr="00DF3931">
        <w:t>Response to submitters</w:t>
      </w:r>
    </w:p>
    <w:p w14:paraId="1734EF91" w14:textId="534C9662" w:rsidR="00136AA4" w:rsidRPr="00CA4838" w:rsidRDefault="00136AA4" w:rsidP="004E2310">
      <w:pPr>
        <w:rPr>
          <w:bCs/>
        </w:rPr>
      </w:pPr>
      <w:r>
        <w:rPr>
          <w:bCs/>
        </w:rPr>
        <w:t xml:space="preserve">The ACMA is </w:t>
      </w:r>
      <w:r w:rsidR="00774B2B">
        <w:rPr>
          <w:bCs/>
        </w:rPr>
        <w:t xml:space="preserve">proposing </w:t>
      </w:r>
      <w:r w:rsidR="009459E6">
        <w:rPr>
          <w:bCs/>
        </w:rPr>
        <w:t xml:space="preserve">a systems pricing approach to </w:t>
      </w:r>
      <w:r w:rsidR="00354952">
        <w:rPr>
          <w:bCs/>
        </w:rPr>
        <w:t xml:space="preserve">licences for </w:t>
      </w:r>
      <w:r w:rsidR="009459E6">
        <w:rPr>
          <w:bCs/>
        </w:rPr>
        <w:t>earth stations</w:t>
      </w:r>
      <w:r w:rsidR="15E8F3AA">
        <w:t>,</w:t>
      </w:r>
      <w:r w:rsidR="00F24E55">
        <w:rPr>
          <w:bCs/>
        </w:rPr>
        <w:t xml:space="preserve"> and a new low power discount for </w:t>
      </w:r>
      <w:r w:rsidR="00354952">
        <w:rPr>
          <w:bCs/>
        </w:rPr>
        <w:t xml:space="preserve">licences issued in </w:t>
      </w:r>
      <w:r w:rsidR="00C131C3">
        <w:rPr>
          <w:bCs/>
        </w:rPr>
        <w:t>accordance</w:t>
      </w:r>
      <w:r w:rsidR="00354952">
        <w:rPr>
          <w:bCs/>
        </w:rPr>
        <w:t xml:space="preserve"> </w:t>
      </w:r>
      <w:r w:rsidR="004E2310">
        <w:rPr>
          <w:bCs/>
        </w:rPr>
        <w:t>with RALI LM8</w:t>
      </w:r>
      <w:r w:rsidR="009459E6">
        <w:rPr>
          <w:bCs/>
        </w:rPr>
        <w:t>.</w:t>
      </w:r>
      <w:r w:rsidR="004E2310" w:rsidRPr="00CA4838">
        <w:rPr>
          <w:bCs/>
        </w:rPr>
        <w:t xml:space="preserve"> </w:t>
      </w:r>
      <w:r w:rsidR="002F68A8">
        <w:rPr>
          <w:bCs/>
        </w:rPr>
        <w:t xml:space="preserve">Details of these proposals can be found in </w:t>
      </w:r>
      <w:hyperlink w:anchor="_Appendix_B:_Micro" w:history="1">
        <w:r w:rsidR="002F68A8" w:rsidRPr="00083B68">
          <w:rPr>
            <w:rStyle w:val="Hyperlink"/>
          </w:rPr>
          <w:t xml:space="preserve">Appendix </w:t>
        </w:r>
        <w:r w:rsidR="00267868" w:rsidRPr="00083B68">
          <w:rPr>
            <w:rStyle w:val="Hyperlink"/>
          </w:rPr>
          <w:t>B</w:t>
        </w:r>
      </w:hyperlink>
      <w:r w:rsidR="002F68A8" w:rsidRPr="00DC7BCD">
        <w:t>.</w:t>
      </w:r>
    </w:p>
    <w:p w14:paraId="3ABBC3E7" w14:textId="0CF9086A" w:rsidR="00AD2337" w:rsidRDefault="00F67CC6" w:rsidP="00AD2337">
      <w:pPr>
        <w:pStyle w:val="Heading2"/>
      </w:pPr>
      <w:bookmarkStart w:id="21" w:name="_Toc59007933"/>
      <w:r>
        <w:t xml:space="preserve">Focus Area 3: </w:t>
      </w:r>
      <w:r w:rsidR="00AD2337">
        <w:t>Taxes and opportunity cost pricing</w:t>
      </w:r>
      <w:bookmarkEnd w:id="21"/>
    </w:p>
    <w:p w14:paraId="3F27C927" w14:textId="4B1CCA1C" w:rsidR="00AD2337" w:rsidRDefault="00092D67" w:rsidP="008D2D23">
      <w:pPr>
        <w:pStyle w:val="Paragraph"/>
      </w:pPr>
      <w:r>
        <w:t>As noted above</w:t>
      </w:r>
      <w:r w:rsidR="00083B68">
        <w:t>,</w:t>
      </w:r>
      <w:r>
        <w:t xml:space="preserve"> there </w:t>
      </w:r>
      <w:r w:rsidR="000A11F5">
        <w:t xml:space="preserve">are </w:t>
      </w:r>
      <w:r>
        <w:t>mixed views about opportunity cost pricing and market allocations</w:t>
      </w:r>
      <w:r w:rsidR="0007738B">
        <w:t xml:space="preserve">. There was strong support </w:t>
      </w:r>
      <w:r w:rsidR="00940E75">
        <w:t xml:space="preserve">from the mobile industry </w:t>
      </w:r>
      <w:r w:rsidR="004D07C7">
        <w:t xml:space="preserve">for </w:t>
      </w:r>
      <w:r w:rsidR="00E530F9">
        <w:t xml:space="preserve">opportunity cost </w:t>
      </w:r>
      <w:r w:rsidR="00787401">
        <w:t>pricing,</w:t>
      </w:r>
      <w:r w:rsidR="00E530F9">
        <w:t xml:space="preserve"> </w:t>
      </w:r>
      <w:r w:rsidR="00B47D19">
        <w:t xml:space="preserve">but concern </w:t>
      </w:r>
      <w:r w:rsidR="00E530F9">
        <w:t xml:space="preserve">was </w:t>
      </w:r>
      <w:r w:rsidR="00B47D19">
        <w:t>raised by government agencies</w:t>
      </w:r>
      <w:r w:rsidR="007B3179">
        <w:t xml:space="preserve"> and </w:t>
      </w:r>
      <w:r w:rsidR="00E530F9">
        <w:t xml:space="preserve">the </w:t>
      </w:r>
      <w:r w:rsidR="007B3179">
        <w:t>satellite and broadcasting sectors</w:t>
      </w:r>
      <w:r w:rsidR="00F222A4">
        <w:t>.</w:t>
      </w:r>
      <w:r w:rsidR="001E41DC">
        <w:t xml:space="preserve"> </w:t>
      </w:r>
      <w:r w:rsidR="00DE0613">
        <w:t xml:space="preserve">ARCIA noted </w:t>
      </w:r>
      <w:r w:rsidR="001E41DC">
        <w:t xml:space="preserve">a strong </w:t>
      </w:r>
      <w:r w:rsidR="00DA1B74">
        <w:t>emphasis</w:t>
      </w:r>
      <w:r w:rsidR="001E41DC">
        <w:t xml:space="preserve"> on </w:t>
      </w:r>
      <w:r w:rsidR="00EA1466">
        <w:t xml:space="preserve">providing transparency in pricing </w:t>
      </w:r>
      <w:r w:rsidR="00216F6E">
        <w:t>approaches</w:t>
      </w:r>
      <w:r w:rsidR="00092458">
        <w:t>.</w:t>
      </w:r>
    </w:p>
    <w:p w14:paraId="67B61A2E" w14:textId="2A8265D8" w:rsidR="00394F74" w:rsidRDefault="00D5625D" w:rsidP="008D2D23">
      <w:pPr>
        <w:pStyle w:val="Paragraph"/>
      </w:pPr>
      <w:r>
        <w:t xml:space="preserve">The </w:t>
      </w:r>
      <w:r w:rsidRPr="00D5625D">
        <w:t xml:space="preserve">Wireless Internet Service Provider Association of Australia </w:t>
      </w:r>
      <w:r>
        <w:t>(</w:t>
      </w:r>
      <w:r w:rsidR="00394F74">
        <w:t>WISPAU</w:t>
      </w:r>
      <w:r>
        <w:t>)</w:t>
      </w:r>
      <w:r w:rsidR="00394F74">
        <w:t xml:space="preserve"> suggest</w:t>
      </w:r>
      <w:r w:rsidR="005946E8">
        <w:t>ed</w:t>
      </w:r>
      <w:r w:rsidR="00394F74">
        <w:t xml:space="preserve"> that dynamic spectrum licensing would facilitate more market</w:t>
      </w:r>
      <w:r w:rsidR="00DF552C">
        <w:t>-</w:t>
      </w:r>
      <w:r w:rsidR="00394F74">
        <w:t>based approaches.</w:t>
      </w:r>
      <w:r w:rsidR="004F672D">
        <w:t xml:space="preserve"> </w:t>
      </w:r>
      <w:r w:rsidR="00394F74">
        <w:t xml:space="preserve">The mobile industry </w:t>
      </w:r>
      <w:r w:rsidR="00DF552C">
        <w:t>noted that pricing should reflect the property rights associated with different licence arrangements.</w:t>
      </w:r>
    </w:p>
    <w:p w14:paraId="12317483" w14:textId="626923C3" w:rsidR="00657065" w:rsidRPr="00E6611B" w:rsidRDefault="00657065" w:rsidP="008D2D23">
      <w:pPr>
        <w:pStyle w:val="Heading3"/>
      </w:pPr>
      <w:r w:rsidRPr="00E6611B">
        <w:t>Response to submitters</w:t>
      </w:r>
    </w:p>
    <w:p w14:paraId="768DCFAC" w14:textId="41D356EF" w:rsidR="00EA1466" w:rsidRDefault="00EA1466" w:rsidP="008D2D23">
      <w:pPr>
        <w:pStyle w:val="Paragraph"/>
      </w:pPr>
      <w:r>
        <w:t xml:space="preserve">The ACMA considers </w:t>
      </w:r>
      <w:r w:rsidR="00615A62">
        <w:t>that opportunity cost pricing</w:t>
      </w:r>
      <w:r w:rsidR="00A63223">
        <w:t xml:space="preserve"> and market allocations can </w:t>
      </w:r>
      <w:r w:rsidR="00E530F9">
        <w:t xml:space="preserve">identify </w:t>
      </w:r>
      <w:r w:rsidR="00A63223">
        <w:t xml:space="preserve">the </w:t>
      </w:r>
      <w:r w:rsidR="00092458">
        <w:t xml:space="preserve">quantitative and qualitative </w:t>
      </w:r>
      <w:r w:rsidR="00EF737C">
        <w:t xml:space="preserve">public </w:t>
      </w:r>
      <w:r w:rsidR="00092458">
        <w:t>ben</w:t>
      </w:r>
      <w:r w:rsidR="00EF737C">
        <w:t>e</w:t>
      </w:r>
      <w:r w:rsidR="00092458">
        <w:t>fits</w:t>
      </w:r>
      <w:r w:rsidR="00EF737C">
        <w:t xml:space="preserve"> of services. This has been recognised in the </w:t>
      </w:r>
      <w:r w:rsidR="001F3233">
        <w:fldChar w:fldCharType="begin"/>
      </w:r>
      <w:r w:rsidR="001F3233">
        <w:instrText xml:space="preserve"> REF _Ref57137283 \h </w:instrText>
      </w:r>
      <w:r w:rsidR="00083B68">
        <w:instrText xml:space="preserve"> \* MERGEFORMAT </w:instrText>
      </w:r>
      <w:r w:rsidR="001F3233">
        <w:fldChar w:fldCharType="separate"/>
      </w:r>
      <w:r w:rsidR="001F3233" w:rsidRPr="000D7E38">
        <w:t xml:space="preserve">Spectrum </w:t>
      </w:r>
      <w:r w:rsidR="008F435F">
        <w:t>P</w:t>
      </w:r>
      <w:r w:rsidR="001F3233" w:rsidRPr="000D7E38">
        <w:t xml:space="preserve">ricing </w:t>
      </w:r>
      <w:r w:rsidR="008F435F">
        <w:t>G</w:t>
      </w:r>
      <w:r w:rsidR="001F3233" w:rsidRPr="000D7E38">
        <w:t>uidelines</w:t>
      </w:r>
      <w:r w:rsidR="001F3233">
        <w:fldChar w:fldCharType="end"/>
      </w:r>
      <w:r w:rsidR="001F3233">
        <w:t>, set out below</w:t>
      </w:r>
      <w:r w:rsidR="00A940CC">
        <w:t>.</w:t>
      </w:r>
      <w:r w:rsidR="005E2EA0">
        <w:t xml:space="preserve"> As part of </w:t>
      </w:r>
      <w:r w:rsidR="00554438">
        <w:t xml:space="preserve">Focus Area </w:t>
      </w:r>
      <w:r w:rsidR="005E2EA0">
        <w:t>6 the ACMA will be providing greater transparency</w:t>
      </w:r>
      <w:r w:rsidR="00321AB3">
        <w:t xml:space="preserve"> to its previous decision making</w:t>
      </w:r>
      <w:r w:rsidR="00AD4BBE">
        <w:t xml:space="preserve"> by providing more details of pricing decisions in </w:t>
      </w:r>
      <w:r w:rsidR="00E64AD4">
        <w:t xml:space="preserve">its </w:t>
      </w:r>
      <w:r w:rsidR="0009180B">
        <w:t xml:space="preserve">Apparatus Licence </w:t>
      </w:r>
      <w:r w:rsidR="00AD4BBE">
        <w:t>Fee Schedule</w:t>
      </w:r>
      <w:r w:rsidR="00E64AD4">
        <w:t xml:space="preserve">, a document </w:t>
      </w:r>
      <w:r w:rsidR="00EB01EE">
        <w:t>that describes the tax rates applicable to different apparatus licences</w:t>
      </w:r>
      <w:r w:rsidR="00AD4BBE">
        <w:t>.</w:t>
      </w:r>
    </w:p>
    <w:p w14:paraId="4695E85C" w14:textId="30B70E26" w:rsidR="00DF5079" w:rsidRDefault="00174A78" w:rsidP="008D2D23">
      <w:pPr>
        <w:pStyle w:val="Paragraph"/>
      </w:pPr>
      <w:r>
        <w:t>Licensing framework</w:t>
      </w:r>
      <w:r w:rsidR="005D289A">
        <w:t xml:space="preserve">s are not the focus of this work </w:t>
      </w:r>
      <w:r w:rsidR="00787401">
        <w:t>program,</w:t>
      </w:r>
      <w:r w:rsidR="00232F7E">
        <w:t xml:space="preserve"> but the comments are useful in considering future licensing and allocation approaches.</w:t>
      </w:r>
      <w:r w:rsidR="004F672D">
        <w:t xml:space="preserve"> </w:t>
      </w:r>
      <w:r w:rsidR="00232F7E">
        <w:t>Pricing</w:t>
      </w:r>
      <w:r w:rsidR="0026374E">
        <w:t xml:space="preserve"> can reflect the different licensing </w:t>
      </w:r>
      <w:r w:rsidR="00903796">
        <w:t>conditions</w:t>
      </w:r>
      <w:r w:rsidR="0026374E">
        <w:t xml:space="preserve"> that may apply</w:t>
      </w:r>
      <w:r w:rsidR="00DB3FDF">
        <w:t>.</w:t>
      </w:r>
      <w:r w:rsidR="00206E44">
        <w:t xml:space="preserve"> </w:t>
      </w:r>
    </w:p>
    <w:p w14:paraId="51BEBA8D" w14:textId="211D11B1" w:rsidR="00C8771E" w:rsidRDefault="00EB01EE" w:rsidP="008D2D23">
      <w:pPr>
        <w:pStyle w:val="Paragraph"/>
      </w:pPr>
      <w:r>
        <w:t>The o</w:t>
      </w:r>
      <w:r w:rsidR="00DF5079">
        <w:t>pportunity cost pricing initiative will</w:t>
      </w:r>
      <w:r w:rsidR="00C8771E">
        <w:t xml:space="preserve"> be outlined in the FYSO.</w:t>
      </w:r>
      <w:r w:rsidR="00682654">
        <w:t xml:space="preserve"> In addition, we have developed a work program that offers stakeholders a range of opportunities to engage with the ACMA to discuss pricing issues.</w:t>
      </w:r>
    </w:p>
    <w:p w14:paraId="295CE686" w14:textId="33940CE0" w:rsidR="00AD2337" w:rsidRDefault="002C25B0" w:rsidP="00C8771E">
      <w:pPr>
        <w:pStyle w:val="Heading2"/>
      </w:pPr>
      <w:bookmarkStart w:id="22" w:name="_Toc59007934"/>
      <w:r>
        <w:t xml:space="preserve">Focus Area 4: </w:t>
      </w:r>
      <w:r w:rsidR="00AD2337">
        <w:t>Geographic areas and bands</w:t>
      </w:r>
      <w:bookmarkEnd w:id="22"/>
    </w:p>
    <w:p w14:paraId="77CFE46E" w14:textId="79FA44D3" w:rsidR="00554708" w:rsidRPr="008D2D23" w:rsidRDefault="003F24F9" w:rsidP="008D2D23">
      <w:pPr>
        <w:pStyle w:val="Paragraph"/>
        <w:rPr>
          <w:rStyle w:val="normaltextrun"/>
        </w:rPr>
      </w:pPr>
      <w:r w:rsidRPr="008D2D23">
        <w:rPr>
          <w:rStyle w:val="normaltextrun"/>
        </w:rPr>
        <w:t xml:space="preserve">There </w:t>
      </w:r>
      <w:r w:rsidR="00DD7B62" w:rsidRPr="008D2D23">
        <w:rPr>
          <w:rStyle w:val="normaltextrun"/>
        </w:rPr>
        <w:t xml:space="preserve">is general consensus </w:t>
      </w:r>
      <w:r w:rsidR="009A1222" w:rsidRPr="008D2D23">
        <w:rPr>
          <w:rStyle w:val="normaltextrun"/>
        </w:rPr>
        <w:t xml:space="preserve">from submissions </w:t>
      </w:r>
      <w:r w:rsidR="00DD7B62" w:rsidRPr="008D2D23">
        <w:rPr>
          <w:rStyle w:val="normaltextrun"/>
        </w:rPr>
        <w:t>that</w:t>
      </w:r>
      <w:r w:rsidR="00393EB8" w:rsidRPr="008D2D23">
        <w:rPr>
          <w:rStyle w:val="normaltextrun"/>
        </w:rPr>
        <w:t xml:space="preserve"> the density areas and frequency bands </w:t>
      </w:r>
      <w:r w:rsidR="00EB01EE" w:rsidRPr="008D2D23">
        <w:rPr>
          <w:rStyle w:val="normaltextrun"/>
        </w:rPr>
        <w:t xml:space="preserve">used to differentiate between tax rates for different licences </w:t>
      </w:r>
      <w:r w:rsidR="00393EB8" w:rsidRPr="008D2D23">
        <w:rPr>
          <w:rStyle w:val="normaltextrun"/>
        </w:rPr>
        <w:t>should be reviewed</w:t>
      </w:r>
      <w:r w:rsidR="00554708" w:rsidRPr="008D2D23">
        <w:rPr>
          <w:rStyle w:val="normaltextrun"/>
        </w:rPr>
        <w:t>.</w:t>
      </w:r>
      <w:r w:rsidR="00145A39" w:rsidRPr="008D2D23">
        <w:rPr>
          <w:rStyle w:val="normaltextrun"/>
        </w:rPr>
        <w:t xml:space="preserve"> </w:t>
      </w:r>
      <w:r w:rsidR="001B7D7D" w:rsidRPr="008D2D23">
        <w:rPr>
          <w:rStyle w:val="normaltextrun"/>
        </w:rPr>
        <w:t>The concerns included</w:t>
      </w:r>
      <w:r w:rsidR="006F27D4" w:rsidRPr="008D2D23">
        <w:rPr>
          <w:rStyle w:val="normaltextrun"/>
        </w:rPr>
        <w:t xml:space="preserve"> </w:t>
      </w:r>
      <w:r w:rsidR="00145A39" w:rsidRPr="008D2D23">
        <w:rPr>
          <w:rStyle w:val="normaltextrun"/>
        </w:rPr>
        <w:t>the amount of time</w:t>
      </w:r>
      <w:r w:rsidR="00DF1EF7" w:rsidRPr="008D2D23">
        <w:rPr>
          <w:rStyle w:val="normaltextrun"/>
        </w:rPr>
        <w:t xml:space="preserve"> since these were last reviewed, </w:t>
      </w:r>
      <w:r w:rsidR="00E668DE" w:rsidRPr="008D2D23">
        <w:rPr>
          <w:rStyle w:val="normaltextrun"/>
        </w:rPr>
        <w:t xml:space="preserve">and </w:t>
      </w:r>
      <w:r w:rsidR="00217E9D" w:rsidRPr="008D2D23">
        <w:rPr>
          <w:rStyle w:val="normaltextrun"/>
        </w:rPr>
        <w:t xml:space="preserve">the lack of </w:t>
      </w:r>
      <w:r w:rsidR="00B46631" w:rsidRPr="008D2D23">
        <w:rPr>
          <w:rStyle w:val="normaltextrun"/>
        </w:rPr>
        <w:t>granularity</w:t>
      </w:r>
      <w:r w:rsidR="001509E8" w:rsidRPr="008D2D23">
        <w:rPr>
          <w:rStyle w:val="normaltextrun"/>
        </w:rPr>
        <w:t xml:space="preserve"> in the </w:t>
      </w:r>
      <w:r w:rsidR="00856415" w:rsidRPr="008D2D23">
        <w:rPr>
          <w:rStyle w:val="normaltextrun"/>
        </w:rPr>
        <w:t>geographic areas</w:t>
      </w:r>
      <w:r w:rsidR="006F27D4" w:rsidRPr="008D2D23">
        <w:rPr>
          <w:rStyle w:val="normaltextrun"/>
        </w:rPr>
        <w:t xml:space="preserve"> and the frequency ranges</w:t>
      </w:r>
      <w:r w:rsidR="00671513" w:rsidRPr="008D2D23">
        <w:rPr>
          <w:rStyle w:val="normaltextrun"/>
        </w:rPr>
        <w:t>. It is submitted that</w:t>
      </w:r>
      <w:r w:rsidR="00153F17" w:rsidRPr="008D2D23">
        <w:rPr>
          <w:rStyle w:val="normaltextrun"/>
        </w:rPr>
        <w:t xml:space="preserve"> some locations should not be </w:t>
      </w:r>
      <w:r w:rsidR="00E468CD" w:rsidRPr="008D2D23">
        <w:rPr>
          <w:rStyle w:val="normaltextrun"/>
        </w:rPr>
        <w:t xml:space="preserve">included in </w:t>
      </w:r>
      <w:r w:rsidR="00AC0359" w:rsidRPr="008D2D23">
        <w:rPr>
          <w:rStyle w:val="normaltextrun"/>
        </w:rPr>
        <w:t>high density area</w:t>
      </w:r>
      <w:r w:rsidR="006627AD" w:rsidRPr="008D2D23">
        <w:rPr>
          <w:rStyle w:val="normaltextrun"/>
        </w:rPr>
        <w:t>s (for example</w:t>
      </w:r>
      <w:r w:rsidR="005B736A">
        <w:rPr>
          <w:rStyle w:val="normaltextrun"/>
        </w:rPr>
        <w:t>,</w:t>
      </w:r>
      <w:r w:rsidR="006627AD" w:rsidRPr="008D2D23">
        <w:rPr>
          <w:rStyle w:val="normaltextrun"/>
        </w:rPr>
        <w:t xml:space="preserve"> Wollongong should be in a different density area to </w:t>
      </w:r>
      <w:r w:rsidR="00AC0359" w:rsidRPr="008D2D23">
        <w:rPr>
          <w:rStyle w:val="normaltextrun"/>
        </w:rPr>
        <w:t>Sydney</w:t>
      </w:r>
      <w:r w:rsidR="006627AD" w:rsidRPr="008D2D23">
        <w:rPr>
          <w:rStyle w:val="normaltextrun"/>
        </w:rPr>
        <w:t>)</w:t>
      </w:r>
      <w:r w:rsidR="00294D46" w:rsidRPr="008D2D23">
        <w:rPr>
          <w:rStyle w:val="normaltextrun"/>
        </w:rPr>
        <w:t>. There</w:t>
      </w:r>
      <w:r w:rsidR="00DF1EF7" w:rsidRPr="008D2D23">
        <w:rPr>
          <w:rStyle w:val="normaltextrun"/>
        </w:rPr>
        <w:t xml:space="preserve"> </w:t>
      </w:r>
      <w:r w:rsidR="001430DC" w:rsidRPr="008D2D23">
        <w:rPr>
          <w:rStyle w:val="normaltextrun"/>
        </w:rPr>
        <w:t xml:space="preserve">were </w:t>
      </w:r>
      <w:r w:rsidR="00294D46" w:rsidRPr="008D2D23">
        <w:rPr>
          <w:rStyle w:val="normaltextrun"/>
        </w:rPr>
        <w:t xml:space="preserve">also </w:t>
      </w:r>
      <w:r w:rsidR="001430DC" w:rsidRPr="008D2D23">
        <w:rPr>
          <w:rStyle w:val="normaltextrun"/>
        </w:rPr>
        <w:t xml:space="preserve">observations </w:t>
      </w:r>
      <w:r w:rsidR="001717F9" w:rsidRPr="008D2D23">
        <w:rPr>
          <w:rStyle w:val="normaltextrun"/>
        </w:rPr>
        <w:t xml:space="preserve">about </w:t>
      </w:r>
      <w:r w:rsidR="00CE7FBE" w:rsidRPr="008D2D23">
        <w:rPr>
          <w:rStyle w:val="normaltextrun"/>
        </w:rPr>
        <w:t xml:space="preserve">the effects of high </w:t>
      </w:r>
      <w:r w:rsidR="00844730" w:rsidRPr="008D2D23">
        <w:rPr>
          <w:rStyle w:val="normaltextrun"/>
        </w:rPr>
        <w:t xml:space="preserve">Australia-wide taxes and </w:t>
      </w:r>
      <w:r w:rsidR="00FC192A" w:rsidRPr="008D2D23">
        <w:rPr>
          <w:rStyle w:val="normaltextrun"/>
        </w:rPr>
        <w:t xml:space="preserve">the positive impact that </w:t>
      </w:r>
      <w:r w:rsidR="00844730" w:rsidRPr="008D2D23">
        <w:rPr>
          <w:rStyle w:val="normaltextrun"/>
        </w:rPr>
        <w:t>reducing</w:t>
      </w:r>
      <w:r w:rsidR="00CE7FBE" w:rsidRPr="008D2D23">
        <w:rPr>
          <w:rStyle w:val="normaltextrun"/>
        </w:rPr>
        <w:t xml:space="preserve"> taxes</w:t>
      </w:r>
      <w:r w:rsidR="009D6733" w:rsidRPr="008D2D23">
        <w:rPr>
          <w:rStyle w:val="normaltextrun"/>
        </w:rPr>
        <w:t xml:space="preserve"> </w:t>
      </w:r>
      <w:r w:rsidR="001430DC" w:rsidRPr="008D2D23">
        <w:rPr>
          <w:rStyle w:val="normaltextrun"/>
        </w:rPr>
        <w:t xml:space="preserve">in </w:t>
      </w:r>
      <w:r w:rsidR="00DA3132" w:rsidRPr="008D2D23">
        <w:rPr>
          <w:rStyle w:val="normaltextrun"/>
        </w:rPr>
        <w:t xml:space="preserve">under-serviced areas in regional and rural Australia </w:t>
      </w:r>
      <w:r w:rsidR="00294D46" w:rsidRPr="008D2D23">
        <w:rPr>
          <w:rStyle w:val="normaltextrun"/>
        </w:rPr>
        <w:t>could</w:t>
      </w:r>
      <w:r w:rsidR="00DA3132" w:rsidRPr="008D2D23">
        <w:rPr>
          <w:rStyle w:val="normaltextrun"/>
        </w:rPr>
        <w:t xml:space="preserve"> </w:t>
      </w:r>
      <w:r w:rsidR="00FC192A" w:rsidRPr="008D2D23">
        <w:rPr>
          <w:rStyle w:val="normaltextrun"/>
        </w:rPr>
        <w:t xml:space="preserve">have in increasing </w:t>
      </w:r>
      <w:r w:rsidR="00DA3132" w:rsidRPr="008D2D23">
        <w:rPr>
          <w:rStyle w:val="normaltextrun"/>
        </w:rPr>
        <w:t xml:space="preserve">the </w:t>
      </w:r>
      <w:r w:rsidR="00D30C43" w:rsidRPr="008D2D23">
        <w:rPr>
          <w:rStyle w:val="normaltextrun"/>
        </w:rPr>
        <w:t>public benefit</w:t>
      </w:r>
      <w:r w:rsidR="001F4DEF" w:rsidRPr="008D2D23">
        <w:rPr>
          <w:rStyle w:val="normaltextrun"/>
        </w:rPr>
        <w:t>.</w:t>
      </w:r>
    </w:p>
    <w:p w14:paraId="02B1116D" w14:textId="733C6906" w:rsidR="00AD2337" w:rsidRPr="008D2D23" w:rsidRDefault="00231E16" w:rsidP="008D2D23">
      <w:pPr>
        <w:pStyle w:val="Paragraph"/>
        <w:rPr>
          <w:rStyle w:val="normaltextrun"/>
        </w:rPr>
      </w:pPr>
      <w:r w:rsidRPr="008D2D23">
        <w:rPr>
          <w:rStyle w:val="normaltextrun"/>
        </w:rPr>
        <w:t xml:space="preserve">Some submitters </w:t>
      </w:r>
      <w:r w:rsidR="00B46631" w:rsidRPr="008D2D23">
        <w:rPr>
          <w:rStyle w:val="normaltextrun"/>
        </w:rPr>
        <w:t xml:space="preserve">also </w:t>
      </w:r>
      <w:r w:rsidRPr="008D2D23">
        <w:rPr>
          <w:rStyle w:val="normaltextrun"/>
        </w:rPr>
        <w:t xml:space="preserve">noted that while it understood the ACMA </w:t>
      </w:r>
      <w:r w:rsidR="00CE29F9" w:rsidRPr="008D2D23">
        <w:rPr>
          <w:rStyle w:val="normaltextrun"/>
        </w:rPr>
        <w:t>was</w:t>
      </w:r>
      <w:r w:rsidRPr="008D2D23">
        <w:rPr>
          <w:rStyle w:val="normaltextrun"/>
        </w:rPr>
        <w:t xml:space="preserve"> encouraging satellite ground station operators to establish outside of high-density </w:t>
      </w:r>
      <w:r w:rsidR="00CE29F9" w:rsidRPr="008D2D23">
        <w:rPr>
          <w:rStyle w:val="normaltextrun"/>
        </w:rPr>
        <w:t>areas,</w:t>
      </w:r>
      <w:r w:rsidR="00327E36" w:rsidRPr="008D2D23">
        <w:rPr>
          <w:rStyle w:val="normaltextrun"/>
        </w:rPr>
        <w:t xml:space="preserve"> </w:t>
      </w:r>
      <w:r w:rsidR="002162DE" w:rsidRPr="008D2D23">
        <w:rPr>
          <w:rStyle w:val="normaltextrun"/>
        </w:rPr>
        <w:t>they</w:t>
      </w:r>
      <w:r w:rsidRPr="008D2D23">
        <w:rPr>
          <w:rStyle w:val="normaltextrun"/>
        </w:rPr>
        <w:t xml:space="preserve"> are concerned that there is no core infrastructure to support their services</w:t>
      </w:r>
      <w:r w:rsidR="00CE29F9" w:rsidRPr="008D2D23">
        <w:rPr>
          <w:rStyle w:val="normaltextrun"/>
        </w:rPr>
        <w:t xml:space="preserve"> </w:t>
      </w:r>
      <w:r w:rsidR="008F435F" w:rsidRPr="008D2D23">
        <w:rPr>
          <w:rStyle w:val="normaltextrun"/>
        </w:rPr>
        <w:t>i</w:t>
      </w:r>
      <w:r w:rsidR="00CE29F9" w:rsidRPr="008D2D23">
        <w:rPr>
          <w:rStyle w:val="normaltextrun"/>
        </w:rPr>
        <w:t>f they move outside of high-density areas</w:t>
      </w:r>
      <w:r w:rsidRPr="008D2D23">
        <w:rPr>
          <w:rStyle w:val="normaltextrun"/>
        </w:rPr>
        <w:t xml:space="preserve">. </w:t>
      </w:r>
    </w:p>
    <w:p w14:paraId="25AAEC37" w14:textId="4840E863" w:rsidR="00D624F6" w:rsidRPr="008D2D23" w:rsidRDefault="00D624F6" w:rsidP="008D2D23">
      <w:pPr>
        <w:pStyle w:val="Paragraph"/>
        <w:rPr>
          <w:rStyle w:val="normaltextrun"/>
        </w:rPr>
      </w:pPr>
      <w:r w:rsidRPr="008D2D23">
        <w:rPr>
          <w:rStyle w:val="normaltextrun"/>
        </w:rPr>
        <w:t xml:space="preserve">Comments were also provided about spectrum licensing limiting the access to spectrum in remote areas and the </w:t>
      </w:r>
      <w:r w:rsidR="00C11A5C" w:rsidRPr="008D2D23">
        <w:rPr>
          <w:rStyle w:val="normaltextrun"/>
        </w:rPr>
        <w:t>advantages</w:t>
      </w:r>
      <w:r w:rsidRPr="008D2D23">
        <w:rPr>
          <w:rStyle w:val="normaltextrun"/>
        </w:rPr>
        <w:t xml:space="preserve"> of </w:t>
      </w:r>
      <w:r w:rsidR="00016EC8">
        <w:rPr>
          <w:rStyle w:val="normaltextrun"/>
        </w:rPr>
        <w:t>area-wide licensing (</w:t>
      </w:r>
      <w:r w:rsidRPr="008D2D23">
        <w:rPr>
          <w:rStyle w:val="normaltextrun"/>
        </w:rPr>
        <w:t>AWL</w:t>
      </w:r>
      <w:r w:rsidR="00016EC8">
        <w:rPr>
          <w:rStyle w:val="normaltextrun"/>
        </w:rPr>
        <w:t>)</w:t>
      </w:r>
      <w:r w:rsidRPr="008D2D23">
        <w:rPr>
          <w:rStyle w:val="normaltextrun"/>
        </w:rPr>
        <w:t xml:space="preserve"> to</w:t>
      </w:r>
      <w:r w:rsidR="00C11A5C" w:rsidRPr="008D2D23">
        <w:rPr>
          <w:rStyle w:val="normaltextrun"/>
        </w:rPr>
        <w:t xml:space="preserve"> I</w:t>
      </w:r>
      <w:r w:rsidR="009A3551" w:rsidRPr="008D2D23">
        <w:rPr>
          <w:rStyle w:val="normaltextrun"/>
        </w:rPr>
        <w:t>o</w:t>
      </w:r>
      <w:r w:rsidR="00C11A5C" w:rsidRPr="008D2D23">
        <w:rPr>
          <w:rStyle w:val="normaltextrun"/>
        </w:rPr>
        <w:t>T.</w:t>
      </w:r>
    </w:p>
    <w:p w14:paraId="0385C984" w14:textId="7C7124E9" w:rsidR="00AD2337" w:rsidRPr="00CE7FBE" w:rsidRDefault="006C0B48" w:rsidP="008D2D23">
      <w:pPr>
        <w:pStyle w:val="Heading3"/>
      </w:pPr>
      <w:r w:rsidRPr="00CE7FBE">
        <w:t>Response to submitters</w:t>
      </w:r>
    </w:p>
    <w:p w14:paraId="3E907DE2" w14:textId="13BB0F6F" w:rsidR="00AD2337" w:rsidRDefault="000854F4" w:rsidP="008D2D23">
      <w:pPr>
        <w:pStyle w:val="Paragraph"/>
      </w:pPr>
      <w:r>
        <w:t xml:space="preserve">This focus area is </w:t>
      </w:r>
      <w:r w:rsidR="00FA5B70">
        <w:t xml:space="preserve">a </w:t>
      </w:r>
      <w:r>
        <w:t xml:space="preserve">core element of the implementation of the Spectrum </w:t>
      </w:r>
      <w:r w:rsidR="005E1664">
        <w:t>P</w:t>
      </w:r>
      <w:r>
        <w:t>ricing Review recommendatio</w:t>
      </w:r>
      <w:r w:rsidR="00216450">
        <w:t>n</w:t>
      </w:r>
      <w:r w:rsidR="00FA72AB">
        <w:t>.</w:t>
      </w:r>
      <w:r w:rsidR="005010B7">
        <w:t xml:space="preserve"> </w:t>
      </w:r>
      <w:r w:rsidR="00FA72AB">
        <w:t>A</w:t>
      </w:r>
      <w:r w:rsidR="005010B7">
        <w:t>s noted in the</w:t>
      </w:r>
      <w:r w:rsidR="005B736A">
        <w:t xml:space="preserve"> </w:t>
      </w:r>
      <w:hyperlink w:anchor="_Work_Program" w:history="1">
        <w:r w:rsidR="005B736A" w:rsidRPr="005B736A">
          <w:rPr>
            <w:rStyle w:val="Hyperlink"/>
          </w:rPr>
          <w:t>work program</w:t>
        </w:r>
      </w:hyperlink>
      <w:r w:rsidR="005B736A">
        <w:t xml:space="preserve">, </w:t>
      </w:r>
      <w:r w:rsidR="002F2B1D">
        <w:t xml:space="preserve">the ACMA </w:t>
      </w:r>
      <w:r w:rsidR="005010B7">
        <w:t xml:space="preserve">will be </w:t>
      </w:r>
      <w:r w:rsidR="00512C5F">
        <w:t xml:space="preserve">exploring a range of options </w:t>
      </w:r>
      <w:r w:rsidR="00A56191">
        <w:t>to recognise the differ</w:t>
      </w:r>
      <w:r w:rsidR="00594BFF">
        <w:t>ent value</w:t>
      </w:r>
      <w:r w:rsidR="002F2B1D">
        <w:t>s</w:t>
      </w:r>
      <w:r w:rsidR="00594BFF">
        <w:t xml:space="preserve"> and incentives that can apply across different locations and frequency ranges.</w:t>
      </w:r>
    </w:p>
    <w:p w14:paraId="602D682A" w14:textId="47254296" w:rsidR="00AD2337" w:rsidRDefault="00307659" w:rsidP="00AD2337">
      <w:pPr>
        <w:pStyle w:val="Heading2"/>
      </w:pPr>
      <w:bookmarkStart w:id="23" w:name="_Toc59007935"/>
      <w:r>
        <w:t xml:space="preserve">Focus Area 5: </w:t>
      </w:r>
      <w:r w:rsidR="00AD2337">
        <w:t>New technologies and trials</w:t>
      </w:r>
      <w:bookmarkEnd w:id="23"/>
    </w:p>
    <w:p w14:paraId="6C4D4E98" w14:textId="736AC9F7" w:rsidR="00AD2337" w:rsidRDefault="00033080" w:rsidP="008D2D23">
      <w:pPr>
        <w:pStyle w:val="Paragraph"/>
      </w:pPr>
      <w:r>
        <w:t>There was a general view that pricing should be flexible, adaptable, and facilitate service providers of different sizes and business models to enter the Australian market. Innovation should be fostered and protected.</w:t>
      </w:r>
    </w:p>
    <w:p w14:paraId="61E4E767" w14:textId="7FEDBC17" w:rsidR="00477E4E" w:rsidRDefault="00A17737" w:rsidP="008D2D23">
      <w:pPr>
        <w:pStyle w:val="Paragraph"/>
        <w:rPr>
          <w:bCs/>
        </w:rPr>
      </w:pPr>
      <w:r>
        <w:rPr>
          <w:bCs/>
        </w:rPr>
        <w:t xml:space="preserve">There was a strong appeal </w:t>
      </w:r>
      <w:r w:rsidR="002F2B1D">
        <w:rPr>
          <w:bCs/>
        </w:rPr>
        <w:t xml:space="preserve">that </w:t>
      </w:r>
      <w:r>
        <w:rPr>
          <w:bCs/>
        </w:rPr>
        <w:t xml:space="preserve">scientific licensing </w:t>
      </w:r>
      <w:r w:rsidR="00477E4E">
        <w:rPr>
          <w:bCs/>
        </w:rPr>
        <w:t>should be provided at minimal cost.</w:t>
      </w:r>
    </w:p>
    <w:p w14:paraId="52567FEE" w14:textId="77777777" w:rsidR="00477E4E" w:rsidRPr="00CE7FBE" w:rsidRDefault="00477E4E" w:rsidP="008D2D23">
      <w:pPr>
        <w:pStyle w:val="Heading3"/>
      </w:pPr>
      <w:r w:rsidRPr="00CE7FBE">
        <w:t>Response to submitters</w:t>
      </w:r>
    </w:p>
    <w:p w14:paraId="43D96432" w14:textId="250E8D4D" w:rsidR="00AD2337" w:rsidRDefault="009E3710" w:rsidP="008D2D23">
      <w:pPr>
        <w:pStyle w:val="Paragraph"/>
      </w:pPr>
      <w:r w:rsidRPr="005C59AD">
        <w:t>In publishing the consultation paper</w:t>
      </w:r>
      <w:r w:rsidR="003B07DC">
        <w:t>,</w:t>
      </w:r>
      <w:r w:rsidRPr="005C59AD">
        <w:t xml:space="preserve"> the ACMA suggested </w:t>
      </w:r>
      <w:r w:rsidR="00257202" w:rsidRPr="005C59AD">
        <w:t xml:space="preserve">that one option for promoting new </w:t>
      </w:r>
      <w:r w:rsidR="00DD7EAB">
        <w:t xml:space="preserve">trials </w:t>
      </w:r>
      <w:r w:rsidR="00257202" w:rsidRPr="005C59AD">
        <w:t xml:space="preserve">would be </w:t>
      </w:r>
      <w:r w:rsidR="00DD7EAB">
        <w:t xml:space="preserve">that the apparatus licence tax </w:t>
      </w:r>
      <w:r w:rsidR="00257202" w:rsidRPr="005C59AD">
        <w:t xml:space="preserve">for trials of less than two months </w:t>
      </w:r>
      <w:r w:rsidR="003951D6" w:rsidRPr="005C59AD">
        <w:t xml:space="preserve">could be </w:t>
      </w:r>
      <w:r w:rsidR="00F93ACA">
        <w:t xml:space="preserve">set </w:t>
      </w:r>
      <w:r w:rsidR="003951D6" w:rsidRPr="005C59AD">
        <w:t>at the minimum annual tax rate.</w:t>
      </w:r>
      <w:r w:rsidR="004F672D">
        <w:t xml:space="preserve"> </w:t>
      </w:r>
      <w:r w:rsidR="005C59AD" w:rsidRPr="005C59AD">
        <w:t>As noted in the FYSO</w:t>
      </w:r>
      <w:r w:rsidR="005B736A">
        <w:t>,</w:t>
      </w:r>
      <w:r w:rsidR="005C59AD" w:rsidRPr="005C59AD">
        <w:t xml:space="preserve"> the ACMA is reviewing </w:t>
      </w:r>
      <w:bookmarkStart w:id="24" w:name="_Toc36207472"/>
      <w:bookmarkStart w:id="25" w:name="_Toc51864394"/>
      <w:r w:rsidR="005C59AD" w:rsidRPr="005C59AD">
        <w:t>scientific assigned and non-assigned apparatus licensing arrangements</w:t>
      </w:r>
      <w:bookmarkEnd w:id="24"/>
      <w:bookmarkEnd w:id="25"/>
      <w:r w:rsidR="006C7FBF">
        <w:t>.</w:t>
      </w:r>
      <w:r w:rsidR="004F672D">
        <w:t xml:space="preserve"> </w:t>
      </w:r>
      <w:r w:rsidR="006C7FBF" w:rsidRPr="00AA7077">
        <w:t xml:space="preserve">The broad objective of the review </w:t>
      </w:r>
      <w:r w:rsidR="006C7FBF">
        <w:t>is</w:t>
      </w:r>
      <w:r w:rsidR="006C7FBF" w:rsidRPr="00AA7077">
        <w:t xml:space="preserve"> to ensure that suitable, low-cost licensing arrangements are available for spectrum users to trial and assess new and innovative radiocommunications technologies. </w:t>
      </w:r>
      <w:r w:rsidR="007F605F">
        <w:t>To ensure consistency with this review</w:t>
      </w:r>
      <w:r w:rsidR="005A6AFF">
        <w:t xml:space="preserve"> of the licensing arrangements, the ACMA will align its pricing work program</w:t>
      </w:r>
      <w:r w:rsidR="00321B51">
        <w:t xml:space="preserve"> for scientific li</w:t>
      </w:r>
      <w:r w:rsidR="00986543">
        <w:t>cences</w:t>
      </w:r>
      <w:r w:rsidR="003B07DC">
        <w:t xml:space="preserve"> to the timing of the </w:t>
      </w:r>
      <w:r w:rsidR="00B4214B">
        <w:t>licensing review.</w:t>
      </w:r>
    </w:p>
    <w:p w14:paraId="4D52CEC6" w14:textId="49133511" w:rsidR="0087059F" w:rsidRDefault="0087059F" w:rsidP="008D2D23">
      <w:pPr>
        <w:pStyle w:val="Paragraph"/>
      </w:pPr>
      <w:r>
        <w:t xml:space="preserve">We also expect that the reductions in taxes for </w:t>
      </w:r>
      <w:r w:rsidR="00F93ACA">
        <w:t xml:space="preserve">licences </w:t>
      </w:r>
      <w:r>
        <w:t>above 5 GHz will also promote</w:t>
      </w:r>
      <w:r w:rsidR="00BA52A8">
        <w:t xml:space="preserve"> innovation and </w:t>
      </w:r>
      <w:r w:rsidR="0025391C">
        <w:t>opportunities for a range of providers to enter the Australian market.</w:t>
      </w:r>
    </w:p>
    <w:p w14:paraId="6E8FA509" w14:textId="7BC5A411" w:rsidR="00AD2337" w:rsidRDefault="00B4214B" w:rsidP="00AD2337">
      <w:pPr>
        <w:pStyle w:val="Heading2"/>
      </w:pPr>
      <w:bookmarkStart w:id="26" w:name="_Toc59007936"/>
      <w:r>
        <w:t xml:space="preserve">Focus Area 6: </w:t>
      </w:r>
      <w:r w:rsidR="00AD2337">
        <w:t>Transparency and ease of calculating taxes</w:t>
      </w:r>
      <w:bookmarkEnd w:id="26"/>
    </w:p>
    <w:p w14:paraId="062DA0D4" w14:textId="27C24D4B" w:rsidR="00AD2337" w:rsidRDefault="008D18D1" w:rsidP="008D2D23">
      <w:pPr>
        <w:pStyle w:val="Paragraph"/>
      </w:pPr>
      <w:r>
        <w:t xml:space="preserve">The ACMA proposed </w:t>
      </w:r>
      <w:r w:rsidR="00DC36EA">
        <w:t xml:space="preserve">greater information being provided in the </w:t>
      </w:r>
      <w:r w:rsidR="00F93ACA">
        <w:t xml:space="preserve">Apparatus Licence </w:t>
      </w:r>
      <w:r w:rsidR="00DC36EA">
        <w:t>Fee Schedule</w:t>
      </w:r>
      <w:r w:rsidR="00675663">
        <w:t xml:space="preserve"> to support a greater understanding of the ACMA’s pricing decisions. The ACMA also proposed </w:t>
      </w:r>
      <w:r w:rsidR="002C00F2">
        <w:t xml:space="preserve">providing a new </w:t>
      </w:r>
      <w:r w:rsidR="008C383F">
        <w:t xml:space="preserve">tax </w:t>
      </w:r>
      <w:r w:rsidR="002C00F2">
        <w:t>calculator.</w:t>
      </w:r>
      <w:r>
        <w:t xml:space="preserve"> </w:t>
      </w:r>
    </w:p>
    <w:p w14:paraId="2772FD12" w14:textId="2452389D" w:rsidR="00E34F2B" w:rsidRDefault="00E34F2B" w:rsidP="008D2D23">
      <w:pPr>
        <w:pStyle w:val="Paragraph"/>
      </w:pPr>
      <w:r>
        <w:t>There was general support for these initiative</w:t>
      </w:r>
      <w:r w:rsidR="003E4435">
        <w:t>s.</w:t>
      </w:r>
      <w:r w:rsidR="004F672D">
        <w:t xml:space="preserve"> </w:t>
      </w:r>
      <w:r w:rsidR="003E4435">
        <w:t>Some observation</w:t>
      </w:r>
      <w:r w:rsidR="00622240">
        <w:t>s</w:t>
      </w:r>
      <w:r w:rsidR="003E4435">
        <w:t xml:space="preserve"> were also made about</w:t>
      </w:r>
      <w:r w:rsidR="00486FB0">
        <w:t xml:space="preserve"> reviewing satellite filing </w:t>
      </w:r>
      <w:r w:rsidR="008C383F">
        <w:t xml:space="preserve">cost recovery </w:t>
      </w:r>
      <w:r w:rsidR="00486FB0">
        <w:t>charges</w:t>
      </w:r>
      <w:r w:rsidR="008F7D18">
        <w:t xml:space="preserve"> and the licensing application process.</w:t>
      </w:r>
    </w:p>
    <w:p w14:paraId="6E114130" w14:textId="6E12A4DB" w:rsidR="00AD2337" w:rsidRDefault="006C0B48" w:rsidP="008D2D23">
      <w:pPr>
        <w:pStyle w:val="Heading3"/>
      </w:pPr>
      <w:r w:rsidRPr="00876B6D">
        <w:t>Response to submitters</w:t>
      </w:r>
    </w:p>
    <w:p w14:paraId="5C4B4A09" w14:textId="3658EB09" w:rsidR="00876B6D" w:rsidRPr="002B498A" w:rsidRDefault="00876B6D" w:rsidP="00AD2337">
      <w:pPr>
        <w:spacing w:after="80"/>
        <w:rPr>
          <w:bCs/>
        </w:rPr>
      </w:pPr>
      <w:r w:rsidRPr="002B498A">
        <w:rPr>
          <w:bCs/>
        </w:rPr>
        <w:t>The ACMA recently provided an appa</w:t>
      </w:r>
      <w:r w:rsidR="00765732" w:rsidRPr="002B498A">
        <w:rPr>
          <w:bCs/>
        </w:rPr>
        <w:t>ratus licence tax calculator to calculate taxes for the AWLs in the 26 and 28 GHz band</w:t>
      </w:r>
      <w:r w:rsidR="008C383F">
        <w:rPr>
          <w:bCs/>
        </w:rPr>
        <w:t>s</w:t>
      </w:r>
      <w:r w:rsidR="00765732" w:rsidRPr="002B498A">
        <w:rPr>
          <w:bCs/>
        </w:rPr>
        <w:t>.</w:t>
      </w:r>
      <w:r w:rsidR="004F672D">
        <w:rPr>
          <w:bCs/>
        </w:rPr>
        <w:t xml:space="preserve"> </w:t>
      </w:r>
      <w:r w:rsidR="00765732" w:rsidRPr="002B498A">
        <w:rPr>
          <w:bCs/>
        </w:rPr>
        <w:t xml:space="preserve">The ACMA will draw on this experience to provide a </w:t>
      </w:r>
      <w:r w:rsidR="008C383F">
        <w:rPr>
          <w:bCs/>
        </w:rPr>
        <w:t xml:space="preserve">tax </w:t>
      </w:r>
      <w:r w:rsidR="00765732" w:rsidRPr="002B498A">
        <w:rPr>
          <w:bCs/>
        </w:rPr>
        <w:t xml:space="preserve">calculator for a range of </w:t>
      </w:r>
      <w:r w:rsidR="008C383F">
        <w:rPr>
          <w:bCs/>
        </w:rPr>
        <w:t xml:space="preserve">apparatus </w:t>
      </w:r>
      <w:r w:rsidR="002B498A" w:rsidRPr="002B498A">
        <w:rPr>
          <w:bCs/>
        </w:rPr>
        <w:t>licence</w:t>
      </w:r>
      <w:r w:rsidR="008C383F">
        <w:rPr>
          <w:bCs/>
        </w:rPr>
        <w:t>s</w:t>
      </w:r>
      <w:r w:rsidR="00617B32">
        <w:rPr>
          <w:bCs/>
        </w:rPr>
        <w:t>.</w:t>
      </w:r>
      <w:r w:rsidR="004F672D">
        <w:rPr>
          <w:bCs/>
        </w:rPr>
        <w:t xml:space="preserve"> </w:t>
      </w:r>
      <w:r w:rsidR="00617B32">
        <w:rPr>
          <w:bCs/>
        </w:rPr>
        <w:t>As noted previous</w:t>
      </w:r>
      <w:r w:rsidR="00622240">
        <w:rPr>
          <w:bCs/>
        </w:rPr>
        <w:t>ly</w:t>
      </w:r>
      <w:r w:rsidR="005B736A">
        <w:rPr>
          <w:bCs/>
        </w:rPr>
        <w:t>,</w:t>
      </w:r>
      <w:r w:rsidR="00617B32">
        <w:rPr>
          <w:bCs/>
        </w:rPr>
        <w:t xml:space="preserve"> we will also provide an update to the </w:t>
      </w:r>
      <w:r w:rsidR="00D71A5C">
        <w:rPr>
          <w:bCs/>
        </w:rPr>
        <w:t xml:space="preserve">Apparatus Licence </w:t>
      </w:r>
      <w:r w:rsidR="00617B32">
        <w:rPr>
          <w:bCs/>
        </w:rPr>
        <w:t>Fee Schedule.</w:t>
      </w:r>
      <w:r w:rsidR="004F672D">
        <w:rPr>
          <w:bCs/>
        </w:rPr>
        <w:t xml:space="preserve"> </w:t>
      </w:r>
      <w:r w:rsidR="00D71A5C">
        <w:rPr>
          <w:bCs/>
        </w:rPr>
        <w:t>T</w:t>
      </w:r>
      <w:r w:rsidR="00617B32">
        <w:rPr>
          <w:bCs/>
        </w:rPr>
        <w:t>h</w:t>
      </w:r>
      <w:r w:rsidR="00C90A0A">
        <w:rPr>
          <w:bCs/>
        </w:rPr>
        <w:t xml:space="preserve">ese </w:t>
      </w:r>
      <w:r w:rsidR="00D71A5C">
        <w:rPr>
          <w:bCs/>
        </w:rPr>
        <w:t xml:space="preserve">updates </w:t>
      </w:r>
      <w:r w:rsidR="00C90A0A">
        <w:rPr>
          <w:bCs/>
        </w:rPr>
        <w:t xml:space="preserve">will be made available </w:t>
      </w:r>
      <w:r w:rsidR="00454DC4">
        <w:rPr>
          <w:bCs/>
        </w:rPr>
        <w:t>in</w:t>
      </w:r>
      <w:r w:rsidR="00C90A0A">
        <w:rPr>
          <w:bCs/>
        </w:rPr>
        <w:t xml:space="preserve"> April 2021, when </w:t>
      </w:r>
      <w:r w:rsidR="005F4477">
        <w:rPr>
          <w:bCs/>
        </w:rPr>
        <w:t xml:space="preserve">proposed changes to </w:t>
      </w:r>
      <w:r w:rsidR="00C90A0A">
        <w:rPr>
          <w:bCs/>
        </w:rPr>
        <w:t>apparatus licence taxes</w:t>
      </w:r>
      <w:r w:rsidR="005F4477">
        <w:rPr>
          <w:bCs/>
        </w:rPr>
        <w:t xml:space="preserve"> </w:t>
      </w:r>
      <w:r w:rsidR="00EF55FC">
        <w:rPr>
          <w:bCs/>
        </w:rPr>
        <w:t>for</w:t>
      </w:r>
      <w:r w:rsidR="00210B28">
        <w:rPr>
          <w:bCs/>
        </w:rPr>
        <w:t xml:space="preserve"> the</w:t>
      </w:r>
      <w:r w:rsidR="005F4477">
        <w:rPr>
          <w:bCs/>
        </w:rPr>
        <w:t xml:space="preserve"> CPI updates would take effect</w:t>
      </w:r>
      <w:r w:rsidR="00C90A0A">
        <w:rPr>
          <w:bCs/>
        </w:rPr>
        <w:t>.</w:t>
      </w:r>
    </w:p>
    <w:p w14:paraId="5728C2CC" w14:textId="77777777" w:rsidR="0089476E" w:rsidRPr="00046DA5" w:rsidRDefault="0089476E" w:rsidP="0089476E">
      <w:pPr>
        <w:pStyle w:val="Heading1"/>
      </w:pPr>
      <w:bookmarkStart w:id="27" w:name="_Toc33758189"/>
      <w:bookmarkStart w:id="28" w:name="_Toc59007937"/>
      <w:r w:rsidRPr="00046DA5">
        <w:t>Recommendations of the Spectrum Pricing Review</w:t>
      </w:r>
      <w:bookmarkEnd w:id="27"/>
      <w:bookmarkEnd w:id="28"/>
    </w:p>
    <w:p w14:paraId="51C5E486" w14:textId="14D5FFBD" w:rsidR="0089476E" w:rsidRPr="00046DA5" w:rsidRDefault="0089476E" w:rsidP="008D2D23">
      <w:pPr>
        <w:pStyle w:val="Paragraph"/>
      </w:pPr>
      <w:r w:rsidRPr="00046DA5">
        <w:t xml:space="preserve">In February 2018 the </w:t>
      </w:r>
      <w:r w:rsidR="005B736A">
        <w:t>g</w:t>
      </w:r>
      <w:r w:rsidRPr="00046DA5">
        <w:t xml:space="preserve">overnment endorsed the recommendations of the </w:t>
      </w:r>
      <w:hyperlink r:id="rId28" w:history="1">
        <w:r w:rsidRPr="00046DA5">
          <w:t>Spectrum Pricing Review</w:t>
        </w:r>
      </w:hyperlink>
      <w:r w:rsidRPr="00046DA5">
        <w:t xml:space="preserve">. Some of the recommendations of the </w:t>
      </w:r>
      <w:hyperlink r:id="rId29" w:history="1">
        <w:r w:rsidRPr="00046DA5">
          <w:t>Spectrum Pricing Review</w:t>
        </w:r>
      </w:hyperlink>
      <w:r w:rsidRPr="00046DA5">
        <w:t xml:space="preserve"> require </w:t>
      </w:r>
      <w:r w:rsidR="00C9395B">
        <w:t xml:space="preserve">a </w:t>
      </w:r>
      <w:r w:rsidRPr="00046DA5">
        <w:t xml:space="preserve">change </w:t>
      </w:r>
      <w:r w:rsidR="00C9395B">
        <w:t>to</w:t>
      </w:r>
      <w:r w:rsidRPr="00046DA5">
        <w:t xml:space="preserve"> primary legislation or relate to the actions of government and, as such, are matters for government. However, as stated in the FYSO, the ACMA considers it can implement</w:t>
      </w:r>
      <w:r w:rsidR="00D06F5D">
        <w:t>,</w:t>
      </w:r>
      <w:r w:rsidRPr="00046DA5">
        <w:t xml:space="preserve"> or has implemented</w:t>
      </w:r>
      <w:r w:rsidR="00D06F5D">
        <w:t>,</w:t>
      </w:r>
      <w:r w:rsidRPr="00046DA5">
        <w:t xml:space="preserve"> the intent of many of these recommendations under the current legislation.</w:t>
      </w:r>
    </w:p>
    <w:p w14:paraId="2FDCCF68" w14:textId="787949C6" w:rsidR="0089476E" w:rsidRPr="00046DA5" w:rsidRDefault="0089476E" w:rsidP="00AD74B4">
      <w:pPr>
        <w:pStyle w:val="Paragraph"/>
      </w:pPr>
      <w:r w:rsidRPr="00046DA5">
        <w:t xml:space="preserve">In its </w:t>
      </w:r>
      <w:r w:rsidR="0014064E">
        <w:t>consultation</w:t>
      </w:r>
      <w:r w:rsidRPr="00046DA5">
        <w:t xml:space="preserve"> paper, the ACMA </w:t>
      </w:r>
      <w:r w:rsidR="000F7D43">
        <w:t xml:space="preserve">noted that </w:t>
      </w:r>
      <w:r w:rsidR="00D06F5D">
        <w:t xml:space="preserve">it </w:t>
      </w:r>
      <w:r w:rsidRPr="00046DA5">
        <w:t>will include statements about how it has</w:t>
      </w:r>
      <w:r w:rsidR="00D06F5D">
        <w:t>,</w:t>
      </w:r>
      <w:r w:rsidRPr="00046DA5">
        <w:t xml:space="preserve"> or expects to implement</w:t>
      </w:r>
      <w:r w:rsidR="005B736A">
        <w:t>,</w:t>
      </w:r>
      <w:r w:rsidRPr="00046DA5">
        <w:t xml:space="preserve"> the recommendations of the Spectrum Pricing Review. The status of the ACMA’s role in implementing the recommendations is</w:t>
      </w:r>
      <w:r w:rsidR="008F435F">
        <w:t xml:space="preserve"> set out</w:t>
      </w:r>
      <w:r w:rsidRPr="00046DA5">
        <w:t xml:space="preserve"> below.</w:t>
      </w:r>
    </w:p>
    <w:p w14:paraId="450DA3BF" w14:textId="6E6D9DC1" w:rsidR="0089476E" w:rsidRPr="00046DA5" w:rsidRDefault="0089476E" w:rsidP="0089476E">
      <w:pPr>
        <w:pStyle w:val="Heading2"/>
      </w:pPr>
      <w:bookmarkStart w:id="29" w:name="_Toc33758190"/>
      <w:bookmarkStart w:id="30" w:name="_Toc59007938"/>
      <w:r w:rsidRPr="00046DA5">
        <w:t>Summary of Spectrum Pricing Review recommendations</w:t>
      </w:r>
      <w:bookmarkEnd w:id="29"/>
      <w:bookmarkEnd w:id="30"/>
    </w:p>
    <w:p w14:paraId="374F9D7F" w14:textId="77777777" w:rsidR="0089476E" w:rsidRPr="00046DA5" w:rsidRDefault="0089476E" w:rsidP="0089476E">
      <w:pPr>
        <w:pStyle w:val="Heading3"/>
        <w:spacing w:before="240" w:after="240"/>
      </w:pPr>
      <w:r w:rsidRPr="00046DA5">
        <w:t>Allocation decisions</w:t>
      </w:r>
    </w:p>
    <w:p w14:paraId="0459D314" w14:textId="77777777" w:rsidR="0089476E" w:rsidRPr="00AD74B4" w:rsidRDefault="0089476E" w:rsidP="00AD74B4">
      <w:pPr>
        <w:pStyle w:val="ListNumber"/>
        <w:spacing w:after="240"/>
        <w:ind w:left="357" w:hanging="357"/>
        <w:rPr>
          <w:b/>
          <w:bCs/>
        </w:rPr>
      </w:pPr>
      <w:r w:rsidRPr="00AD74B4">
        <w:rPr>
          <w:b/>
          <w:bCs/>
        </w:rPr>
        <w:t>The ACMA should publish guidelines on how it approaches its spectrum pricing decisions.</w:t>
      </w:r>
    </w:p>
    <w:p w14:paraId="050353C0" w14:textId="2D2FEAEC" w:rsidR="0089476E" w:rsidRPr="00046DA5" w:rsidRDefault="00457DF7" w:rsidP="0089476E">
      <w:pPr>
        <w:ind w:left="567"/>
      </w:pPr>
      <w:r>
        <w:rPr>
          <w:i/>
        </w:rPr>
        <w:t>Update</w:t>
      </w:r>
      <w:r w:rsidR="0089476E" w:rsidRPr="00046DA5">
        <w:rPr>
          <w:i/>
        </w:rPr>
        <w:t>:</w:t>
      </w:r>
      <w:r w:rsidR="0089476E" w:rsidRPr="00046DA5">
        <w:t xml:space="preserve"> The guidelines provide an opportunity to state the legislative context and the ACMA’s approach to considering future pricing matters. The guidelines complement the ACMA’s explanatory material supporting its reasoning for pricing decisions in its consultation papers and explanatory statements to amending legislative instruments. </w:t>
      </w:r>
      <w:r w:rsidR="00FC2620">
        <w:t xml:space="preserve">After </w:t>
      </w:r>
      <w:r w:rsidR="00311DC1">
        <w:t>considering</w:t>
      </w:r>
      <w:r w:rsidR="001F7D24">
        <w:t xml:space="preserve"> the feedback from stakeholder</w:t>
      </w:r>
      <w:r w:rsidR="00656918">
        <w:t>s</w:t>
      </w:r>
      <w:r w:rsidR="00CF6FFA">
        <w:t>,</w:t>
      </w:r>
      <w:r w:rsidR="001F7D24">
        <w:t xml:space="preserve"> the</w:t>
      </w:r>
      <w:r w:rsidR="0089476E" w:rsidRPr="00046DA5">
        <w:t xml:space="preserve"> guidelines are </w:t>
      </w:r>
      <w:r w:rsidR="001F7D24">
        <w:t>detailed</w:t>
      </w:r>
      <w:r w:rsidR="0089476E" w:rsidRPr="00046DA5">
        <w:t xml:space="preserve"> in this paper. </w:t>
      </w:r>
    </w:p>
    <w:p w14:paraId="737831CC" w14:textId="225431B6" w:rsidR="0089476E" w:rsidRPr="00AD74B4" w:rsidRDefault="0089476E" w:rsidP="00AD74B4">
      <w:pPr>
        <w:pStyle w:val="ListNumber"/>
        <w:spacing w:after="240"/>
        <w:ind w:left="357" w:hanging="357"/>
        <w:rPr>
          <w:b/>
          <w:bCs/>
        </w:rPr>
      </w:pPr>
      <w:r w:rsidRPr="00AD74B4">
        <w:rPr>
          <w:b/>
          <w:bCs/>
        </w:rPr>
        <w:t xml:space="preserve">To ensure efficient use of spectrum, the </w:t>
      </w:r>
      <w:r w:rsidR="005B736A">
        <w:rPr>
          <w:b/>
          <w:bCs/>
        </w:rPr>
        <w:t>g</w:t>
      </w:r>
      <w:r w:rsidRPr="00AD74B4">
        <w:rPr>
          <w:b/>
          <w:bCs/>
        </w:rPr>
        <w:t xml:space="preserve">overnment and the ACMA should endeavour to charge users of similar spectrum at the same rate. </w:t>
      </w:r>
    </w:p>
    <w:p w14:paraId="46381693" w14:textId="31CCD91C" w:rsidR="005E1071" w:rsidRDefault="009C3CBA" w:rsidP="0089476E">
      <w:pPr>
        <w:ind w:left="567"/>
      </w:pPr>
      <w:r>
        <w:rPr>
          <w:i/>
        </w:rPr>
        <w:t>Update</w:t>
      </w:r>
      <w:r w:rsidR="0089476E" w:rsidRPr="00046DA5">
        <w:t xml:space="preserve">: The calculation of apparatus licence taxes typically does not </w:t>
      </w:r>
      <w:proofErr w:type="gramStart"/>
      <w:r w:rsidR="0089476E" w:rsidRPr="00046DA5">
        <w:t>take into account</w:t>
      </w:r>
      <w:proofErr w:type="gramEnd"/>
      <w:r w:rsidR="0089476E" w:rsidRPr="00046DA5">
        <w:t xml:space="preserve"> the uses of spectrum</w:t>
      </w:r>
      <w:r w:rsidR="0007151A">
        <w:t>, although it is based on licence types, and not all uses are accommodated by all licence types</w:t>
      </w:r>
      <w:r w:rsidR="0089476E" w:rsidRPr="00046DA5">
        <w:t>. However, the ACMA acknowledges that there are different pricing constructs for different licence types. In some circumstances, similar services can be provided under different licence types</w:t>
      </w:r>
      <w:r w:rsidR="009D0D3E">
        <w:t>, making it difficult</w:t>
      </w:r>
      <w:r w:rsidR="00B74FC0">
        <w:t xml:space="preserve"> to replicate the charging arrangements</w:t>
      </w:r>
      <w:r w:rsidR="0089476E" w:rsidRPr="00046DA5">
        <w:t xml:space="preserve">. </w:t>
      </w:r>
    </w:p>
    <w:p w14:paraId="09BBF000" w14:textId="77777777" w:rsidR="0003203A" w:rsidRPr="00716082" w:rsidRDefault="00CE707C" w:rsidP="008816D9">
      <w:pPr>
        <w:spacing w:after="80"/>
        <w:ind w:left="567"/>
      </w:pPr>
      <w:r w:rsidRPr="00716082">
        <w:t>The submission process highlighted a number of differen</w:t>
      </w:r>
      <w:r w:rsidR="0003203A" w:rsidRPr="00716082">
        <w:t>ces in pricing including:</w:t>
      </w:r>
    </w:p>
    <w:p w14:paraId="528DBF17" w14:textId="6F70CEFB" w:rsidR="00EA042F" w:rsidRPr="00716082" w:rsidRDefault="00326B27" w:rsidP="008816D9">
      <w:pPr>
        <w:pStyle w:val="ListBullet"/>
        <w:tabs>
          <w:tab w:val="clear" w:pos="295"/>
          <w:tab w:val="num" w:pos="851"/>
        </w:tabs>
        <w:ind w:left="851" w:hanging="284"/>
      </w:pPr>
      <w:r>
        <w:t>T</w:t>
      </w:r>
      <w:r w:rsidR="00C90ED2" w:rsidRPr="00716082">
        <w:t>he broadcasting/narrowcasting</w:t>
      </w:r>
      <w:r w:rsidR="0003203A" w:rsidRPr="00716082">
        <w:t xml:space="preserve"> industry</w:t>
      </w:r>
      <w:r w:rsidR="001A5119" w:rsidRPr="00716082">
        <w:t xml:space="preserve"> not</w:t>
      </w:r>
      <w:r w:rsidR="0003203A" w:rsidRPr="00716082">
        <w:t>ing</w:t>
      </w:r>
      <w:r w:rsidR="001A5119" w:rsidRPr="00716082">
        <w:t xml:space="preserve"> differences between commercial broadcasting taxes for </w:t>
      </w:r>
      <w:r w:rsidR="00690C59">
        <w:t xml:space="preserve">transmitter licences held by </w:t>
      </w:r>
      <w:r w:rsidR="001A5119" w:rsidRPr="00716082">
        <w:t xml:space="preserve">commercial radio and </w:t>
      </w:r>
      <w:r w:rsidR="00690C59">
        <w:t>television</w:t>
      </w:r>
      <w:r w:rsidR="00690C59" w:rsidRPr="00716082">
        <w:t xml:space="preserve"> </w:t>
      </w:r>
      <w:r w:rsidR="002F76E0" w:rsidRPr="00716082">
        <w:t xml:space="preserve">broadcasters and </w:t>
      </w:r>
      <w:r w:rsidR="006C0BE0">
        <w:t xml:space="preserve">apparatus licence </w:t>
      </w:r>
      <w:r w:rsidR="002F76E0" w:rsidRPr="00716082">
        <w:t>taxes for HPON</w:t>
      </w:r>
      <w:r w:rsidR="006909A2" w:rsidRPr="00716082">
        <w:t xml:space="preserve"> and LPON</w:t>
      </w:r>
      <w:r w:rsidR="006C0BE0">
        <w:t xml:space="preserve"> licences</w:t>
      </w:r>
      <w:r w:rsidR="00284112" w:rsidRPr="00716082">
        <w:t>.</w:t>
      </w:r>
      <w:r w:rsidR="00650907" w:rsidRPr="00716082">
        <w:t xml:space="preserve"> </w:t>
      </w:r>
    </w:p>
    <w:p w14:paraId="2F7F3F25" w14:textId="6F95EE15" w:rsidR="00716082" w:rsidRPr="00716082" w:rsidRDefault="0007151A" w:rsidP="008816D9">
      <w:pPr>
        <w:pStyle w:val="ListBullet"/>
        <w:tabs>
          <w:tab w:val="clear" w:pos="295"/>
          <w:tab w:val="num" w:pos="851"/>
        </w:tabs>
        <w:ind w:left="851" w:hanging="284"/>
      </w:pPr>
      <w:r>
        <w:t>T</w:t>
      </w:r>
      <w:r w:rsidR="00EA042F" w:rsidRPr="00716082">
        <w:t>he satellite industry noting</w:t>
      </w:r>
      <w:r w:rsidR="00880A15">
        <w:t xml:space="preserve"> </w:t>
      </w:r>
      <w:r w:rsidR="002C63BB">
        <w:t>differences</w:t>
      </w:r>
      <w:r w:rsidR="00880A15">
        <w:t xml:space="preserve"> between MSS and TOBS and P2MP in the current tax regime</w:t>
      </w:r>
      <w:r w:rsidR="00B1252C">
        <w:t>.</w:t>
      </w:r>
      <w:r w:rsidR="00880A15" w:rsidRPr="00716082">
        <w:t xml:space="preserve"> </w:t>
      </w:r>
    </w:p>
    <w:p w14:paraId="76DACE5E" w14:textId="0C3D9B67" w:rsidR="002E4E57" w:rsidRPr="00716082" w:rsidRDefault="0007151A" w:rsidP="008816D9">
      <w:pPr>
        <w:pStyle w:val="ListBullet"/>
        <w:tabs>
          <w:tab w:val="clear" w:pos="295"/>
          <w:tab w:val="num" w:pos="851"/>
        </w:tabs>
        <w:spacing w:after="240"/>
        <w:ind w:left="851" w:hanging="284"/>
      </w:pPr>
      <w:r>
        <w:t>W</w:t>
      </w:r>
      <w:r w:rsidR="00650907" w:rsidRPr="00716082">
        <w:t xml:space="preserve">ith the recent introduction of </w:t>
      </w:r>
      <w:r w:rsidR="00B93098">
        <w:t>AWL</w:t>
      </w:r>
      <w:r w:rsidR="001E3021">
        <w:t>s</w:t>
      </w:r>
      <w:r w:rsidR="004B5FBC" w:rsidRPr="00716082">
        <w:t xml:space="preserve">, the satellite community noted the difference between pricing in the </w:t>
      </w:r>
      <w:r w:rsidR="00B764ED" w:rsidRPr="00716082">
        <w:t>wider 26</w:t>
      </w:r>
      <w:r w:rsidR="003C3664">
        <w:t xml:space="preserve"> GHz</w:t>
      </w:r>
      <w:r w:rsidR="00B764ED" w:rsidRPr="00716082">
        <w:t xml:space="preserve"> and 28 GHz bands.</w:t>
      </w:r>
    </w:p>
    <w:p w14:paraId="7412289D" w14:textId="327F7DCF" w:rsidR="004D4809" w:rsidRPr="009311E8" w:rsidRDefault="008D4669" w:rsidP="0089476E">
      <w:pPr>
        <w:ind w:left="567"/>
      </w:pPr>
      <w:r w:rsidRPr="009311E8">
        <w:t>As part of its work program</w:t>
      </w:r>
      <w:r w:rsidR="00E935FE">
        <w:t>,</w:t>
      </w:r>
      <w:r w:rsidRPr="009311E8">
        <w:t xml:space="preserve"> the ACMA</w:t>
      </w:r>
      <w:r w:rsidR="003A688B" w:rsidRPr="009311E8">
        <w:t xml:space="preserve"> will be considering the </w:t>
      </w:r>
      <w:r w:rsidR="00405B0E">
        <w:t>differences in</w:t>
      </w:r>
      <w:r w:rsidR="0098656F">
        <w:t xml:space="preserve"> </w:t>
      </w:r>
      <w:r w:rsidR="003C6D81" w:rsidRPr="009311E8">
        <w:t xml:space="preserve">apparatus licence </w:t>
      </w:r>
      <w:r w:rsidR="003C6D81" w:rsidRPr="009311E8">
        <w:rPr>
          <w:iCs/>
        </w:rPr>
        <w:t>tax</w:t>
      </w:r>
      <w:r w:rsidR="00591CC4">
        <w:rPr>
          <w:iCs/>
        </w:rPr>
        <w:t>es</w:t>
      </w:r>
      <w:r w:rsidR="0098656F">
        <w:rPr>
          <w:iCs/>
        </w:rPr>
        <w:t>, including</w:t>
      </w:r>
      <w:r w:rsidR="003C6D81" w:rsidRPr="009311E8">
        <w:t xml:space="preserve"> </w:t>
      </w:r>
      <w:r w:rsidR="003A688B" w:rsidRPr="009311E8">
        <w:t xml:space="preserve">for </w:t>
      </w:r>
      <w:r w:rsidR="003C6D81" w:rsidRPr="009311E8">
        <w:t>broadcasting</w:t>
      </w:r>
      <w:r w:rsidR="004D4809" w:rsidRPr="009311E8">
        <w:t>.</w:t>
      </w:r>
    </w:p>
    <w:p w14:paraId="65AB973D" w14:textId="4338C862" w:rsidR="0089476E" w:rsidRPr="00B62626" w:rsidRDefault="0089476E" w:rsidP="00B62626">
      <w:pPr>
        <w:pStyle w:val="ListNumber"/>
        <w:keepNext/>
        <w:keepLines/>
        <w:spacing w:after="240"/>
        <w:ind w:left="357" w:hanging="357"/>
        <w:rPr>
          <w:b/>
          <w:bCs/>
        </w:rPr>
      </w:pPr>
      <w:r w:rsidRPr="00B62626">
        <w:rPr>
          <w:b/>
          <w:bCs/>
        </w:rPr>
        <w:t xml:space="preserve">Bespoke pricing arrangements will sometimes be necessary. Where spectrum fees are determined other than by auction or by the administered pricing formula, the ACMA, or the </w:t>
      </w:r>
      <w:r w:rsidR="005B736A">
        <w:rPr>
          <w:b/>
          <w:bCs/>
        </w:rPr>
        <w:t>g</w:t>
      </w:r>
      <w:r w:rsidRPr="00B62626">
        <w:rPr>
          <w:b/>
          <w:bCs/>
        </w:rPr>
        <w:t>overnment where it directs the ACMA on pricing, should publish the reasons for this decision.</w:t>
      </w:r>
    </w:p>
    <w:p w14:paraId="322FC1B9" w14:textId="6E36D4FB" w:rsidR="00EB78C5" w:rsidRDefault="009C3CBA" w:rsidP="0089476E">
      <w:pPr>
        <w:ind w:left="567"/>
      </w:pPr>
      <w:r>
        <w:rPr>
          <w:i/>
        </w:rPr>
        <w:t>Update</w:t>
      </w:r>
      <w:r w:rsidR="0089476E" w:rsidRPr="00046DA5">
        <w:t xml:space="preserve">: In implementing this recommendation, the ACMA sees an opportunity to improve the transparency of its pricing decisions. The ACMA provides extensive explanatory material supporting its reasoning for pricing decisions in its consultation papers and explanatory statements. In addition, the ACMA </w:t>
      </w:r>
      <w:r w:rsidR="00C03C6A">
        <w:t>will</w:t>
      </w:r>
      <w:r w:rsidR="0089476E" w:rsidRPr="00046DA5">
        <w:t xml:space="preserve"> provide more material detailing its previous pricing decisions to complement the existing information in the Apparatus Licence Fee Schedule.</w:t>
      </w:r>
      <w:r w:rsidR="0089476E" w:rsidRPr="00046DA5">
        <w:rPr>
          <w:rStyle w:val="FootnoteReference"/>
        </w:rPr>
        <w:footnoteReference w:id="5"/>
      </w:r>
      <w:r w:rsidR="0089476E" w:rsidRPr="00046DA5">
        <w:t xml:space="preserve"> </w:t>
      </w:r>
      <w:r w:rsidR="001D322F">
        <w:t>The new</w:t>
      </w:r>
      <w:r w:rsidR="000C2150">
        <w:t xml:space="preserve"> detail </w:t>
      </w:r>
      <w:r w:rsidR="001D322F">
        <w:t>will be provid</w:t>
      </w:r>
      <w:r w:rsidR="000C2150">
        <w:t>e</w:t>
      </w:r>
      <w:r w:rsidR="008D6FA3">
        <w:t>d</w:t>
      </w:r>
      <w:r w:rsidR="000C2150">
        <w:t xml:space="preserve"> </w:t>
      </w:r>
      <w:r w:rsidR="008D6FA3">
        <w:t>in the 5 April 2021</w:t>
      </w:r>
      <w:r w:rsidR="00D93080">
        <w:t xml:space="preserve"> edition of the </w:t>
      </w:r>
      <w:r w:rsidR="00AB6BD6">
        <w:t xml:space="preserve">Apparatus Licence </w:t>
      </w:r>
      <w:r w:rsidR="00D93080">
        <w:t>Fee Schedule</w:t>
      </w:r>
      <w:r w:rsidR="00EB78C5">
        <w:t>.</w:t>
      </w:r>
    </w:p>
    <w:p w14:paraId="64DDD989" w14:textId="77777777" w:rsidR="0089476E" w:rsidRPr="00046DA5" w:rsidRDefault="0089476E" w:rsidP="0089476E">
      <w:pPr>
        <w:pStyle w:val="Heading3"/>
        <w:spacing w:before="0" w:after="240"/>
      </w:pPr>
      <w:r w:rsidRPr="00046DA5">
        <w:t>Market-based allocations</w:t>
      </w:r>
    </w:p>
    <w:p w14:paraId="2DEF49B8" w14:textId="77777777" w:rsidR="0089476E" w:rsidRPr="00B62626" w:rsidRDefault="0089476E" w:rsidP="00B62626">
      <w:pPr>
        <w:pStyle w:val="ListNumber"/>
        <w:spacing w:after="240"/>
        <w:ind w:left="357" w:hanging="357"/>
        <w:rPr>
          <w:b/>
          <w:bCs/>
        </w:rPr>
      </w:pPr>
      <w:r w:rsidRPr="00B62626">
        <w:rPr>
          <w:b/>
          <w:bCs/>
        </w:rPr>
        <w:t>The ACMA should further identify bands to transition from administratively set fees to competitive market-based allocations in its annual work program.</w:t>
      </w:r>
    </w:p>
    <w:p w14:paraId="4FEBE65E" w14:textId="2C2AA342" w:rsidR="0089476E" w:rsidRPr="00046DA5" w:rsidRDefault="009C3CBA" w:rsidP="0089476E">
      <w:pPr>
        <w:spacing w:after="0"/>
        <w:ind w:left="567"/>
      </w:pPr>
      <w:r>
        <w:rPr>
          <w:i/>
        </w:rPr>
        <w:t>Update</w:t>
      </w:r>
      <w:r w:rsidR="0089476E" w:rsidRPr="00046DA5">
        <w:t xml:space="preserve">: This recommendation has been implemented with the extensive forward work program of allocations published in the </w:t>
      </w:r>
      <w:hyperlink r:id="rId30" w:history="1">
        <w:r w:rsidR="0023640A">
          <w:rPr>
            <w:rStyle w:val="Hyperlink"/>
            <w:i/>
          </w:rPr>
          <w:t>Five-year spectrum outlook 2020–24</w:t>
        </w:r>
      </w:hyperlink>
      <w:r w:rsidR="0089476E" w:rsidRPr="00046DA5">
        <w:t>.</w:t>
      </w:r>
      <w:r w:rsidR="0089476E" w:rsidRPr="00046DA5" w:rsidDel="004539D4">
        <w:t xml:space="preserve"> </w:t>
      </w:r>
      <w:r w:rsidR="0089476E" w:rsidRPr="00046DA5">
        <w:t>There are ongoing opportunities for stakeholders to comment on work program of allocations as part of the consultation undertaken each year for the FYSO.</w:t>
      </w:r>
    </w:p>
    <w:p w14:paraId="27F18BC7" w14:textId="77777777" w:rsidR="0089476E" w:rsidRPr="00046DA5" w:rsidRDefault="0089476E" w:rsidP="0089476E">
      <w:pPr>
        <w:spacing w:after="0"/>
        <w:ind w:left="567"/>
      </w:pPr>
    </w:p>
    <w:p w14:paraId="25FD62B6" w14:textId="4FF7C9DD" w:rsidR="000A37C6" w:rsidRPr="005700CB" w:rsidRDefault="0089476E" w:rsidP="005700CB">
      <w:pPr>
        <w:pStyle w:val="ListNumber"/>
        <w:spacing w:after="240"/>
        <w:ind w:left="357" w:hanging="357"/>
        <w:rPr>
          <w:b/>
          <w:bCs/>
        </w:rPr>
      </w:pPr>
      <w:r w:rsidRPr="005700CB">
        <w:rPr>
          <w:b/>
          <w:bCs/>
        </w:rPr>
        <w:t xml:space="preserve">In setting reserve prices, the ACMA and the </w:t>
      </w:r>
      <w:r w:rsidR="005B736A" w:rsidRPr="005700CB">
        <w:rPr>
          <w:b/>
          <w:bCs/>
        </w:rPr>
        <w:t>g</w:t>
      </w:r>
      <w:r w:rsidRPr="005700CB">
        <w:rPr>
          <w:b/>
          <w:bCs/>
        </w:rPr>
        <w:t>overnment should consider the influence of the reserve price on competitive behaviour, and the scope for price discovery through upward movement toward the market value of the spectrum.</w:t>
      </w:r>
      <w:r w:rsidR="003B2571" w:rsidRPr="005700CB">
        <w:rPr>
          <w:b/>
          <w:bCs/>
        </w:rPr>
        <w:t xml:space="preserve"> </w:t>
      </w:r>
    </w:p>
    <w:p w14:paraId="788C0CC8" w14:textId="0CECCCAB" w:rsidR="0089476E" w:rsidRPr="00BB3212" w:rsidRDefault="00B30F5E" w:rsidP="009311E8">
      <w:pPr>
        <w:pStyle w:val="ListParagraph"/>
        <w:spacing w:after="240" w:line="240" w:lineRule="auto"/>
        <w:ind w:left="567"/>
        <w:contextualSpacing w:val="0"/>
        <w:rPr>
          <w:bCs/>
        </w:rPr>
      </w:pPr>
      <w:r>
        <w:rPr>
          <w:bCs/>
        </w:rPr>
        <w:t>S</w:t>
      </w:r>
      <w:r w:rsidR="003B2571" w:rsidRPr="00BB3212">
        <w:rPr>
          <w:bCs/>
        </w:rPr>
        <w:t xml:space="preserve">ee below for </w:t>
      </w:r>
      <w:r w:rsidR="00EC3E8D">
        <w:rPr>
          <w:bCs/>
        </w:rPr>
        <w:t>u</w:t>
      </w:r>
      <w:r w:rsidR="003B2571" w:rsidRPr="00BB3212">
        <w:rPr>
          <w:bCs/>
        </w:rPr>
        <w:t>pdate</w:t>
      </w:r>
      <w:r>
        <w:rPr>
          <w:bCs/>
        </w:rPr>
        <w:t>.</w:t>
      </w:r>
    </w:p>
    <w:p w14:paraId="2FD35D67" w14:textId="77777777" w:rsidR="0089476E" w:rsidRPr="005700CB" w:rsidRDefault="0089476E" w:rsidP="005700CB">
      <w:pPr>
        <w:pStyle w:val="ListNumber"/>
        <w:spacing w:after="240"/>
        <w:ind w:left="357" w:hanging="357"/>
        <w:rPr>
          <w:b/>
          <w:bCs/>
        </w:rPr>
      </w:pPr>
      <w:r w:rsidRPr="005700CB">
        <w:rPr>
          <w:b/>
          <w:bCs/>
        </w:rPr>
        <w:t>For spectrum access charges determined by auction, the ACMA should generally require upfront lump-sum payments. There may be circumstances where instalment payments are warranted shortly after the beginning of a licence term. In considering use of instalments, the ACMA should assess the risks to the state of default and the potential impact on competition.</w:t>
      </w:r>
    </w:p>
    <w:p w14:paraId="5AB2FEED" w14:textId="77B49380" w:rsidR="0089476E" w:rsidRPr="00046DA5" w:rsidRDefault="009C3CBA" w:rsidP="0089476E">
      <w:pPr>
        <w:spacing w:line="240" w:lineRule="auto"/>
        <w:ind w:left="567"/>
      </w:pPr>
      <w:r>
        <w:rPr>
          <w:i/>
        </w:rPr>
        <w:t>Update</w:t>
      </w:r>
      <w:r w:rsidR="0089476E" w:rsidRPr="00046DA5">
        <w:rPr>
          <w:i/>
        </w:rPr>
        <w:t>—recommendations 5 and 6:</w:t>
      </w:r>
      <w:r w:rsidR="0089476E" w:rsidRPr="00046DA5">
        <w:t xml:space="preserve"> The ACMA accepts th</w:t>
      </w:r>
      <w:r w:rsidR="000817B7">
        <w:t>ese</w:t>
      </w:r>
      <w:r w:rsidR="0089476E" w:rsidRPr="00046DA5">
        <w:t xml:space="preserve"> recommendation</w:t>
      </w:r>
      <w:r w:rsidR="000817B7">
        <w:t>s</w:t>
      </w:r>
      <w:r w:rsidR="0089476E" w:rsidRPr="00046DA5">
        <w:t>. The ACMA is mindful that each auction should consider the circumstances of the market.</w:t>
      </w:r>
      <w:r w:rsidR="00C84D94">
        <w:t xml:space="preserve"> For example, the Minister recently directed the ACMA to provide instalment </w:t>
      </w:r>
      <w:r w:rsidR="000817B7">
        <w:t xml:space="preserve">payment </w:t>
      </w:r>
      <w:r w:rsidR="00C84D94">
        <w:t>arrangements for the 26 GHz band auction.</w:t>
      </w:r>
    </w:p>
    <w:p w14:paraId="1FEAA104" w14:textId="77777777" w:rsidR="0089476E" w:rsidRPr="00046DA5" w:rsidRDefault="0089476E" w:rsidP="0089476E">
      <w:pPr>
        <w:pStyle w:val="Heading3"/>
        <w:spacing w:after="240"/>
      </w:pPr>
      <w:r w:rsidRPr="00046DA5">
        <w:t>Administered allocations</w:t>
      </w:r>
    </w:p>
    <w:p w14:paraId="072FE4E8" w14:textId="7FC2DA77" w:rsidR="0089476E" w:rsidRPr="005700CB" w:rsidRDefault="0089476E" w:rsidP="005700CB">
      <w:pPr>
        <w:pStyle w:val="ListNumber"/>
        <w:spacing w:after="240"/>
        <w:ind w:left="357" w:hanging="357"/>
        <w:rPr>
          <w:b/>
          <w:bCs/>
        </w:rPr>
      </w:pPr>
      <w:r w:rsidRPr="005700CB">
        <w:rPr>
          <w:b/>
          <w:bCs/>
        </w:rPr>
        <w:t xml:space="preserve">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w:t>
      </w:r>
      <w:proofErr w:type="gramStart"/>
      <w:r w:rsidRPr="005700CB">
        <w:rPr>
          <w:b/>
          <w:bCs/>
        </w:rPr>
        <w:t>demography</w:t>
      </w:r>
      <w:proofErr w:type="gramEnd"/>
      <w:r w:rsidRPr="005700CB">
        <w:rPr>
          <w:b/>
          <w:bCs/>
        </w:rPr>
        <w:t xml:space="preserve"> and demand.</w:t>
      </w:r>
    </w:p>
    <w:p w14:paraId="7143F5BF" w14:textId="580EEE0B" w:rsidR="00175C29" w:rsidRPr="009311E8" w:rsidRDefault="00B30F5E" w:rsidP="009311E8">
      <w:pPr>
        <w:spacing w:line="240" w:lineRule="auto"/>
        <w:ind w:left="283" w:firstLine="284"/>
        <w:rPr>
          <w:b/>
        </w:rPr>
      </w:pPr>
      <w:r>
        <w:rPr>
          <w:bCs/>
        </w:rPr>
        <w:t>S</w:t>
      </w:r>
      <w:r w:rsidR="00175C29" w:rsidRPr="00590299">
        <w:rPr>
          <w:bCs/>
        </w:rPr>
        <w:t xml:space="preserve">ee below for </w:t>
      </w:r>
      <w:r w:rsidR="00EC3E8D">
        <w:rPr>
          <w:bCs/>
        </w:rPr>
        <w:t>u</w:t>
      </w:r>
      <w:r w:rsidR="00175C29" w:rsidRPr="00590299">
        <w:rPr>
          <w:bCs/>
        </w:rPr>
        <w:t>pdate</w:t>
      </w:r>
      <w:r>
        <w:rPr>
          <w:bCs/>
        </w:rPr>
        <w:t>.</w:t>
      </w:r>
    </w:p>
    <w:p w14:paraId="536D5293" w14:textId="77777777" w:rsidR="0089476E" w:rsidRPr="005700CB" w:rsidRDefault="0089476E" w:rsidP="00922F42">
      <w:pPr>
        <w:pStyle w:val="ListNumber"/>
        <w:spacing w:after="240"/>
        <w:ind w:left="357" w:hanging="357"/>
        <w:rPr>
          <w:b/>
          <w:bCs/>
        </w:rPr>
      </w:pPr>
      <w:r w:rsidRPr="005700CB">
        <w:rPr>
          <w:b/>
          <w:bCs/>
        </w:rPr>
        <w:t>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14:paraId="2405B762" w14:textId="2BE4A97E" w:rsidR="0089476E" w:rsidRPr="00046DA5" w:rsidRDefault="008205C6" w:rsidP="0089476E">
      <w:pPr>
        <w:pStyle w:val="ListParagraph"/>
        <w:spacing w:after="240" w:line="240" w:lineRule="auto"/>
        <w:ind w:left="567"/>
        <w:rPr>
          <w:rFonts w:cs="Arial"/>
          <w:bCs/>
          <w:szCs w:val="20"/>
        </w:rPr>
      </w:pPr>
      <w:r>
        <w:rPr>
          <w:rFonts w:cs="Arial"/>
          <w:bCs/>
          <w:i/>
          <w:szCs w:val="20"/>
        </w:rPr>
        <w:t>Update</w:t>
      </w:r>
      <w:r w:rsidR="0089476E" w:rsidRPr="00046DA5">
        <w:rPr>
          <w:rFonts w:cs="Arial"/>
          <w:i/>
          <w:szCs w:val="20"/>
        </w:rPr>
        <w:t>—recommendations 7 and 8</w:t>
      </w:r>
      <w:r w:rsidR="0089476E" w:rsidRPr="00046DA5">
        <w:rPr>
          <w:rFonts w:cs="Arial"/>
          <w:bCs/>
          <w:i/>
          <w:szCs w:val="20"/>
        </w:rPr>
        <w:t>:</w:t>
      </w:r>
      <w:r w:rsidR="0089476E" w:rsidRPr="00046DA5">
        <w:rPr>
          <w:rFonts w:cs="Arial"/>
          <w:bCs/>
          <w:szCs w:val="20"/>
        </w:rPr>
        <w:t xml:space="preserve"> These recommendations are at the centre of th</w:t>
      </w:r>
      <w:r w:rsidR="005F2AE8">
        <w:rPr>
          <w:rFonts w:cs="Arial"/>
          <w:bCs/>
          <w:szCs w:val="20"/>
        </w:rPr>
        <w:t xml:space="preserve">is </w:t>
      </w:r>
      <w:r w:rsidR="0089476E" w:rsidRPr="00046DA5">
        <w:rPr>
          <w:rFonts w:cs="Arial"/>
          <w:bCs/>
          <w:szCs w:val="20"/>
        </w:rPr>
        <w:t xml:space="preserve">review. </w:t>
      </w:r>
      <w:r w:rsidR="005F2AE8">
        <w:rPr>
          <w:rFonts w:cs="Arial"/>
          <w:bCs/>
          <w:szCs w:val="20"/>
        </w:rPr>
        <w:t>The work progra</w:t>
      </w:r>
      <w:r w:rsidR="005F1437">
        <w:rPr>
          <w:rFonts w:cs="Arial"/>
          <w:bCs/>
          <w:szCs w:val="20"/>
        </w:rPr>
        <w:t xml:space="preserve">m for the review is outlined in this </w:t>
      </w:r>
      <w:r w:rsidR="005E72C5">
        <w:rPr>
          <w:rFonts w:cs="Arial"/>
          <w:bCs/>
          <w:szCs w:val="20"/>
        </w:rPr>
        <w:t>response to submissions paper</w:t>
      </w:r>
      <w:r w:rsidR="005F1437">
        <w:rPr>
          <w:rFonts w:cs="Arial"/>
          <w:bCs/>
          <w:szCs w:val="20"/>
        </w:rPr>
        <w:t>.</w:t>
      </w:r>
    </w:p>
    <w:p w14:paraId="0A58E640" w14:textId="77777777" w:rsidR="0089476E" w:rsidRPr="00046DA5" w:rsidRDefault="0089476E" w:rsidP="0089476E">
      <w:pPr>
        <w:pStyle w:val="Heading3"/>
        <w:spacing w:after="240"/>
      </w:pPr>
      <w:r w:rsidRPr="00046DA5">
        <w:t>Legislative and cost recovery framework</w:t>
      </w:r>
    </w:p>
    <w:p w14:paraId="0F85C8D8" w14:textId="2B63FC74" w:rsidR="0089476E" w:rsidRPr="00922F42" w:rsidRDefault="0089476E" w:rsidP="00922F42">
      <w:pPr>
        <w:pStyle w:val="ListNumber"/>
        <w:spacing w:after="240"/>
        <w:ind w:left="357" w:hanging="357"/>
        <w:rPr>
          <w:b/>
          <w:bCs/>
        </w:rPr>
      </w:pPr>
      <w:r w:rsidRPr="00922F42">
        <w:rPr>
          <w:b/>
          <w:bCs/>
        </w:rPr>
        <w:t xml:space="preserve">The </w:t>
      </w:r>
      <w:r w:rsidR="005B736A" w:rsidRPr="00922F42">
        <w:rPr>
          <w:b/>
          <w:bCs/>
        </w:rPr>
        <w:t>g</w:t>
      </w:r>
      <w:r w:rsidRPr="00922F42">
        <w:rPr>
          <w:b/>
          <w:bCs/>
        </w:rPr>
        <w:t xml:space="preserve">overnment should consolidate the three existing spectrum tax Acts into one tax Act. The ACMA should continue to have the power to make determinations on the amount of tax under this Act. There should be no changes to the direct charges framework. In addition to the consolidation of the tax Acts, provisions of the separate </w:t>
      </w:r>
      <w:r w:rsidRPr="00922F42">
        <w:rPr>
          <w:b/>
          <w:bCs/>
          <w:i/>
        </w:rPr>
        <w:t>Radiocommunications Taxes Collection Act 1983</w:t>
      </w:r>
      <w:r w:rsidRPr="00922F42">
        <w:rPr>
          <w:b/>
          <w:bCs/>
        </w:rPr>
        <w:t xml:space="preserve"> and the Radiocommunications Taxes Collection Regulations 1985 should be consolidated with the remaining legislation.</w:t>
      </w:r>
    </w:p>
    <w:p w14:paraId="72D2AC6D" w14:textId="4E3FFCBB" w:rsidR="00A755A9" w:rsidRPr="00046DA5" w:rsidRDefault="00A755A9" w:rsidP="009311E8">
      <w:pPr>
        <w:spacing w:line="240" w:lineRule="auto"/>
        <w:ind w:left="283" w:firstLine="284"/>
        <w:rPr>
          <w:b/>
        </w:rPr>
      </w:pPr>
      <w:r w:rsidRPr="00590299">
        <w:rPr>
          <w:bCs/>
        </w:rPr>
        <w:t xml:space="preserve">See below for </w:t>
      </w:r>
      <w:r w:rsidR="007573DB">
        <w:rPr>
          <w:bCs/>
        </w:rPr>
        <w:t>u</w:t>
      </w:r>
      <w:r w:rsidRPr="00590299">
        <w:rPr>
          <w:bCs/>
        </w:rPr>
        <w:t>pdate.</w:t>
      </w:r>
    </w:p>
    <w:p w14:paraId="1A76C4A9" w14:textId="54B32B9C" w:rsidR="0089476E" w:rsidRPr="00922F42" w:rsidRDefault="0089476E" w:rsidP="00922F42">
      <w:pPr>
        <w:pStyle w:val="ListNumber"/>
        <w:spacing w:after="240"/>
        <w:ind w:left="357" w:hanging="357"/>
        <w:rPr>
          <w:b/>
          <w:bCs/>
        </w:rPr>
      </w:pPr>
      <w:r w:rsidRPr="00922F42">
        <w:rPr>
          <w:b/>
          <w:bCs/>
        </w:rPr>
        <w:t>The apparatus licence taxes and spectrum access charges for spectrum licences should be combined into a single spectrum access charge. This existing apparatus licence tax formula should become the administered incentive pricing formula and should dictate the price paid for administered prices under the spectrum access charge. This formula would be adjusted to remove the minimum tax constraint.</w:t>
      </w:r>
    </w:p>
    <w:p w14:paraId="789CF3E2" w14:textId="3C35534A" w:rsidR="00BC3456" w:rsidRPr="00046DA5" w:rsidRDefault="00BC3456" w:rsidP="009311E8">
      <w:pPr>
        <w:spacing w:line="240" w:lineRule="auto"/>
        <w:ind w:left="283" w:firstLine="284"/>
        <w:rPr>
          <w:b/>
        </w:rPr>
      </w:pPr>
      <w:r w:rsidRPr="00590299">
        <w:rPr>
          <w:bCs/>
        </w:rPr>
        <w:t xml:space="preserve">See below for </w:t>
      </w:r>
      <w:r w:rsidR="007573DB">
        <w:rPr>
          <w:bCs/>
        </w:rPr>
        <w:t>u</w:t>
      </w:r>
      <w:r w:rsidRPr="00590299">
        <w:rPr>
          <w:bCs/>
        </w:rPr>
        <w:t>pdate.</w:t>
      </w:r>
    </w:p>
    <w:p w14:paraId="59635817" w14:textId="77777777" w:rsidR="0089476E" w:rsidRPr="00922F42" w:rsidRDefault="0089476E" w:rsidP="00922F42">
      <w:pPr>
        <w:pStyle w:val="ListNumber"/>
        <w:spacing w:after="240"/>
        <w:ind w:left="357" w:hanging="357"/>
        <w:rPr>
          <w:b/>
          <w:bCs/>
        </w:rPr>
      </w:pPr>
      <w:r w:rsidRPr="00922F42">
        <w:rPr>
          <w:b/>
          <w:bCs/>
        </w:rPr>
        <w:t>The spectrum licence tax and the minimum tax constraint of the apparatus licence taxes should be subsumed into one radiocommunications licence tax. The ACMA should continue to recover direct costs through charges. The ACMA should explore if there are any additional costs that should be recovered through the direct cost mechanisms. The use of charges should be consistent with the Australian Government Charging Framework.</w:t>
      </w:r>
    </w:p>
    <w:p w14:paraId="53375C3F" w14:textId="7E470AE1" w:rsidR="0089476E" w:rsidRPr="00046DA5" w:rsidRDefault="008205C6" w:rsidP="0089476E">
      <w:pPr>
        <w:pStyle w:val="ListParagraph"/>
        <w:spacing w:after="240" w:line="240" w:lineRule="auto"/>
        <w:ind w:left="567"/>
        <w:contextualSpacing w:val="0"/>
        <w:rPr>
          <w:rFonts w:cs="Arial"/>
          <w:bCs/>
          <w:szCs w:val="20"/>
        </w:rPr>
      </w:pPr>
      <w:r>
        <w:rPr>
          <w:rFonts w:cs="Arial"/>
          <w:bCs/>
          <w:i/>
          <w:szCs w:val="20"/>
        </w:rPr>
        <w:t>Update</w:t>
      </w:r>
      <w:r w:rsidR="0089476E" w:rsidRPr="00046DA5">
        <w:rPr>
          <w:rFonts w:cs="Arial"/>
          <w:i/>
          <w:szCs w:val="20"/>
        </w:rPr>
        <w:t>—recommendations 9, 10 and 11</w:t>
      </w:r>
      <w:r w:rsidR="0089476E" w:rsidRPr="00046DA5">
        <w:rPr>
          <w:rFonts w:cs="Arial"/>
          <w:bCs/>
          <w:i/>
          <w:szCs w:val="20"/>
        </w:rPr>
        <w:t>:</w:t>
      </w:r>
      <w:r w:rsidR="0089476E" w:rsidRPr="00046DA5">
        <w:rPr>
          <w:rFonts w:cs="Arial"/>
          <w:bCs/>
          <w:szCs w:val="20"/>
        </w:rPr>
        <w:t xml:space="preserve"> The legislative changes mentioned in these recommendations are matters for government. However, as stated in the FYSO, the ACMA considers that it can implement </w:t>
      </w:r>
      <w:r w:rsidR="00DD1346">
        <w:rPr>
          <w:rFonts w:cs="Arial"/>
          <w:bCs/>
          <w:szCs w:val="20"/>
        </w:rPr>
        <w:t xml:space="preserve">aspects </w:t>
      </w:r>
      <w:r w:rsidR="0089476E" w:rsidRPr="00046DA5">
        <w:rPr>
          <w:rFonts w:cs="Arial"/>
          <w:bCs/>
          <w:szCs w:val="20"/>
        </w:rPr>
        <w:t>of these recommendations under the current legislation.</w:t>
      </w:r>
    </w:p>
    <w:p w14:paraId="4421EDAE" w14:textId="0E393741" w:rsidR="007951A2" w:rsidRPr="00046DA5" w:rsidRDefault="007951A2" w:rsidP="0058339C">
      <w:pPr>
        <w:pStyle w:val="Heading1"/>
      </w:pPr>
      <w:bookmarkStart w:id="31" w:name="_Ref57047900"/>
      <w:bookmarkStart w:id="32" w:name="_Ref57136189"/>
      <w:bookmarkStart w:id="33" w:name="_Toc59007939"/>
      <w:r>
        <w:t>Spectrum Pricing Guidelines</w:t>
      </w:r>
      <w:bookmarkEnd w:id="31"/>
      <w:bookmarkEnd w:id="32"/>
      <w:bookmarkEnd w:id="33"/>
    </w:p>
    <w:p w14:paraId="20BA37E1" w14:textId="58CE6E9A" w:rsidR="00886A76" w:rsidRPr="00886A76" w:rsidRDefault="00E13C75" w:rsidP="53E88E4F">
      <w:pPr>
        <w:pStyle w:val="Heading2"/>
      </w:pPr>
      <w:bookmarkStart w:id="34" w:name="_Toc59007940"/>
      <w:r>
        <w:t>Spectrum pricing decisions</w:t>
      </w:r>
      <w:bookmarkEnd w:id="34"/>
    </w:p>
    <w:p w14:paraId="0D008A5B" w14:textId="1431DBE3" w:rsidR="00695ECC" w:rsidRDefault="00E13C75" w:rsidP="00695ECC">
      <w:pPr>
        <w:pStyle w:val="Paragraph"/>
      </w:pPr>
      <w:r w:rsidRPr="00046DA5">
        <w:t>The ACMA intends to apply the</w:t>
      </w:r>
      <w:r w:rsidR="00CE119B">
        <w:t>se spectrum</w:t>
      </w:r>
      <w:r w:rsidRPr="00046DA5">
        <w:t xml:space="preserve"> pricing guidelines to its spectrum pricing decisions where it administratively determines or sets the price for the various radiocommunications licences administered under the</w:t>
      </w:r>
      <w:r w:rsidR="00327E36">
        <w:t xml:space="preserve"> </w:t>
      </w:r>
      <w:r w:rsidR="00695ECC">
        <w:rPr>
          <w:i/>
          <w:iCs/>
        </w:rPr>
        <w:t>Radiocommunications Act 1992</w:t>
      </w:r>
      <w:r w:rsidR="00695ECC">
        <w:t xml:space="preserve"> (</w:t>
      </w:r>
      <w:r w:rsidR="00327E36">
        <w:t xml:space="preserve">the </w:t>
      </w:r>
      <w:r w:rsidR="00695ECC">
        <w:t>Act).</w:t>
      </w:r>
    </w:p>
    <w:p w14:paraId="4F862D53" w14:textId="77777777" w:rsidR="00E13C75" w:rsidRPr="00046DA5" w:rsidRDefault="00E13C75" w:rsidP="00E13C75">
      <w:pPr>
        <w:pStyle w:val="Paragraph"/>
        <w:spacing w:after="80"/>
      </w:pPr>
      <w:r w:rsidRPr="00046DA5">
        <w:t>The Act provides three types of licences for authorising the operation of radiocommunications transmitters and receivers:</w:t>
      </w:r>
    </w:p>
    <w:p w14:paraId="6985B113" w14:textId="11965CE3" w:rsidR="00E13C75" w:rsidRPr="00046DA5" w:rsidRDefault="00E13C75" w:rsidP="00E13C75">
      <w:pPr>
        <w:pStyle w:val="ListBullet"/>
      </w:pPr>
      <w:r w:rsidRPr="7991D590">
        <w:rPr>
          <w:b/>
          <w:bCs/>
        </w:rPr>
        <w:t>Class licences</w:t>
      </w:r>
      <w:r>
        <w:t xml:space="preserve">: A class licence authorises the operation of </w:t>
      </w:r>
      <w:r w:rsidR="00695ECC">
        <w:t xml:space="preserve">radiocommunications transmitters and receivers </w:t>
      </w:r>
      <w:r>
        <w:t xml:space="preserve">on shared frequencies. There is no need to apply for individual licences or pay any </w:t>
      </w:r>
      <w:r w:rsidR="000F1BC7">
        <w:t>taxes or charges</w:t>
      </w:r>
      <w:r>
        <w:t xml:space="preserve">. As such, the </w:t>
      </w:r>
      <w:r w:rsidR="000F1BC7">
        <w:t xml:space="preserve">spectrum </w:t>
      </w:r>
      <w:r>
        <w:t xml:space="preserve">pricing guidelines do not </w:t>
      </w:r>
      <w:r w:rsidR="000F1BC7">
        <w:t xml:space="preserve">have any direct application to </w:t>
      </w:r>
      <w:r>
        <w:t>class licence</w:t>
      </w:r>
      <w:r w:rsidR="000F1BC7">
        <w:t>s</w:t>
      </w:r>
      <w:r>
        <w:t>.</w:t>
      </w:r>
    </w:p>
    <w:p w14:paraId="48E723A2" w14:textId="46A1309F" w:rsidR="00E13C75" w:rsidRPr="00046DA5" w:rsidRDefault="00E13C75" w:rsidP="00E13C75">
      <w:pPr>
        <w:pStyle w:val="ListBullet"/>
      </w:pPr>
      <w:r w:rsidRPr="7991D590">
        <w:rPr>
          <w:b/>
          <w:bCs/>
        </w:rPr>
        <w:t>Apparatus licences</w:t>
      </w:r>
      <w:r>
        <w:t xml:space="preserve">: An apparatus licence provides authorisation to operate </w:t>
      </w:r>
      <w:r w:rsidR="00A1511E">
        <w:t xml:space="preserve">specified radiocommunications </w:t>
      </w:r>
      <w:r>
        <w:t xml:space="preserve">transmitters </w:t>
      </w:r>
      <w:r w:rsidR="00A1511E">
        <w:t xml:space="preserve">or </w:t>
      </w:r>
      <w:r>
        <w:t xml:space="preserve">receivers. The applicant </w:t>
      </w:r>
      <w:r w:rsidR="00A1511E">
        <w:t xml:space="preserve">for an apparatus licence </w:t>
      </w:r>
      <w:r>
        <w:t xml:space="preserve">will need to pay </w:t>
      </w:r>
      <w:r w:rsidR="005F169D">
        <w:t xml:space="preserve">cost recovery </w:t>
      </w:r>
      <w:r>
        <w:t xml:space="preserve">charges and apparatus licence tax. </w:t>
      </w:r>
      <w:r w:rsidR="005F169D">
        <w:t>The amount of b</w:t>
      </w:r>
      <w:r>
        <w:t xml:space="preserve">oth the charges and the taxes are determined by the ACMA. </w:t>
      </w:r>
    </w:p>
    <w:p w14:paraId="664ECFBF" w14:textId="431E9ACE" w:rsidR="00E13C75" w:rsidRPr="00046DA5" w:rsidRDefault="00E13C75" w:rsidP="00E13C75">
      <w:pPr>
        <w:pStyle w:val="ListBulletLast"/>
      </w:pPr>
      <w:r w:rsidRPr="7991D590">
        <w:rPr>
          <w:b/>
          <w:bCs/>
        </w:rPr>
        <w:t>Spectrum licences</w:t>
      </w:r>
      <w:r>
        <w:t xml:space="preserve">: A spectrum licence authorises the use of </w:t>
      </w:r>
      <w:r w:rsidR="00D6130A">
        <w:t xml:space="preserve">radiocommunications transmitters and receivers within specified </w:t>
      </w:r>
      <w:r>
        <w:t xml:space="preserve">frequency ranges </w:t>
      </w:r>
      <w:r w:rsidR="00D6130A">
        <w:t xml:space="preserve">and in </w:t>
      </w:r>
      <w:r>
        <w:t xml:space="preserve">a defined geographic location. Most spectrum licences are allocated via </w:t>
      </w:r>
      <w:r w:rsidR="00D6130A">
        <w:t xml:space="preserve">a </w:t>
      </w:r>
      <w:r>
        <w:t xml:space="preserve">competitive allocation processes (for example, an auction) with prices determined by the market. These prices </w:t>
      </w:r>
      <w:r w:rsidR="00E73409">
        <w:t xml:space="preserve">are collected </w:t>
      </w:r>
      <w:r>
        <w:t xml:space="preserve">as spectrum access charges under section 294 of the Act. The </w:t>
      </w:r>
      <w:r w:rsidR="00E73409">
        <w:t xml:space="preserve">spectrum </w:t>
      </w:r>
      <w:r>
        <w:t xml:space="preserve">pricing guidelines do not apply to prices set by the market. However, where the ACMA allocates spectrum licence at a pre-determined </w:t>
      </w:r>
      <w:proofErr w:type="gramStart"/>
      <w:r>
        <w:t>price</w:t>
      </w:r>
      <w:r w:rsidR="00E73409">
        <w:t>,</w:t>
      </w:r>
      <w:r>
        <w:t xml:space="preserve"> or</w:t>
      </w:r>
      <w:proofErr w:type="gramEnd"/>
      <w:r>
        <w:t xml:space="preserve"> converts an apparatus licence into a spectrum licence</w:t>
      </w:r>
      <w:r w:rsidR="00356D6C">
        <w:t xml:space="preserve"> under</w:t>
      </w:r>
      <w:r>
        <w:t xml:space="preserve"> the </w:t>
      </w:r>
      <w:r w:rsidR="00356D6C">
        <w:t>Act</w:t>
      </w:r>
      <w:r>
        <w:t xml:space="preserve">, the </w:t>
      </w:r>
      <w:r w:rsidR="00356D6C">
        <w:t xml:space="preserve">spectrum </w:t>
      </w:r>
      <w:r>
        <w:t xml:space="preserve">pricing guidelines will apply. All spectrum licences may incur </w:t>
      </w:r>
      <w:r w:rsidR="00356D6C">
        <w:t xml:space="preserve">cost recovery </w:t>
      </w:r>
      <w:r>
        <w:t xml:space="preserve">charges and spectrum licences taxes that are set by the ACMA and the </w:t>
      </w:r>
      <w:r w:rsidR="00F848A3">
        <w:t xml:space="preserve">spectrum </w:t>
      </w:r>
      <w:r>
        <w:t>pricing guidelines will apply</w:t>
      </w:r>
      <w:r w:rsidR="00F848A3">
        <w:t xml:space="preserve"> to the setting of these amounts</w:t>
      </w:r>
      <w:r>
        <w:t>.</w:t>
      </w:r>
    </w:p>
    <w:p w14:paraId="7884C0AE" w14:textId="77777777" w:rsidR="00E13C75" w:rsidRPr="00046DA5" w:rsidRDefault="00E13C75" w:rsidP="00E13C75">
      <w:pPr>
        <w:pStyle w:val="Heading2"/>
        <w:keepLines/>
      </w:pPr>
      <w:bookmarkStart w:id="35" w:name="_Toc33758201"/>
      <w:bookmarkStart w:id="36" w:name="_Toc59007941"/>
      <w:r w:rsidRPr="00046DA5">
        <w:t>Guiding principles</w:t>
      </w:r>
      <w:bookmarkEnd w:id="35"/>
      <w:bookmarkEnd w:id="36"/>
    </w:p>
    <w:p w14:paraId="17E0BB70" w14:textId="0D287588" w:rsidR="00E13C75" w:rsidRPr="00046DA5" w:rsidRDefault="00E13C75" w:rsidP="00E13C75">
      <w:pPr>
        <w:pStyle w:val="Paragraph"/>
        <w:keepNext/>
        <w:keepLines/>
      </w:pPr>
      <w:r w:rsidRPr="00046DA5">
        <w:t xml:space="preserve">The ACMA has drawn upon the objects of </w:t>
      </w:r>
      <w:r w:rsidRPr="002E5A4B">
        <w:t xml:space="preserve">the Act, </w:t>
      </w:r>
      <w:r w:rsidRPr="00046DA5">
        <w:t>the Spectrum Management Principles</w:t>
      </w:r>
      <w:r w:rsidR="00521667">
        <w:t xml:space="preserve">, </w:t>
      </w:r>
      <w:r w:rsidRPr="00046DA5">
        <w:t xml:space="preserve">the </w:t>
      </w:r>
      <w:r w:rsidR="005B736A">
        <w:t>g</w:t>
      </w:r>
      <w:r w:rsidRPr="00046DA5">
        <w:t>overnment’s Spectrum Pricing Review</w:t>
      </w:r>
      <w:r w:rsidR="00DE7F11">
        <w:t xml:space="preserve"> and feedback from industry</w:t>
      </w:r>
      <w:r w:rsidRPr="00046DA5">
        <w:t xml:space="preserve"> to form the following guiding principles that will apply when considering various </w:t>
      </w:r>
      <w:r w:rsidR="00FF4469">
        <w:t>taxes and charges</w:t>
      </w:r>
      <w:r w:rsidRPr="00046DA5">
        <w:t>.</w:t>
      </w:r>
    </w:p>
    <w:p w14:paraId="238384A4" w14:textId="77777777" w:rsidR="00E13C75" w:rsidRPr="00046DA5" w:rsidRDefault="00E13C75" w:rsidP="00E13C75">
      <w:pPr>
        <w:pStyle w:val="Heading3"/>
        <w:keepLines/>
      </w:pPr>
      <w:r w:rsidRPr="00046DA5">
        <w:t>Efficient allocation and use of the radiofrequency spectrum (efficiency)</w:t>
      </w:r>
    </w:p>
    <w:p w14:paraId="07844FF6" w14:textId="16B13C65" w:rsidR="00E13C75" w:rsidRPr="00B44266" w:rsidRDefault="00E13C75" w:rsidP="00E13C75">
      <w:pPr>
        <w:keepNext/>
        <w:keepLines/>
      </w:pPr>
      <w:r w:rsidRPr="00046DA5">
        <w:t xml:space="preserve">The primary economic objective for managing public resources is to maximise the benefit that resource provides to society. This occurs when spectrum is allocated and used efficiently. This is achieved where spectrum is allocated to the highest value use or uses; that is, the use or uses that maximise the value derived from the spectrum by licensees, </w:t>
      </w:r>
      <w:proofErr w:type="gramStart"/>
      <w:r w:rsidRPr="00046DA5">
        <w:t>consumers</w:t>
      </w:r>
      <w:proofErr w:type="gramEnd"/>
      <w:r w:rsidRPr="00046DA5">
        <w:t xml:space="preserve"> and the wider community. This is most likely to occur when prices are set in a way that reflect</w:t>
      </w:r>
      <w:r w:rsidR="003C459A">
        <w:t>s</w:t>
      </w:r>
      <w:r w:rsidRPr="00046DA5">
        <w:t xml:space="preserve"> the opportunity cost associated with spectrum </w:t>
      </w:r>
      <w:r w:rsidRPr="00B44266">
        <w:t>denial.</w:t>
      </w:r>
      <w:r w:rsidR="002A23B7" w:rsidRPr="00B44266">
        <w:t xml:space="preserve"> Opportunity cost </w:t>
      </w:r>
      <w:r w:rsidR="005D5205" w:rsidRPr="00B44266">
        <w:t>can reflect</w:t>
      </w:r>
      <w:r w:rsidR="00A127DC" w:rsidRPr="00B44266">
        <w:t xml:space="preserve"> both the </w:t>
      </w:r>
      <w:r w:rsidR="00E10185" w:rsidRPr="00B44266">
        <w:t xml:space="preserve">commercial value and the </w:t>
      </w:r>
      <w:r w:rsidR="0048676B" w:rsidRPr="00B44266">
        <w:t>public benefit</w:t>
      </w:r>
      <w:r w:rsidR="00CA0560" w:rsidRPr="00B44266">
        <w:t xml:space="preserve"> of services</w:t>
      </w:r>
      <w:r w:rsidR="009C25B9" w:rsidRPr="00B44266">
        <w:t xml:space="preserve"> and therefore promote the efficient allocation of spectrum</w:t>
      </w:r>
      <w:r w:rsidR="00B44266" w:rsidRPr="00B44266">
        <w:t>.</w:t>
      </w:r>
      <w:r w:rsidR="00A73538" w:rsidRPr="00B44266">
        <w:t xml:space="preserve"> </w:t>
      </w:r>
    </w:p>
    <w:p w14:paraId="79FC55AC" w14:textId="77777777" w:rsidR="00E13C75" w:rsidRPr="00046DA5" w:rsidRDefault="00E13C75" w:rsidP="00E13C75">
      <w:pPr>
        <w:pStyle w:val="Heading3"/>
      </w:pPr>
      <w:r w:rsidRPr="00046DA5">
        <w:t>Consistency and simplicity</w:t>
      </w:r>
    </w:p>
    <w:p w14:paraId="606FA85C" w14:textId="77777777" w:rsidR="00E13C75" w:rsidRPr="00046DA5" w:rsidRDefault="00E13C75" w:rsidP="00E13C75">
      <w:r w:rsidRPr="00046DA5">
        <w:t xml:space="preserve">A simplified framework should enable licensees to understand and navigate their regulatory requirements, thereby minimising regulatory burden. It should use the least restrictive approach to reduce regulatory burdens, allowing licensees to focus on optimising their use of spectrum. </w:t>
      </w:r>
    </w:p>
    <w:p w14:paraId="369ABB72" w14:textId="77777777" w:rsidR="00E13C75" w:rsidRPr="00046DA5" w:rsidRDefault="00E13C75" w:rsidP="00E13C75">
      <w:pPr>
        <w:pStyle w:val="Heading3"/>
      </w:pPr>
      <w:r w:rsidRPr="00046DA5">
        <w:t>Flexibility and adaptability to technology change</w:t>
      </w:r>
    </w:p>
    <w:p w14:paraId="6915DF13" w14:textId="4FE88F42" w:rsidR="00E13C75" w:rsidRPr="00046DA5" w:rsidRDefault="00E13C75" w:rsidP="00E13C75">
      <w:r w:rsidRPr="00046DA5">
        <w:t>The highest value use of spectrum will change over time as technology develops, consumer and social preferences evolve, and as the circumstances of licensees change. These changes will also result in a change in the value of spectrum. The spectrum pricing regime should be flexible enough to reflect these changes to enable licensees to adapt spectrum usage to both market requirements and technological advances</w:t>
      </w:r>
      <w:r w:rsidR="00301BA5">
        <w:t xml:space="preserve"> </w:t>
      </w:r>
      <w:r w:rsidR="00301BA5" w:rsidRPr="00B44266">
        <w:t>and promote the use of spectrum by</w:t>
      </w:r>
      <w:r w:rsidR="00070F2C" w:rsidRPr="00B44266">
        <w:t xml:space="preserve"> providers of different sizes and business models</w:t>
      </w:r>
      <w:r w:rsidR="00A73538" w:rsidRPr="00B44266">
        <w:t>.</w:t>
      </w:r>
    </w:p>
    <w:p w14:paraId="071BD3DE" w14:textId="77777777" w:rsidR="00E13C75" w:rsidRPr="00046DA5" w:rsidRDefault="00E13C75" w:rsidP="00E13C75">
      <w:pPr>
        <w:pStyle w:val="Heading3"/>
      </w:pPr>
      <w:r w:rsidRPr="00046DA5">
        <w:t>Transparency in process</w:t>
      </w:r>
    </w:p>
    <w:p w14:paraId="519B97B5" w14:textId="77777777" w:rsidR="00E13C75" w:rsidRPr="00046DA5" w:rsidRDefault="00E13C75" w:rsidP="00E13C75">
      <w:pPr>
        <w:pStyle w:val="Paragraph"/>
      </w:pPr>
      <w:r w:rsidRPr="00046DA5">
        <w:t xml:space="preserve">A principle of good governance is transparency. Stakeholders should be able to understand the basis for the pricing arrangements associated with their use of spectrum. This in turn ensures that the ACMA is accountable for the decisions being made about spectrum pricing. </w:t>
      </w:r>
    </w:p>
    <w:p w14:paraId="5917CD19" w14:textId="77777777" w:rsidR="00E13C75" w:rsidRPr="00046DA5" w:rsidRDefault="00E13C75" w:rsidP="00E13C75">
      <w:pPr>
        <w:pStyle w:val="Heading3"/>
      </w:pPr>
      <w:r w:rsidRPr="00046DA5">
        <w:t>Recovery of the costs of spectrum management</w:t>
      </w:r>
    </w:p>
    <w:p w14:paraId="012429D4" w14:textId="54221639" w:rsidR="00E13C75" w:rsidRDefault="7DBEA9AD" w:rsidP="00E13C75">
      <w:pPr>
        <w:pStyle w:val="Paragraph"/>
      </w:pPr>
      <w:r>
        <w:t xml:space="preserve">The ACMA incurs costs for spectrum regulatory activities such as planning, interference management and coordination, and these costs should be recovered from those using spectrum. The Radiocommunications (Charges) Determination 2017 sets out the </w:t>
      </w:r>
      <w:r w:rsidR="00D328DC">
        <w:t xml:space="preserve">cost recovery charges </w:t>
      </w:r>
      <w:r>
        <w:t xml:space="preserve">that can be directly attributed to a licensee, such as the consideration and issue of an apparatus licence. Indirect costs are those that cannot be </w:t>
      </w:r>
      <w:r w:rsidR="17A42963">
        <w:t xml:space="preserve">easily </w:t>
      </w:r>
      <w:r>
        <w:t>attributed to a licensee. Spectrum licence tax</w:t>
      </w:r>
      <w:r w:rsidR="00D328DC">
        <w:t xml:space="preserve"> </w:t>
      </w:r>
      <w:r>
        <w:t>enable</w:t>
      </w:r>
      <w:r w:rsidR="00D328DC">
        <w:t>s</w:t>
      </w:r>
      <w:r>
        <w:t xml:space="preserve"> the recovery of the indirect costs of spectrum management from spectrum licensees. The recovery of costs should be consistent with the Australian Government Charging Framework.</w:t>
      </w:r>
    </w:p>
    <w:p w14:paraId="32EF7F9F" w14:textId="28FFD399" w:rsidR="009053C1" w:rsidRDefault="009053C1" w:rsidP="00E13C75">
      <w:pPr>
        <w:pStyle w:val="Paragraph"/>
      </w:pPr>
    </w:p>
    <w:p w14:paraId="79657071" w14:textId="77777777" w:rsidR="009053C1" w:rsidRPr="00046DA5" w:rsidRDefault="009053C1" w:rsidP="00E13C75">
      <w:pPr>
        <w:pStyle w:val="Paragraph"/>
      </w:pPr>
    </w:p>
    <w:p w14:paraId="63655326" w14:textId="77777777" w:rsidR="00E13C75" w:rsidRPr="00046DA5" w:rsidRDefault="00E13C75" w:rsidP="00E13C75">
      <w:pPr>
        <w:pStyle w:val="Heading2"/>
        <w:keepLines/>
      </w:pPr>
      <w:bookmarkStart w:id="37" w:name="_Toc33758202"/>
      <w:bookmarkStart w:id="38" w:name="_Toc59007942"/>
      <w:r w:rsidRPr="00046DA5">
        <w:t>When will the ACMA consider changing prices?</w:t>
      </w:r>
      <w:bookmarkEnd w:id="37"/>
      <w:bookmarkEnd w:id="38"/>
    </w:p>
    <w:p w14:paraId="4133CE4B" w14:textId="543FC9E0" w:rsidR="00E13C75" w:rsidRPr="00046DA5" w:rsidRDefault="00E13C75" w:rsidP="00E13C75">
      <w:pPr>
        <w:pStyle w:val="Paragraph"/>
        <w:keepNext/>
        <w:keepLines/>
        <w:spacing w:after="80"/>
      </w:pPr>
      <w:r w:rsidRPr="00046DA5">
        <w:t>The ACMA expects to update existing apparatus licence tax</w:t>
      </w:r>
      <w:r w:rsidR="00D328DC">
        <w:t xml:space="preserve"> rat</w:t>
      </w:r>
      <w:r w:rsidRPr="00046DA5">
        <w:t>es or introduce new tax</w:t>
      </w:r>
      <w:r w:rsidR="00D328DC">
        <w:t xml:space="preserve"> rat</w:t>
      </w:r>
      <w:r w:rsidRPr="00046DA5">
        <w:t>es when:</w:t>
      </w:r>
    </w:p>
    <w:p w14:paraId="7B7DF15A" w14:textId="77777777" w:rsidR="00E13C75" w:rsidRPr="00046DA5" w:rsidRDefault="00E13C75" w:rsidP="00E13C75">
      <w:pPr>
        <w:pStyle w:val="ListBullet"/>
        <w:keepNext/>
        <w:keepLines/>
      </w:pPr>
      <w:r>
        <w:t>a new apparatus licence type is introduced</w:t>
      </w:r>
    </w:p>
    <w:p w14:paraId="29A10F4B" w14:textId="77777777" w:rsidR="00E13C75" w:rsidRPr="00046DA5" w:rsidRDefault="00E13C75" w:rsidP="00E13C75">
      <w:pPr>
        <w:pStyle w:val="ListBullet"/>
        <w:keepNext/>
        <w:keepLines/>
      </w:pPr>
      <w:r>
        <w:t>there is a change in the value of spectrum. Changes in value could be signalled through:</w:t>
      </w:r>
    </w:p>
    <w:p w14:paraId="22D484FE" w14:textId="27CCB4B7" w:rsidR="00E13C75" w:rsidRPr="00C40EC7" w:rsidRDefault="00E13C75" w:rsidP="00E13C75">
      <w:pPr>
        <w:pStyle w:val="ListBullet2"/>
        <w:keepNext/>
        <w:keepLines/>
      </w:pPr>
      <w:r w:rsidRPr="00C40EC7">
        <w:t xml:space="preserve">changes in use of spectrum bands. </w:t>
      </w:r>
      <w:r w:rsidR="003C4DCE" w:rsidRPr="00C40EC7">
        <w:t>T</w:t>
      </w:r>
      <w:r w:rsidRPr="00C40EC7">
        <w:t xml:space="preserve">he ACMA is proposing to develop simple monitoring frameworks to measure congestion in the bands and undertake pricing reviews concurrently with band planning reviews </w:t>
      </w:r>
    </w:p>
    <w:p w14:paraId="4DFEC875" w14:textId="733DA3DF" w:rsidR="00E13C75" w:rsidRPr="00046DA5" w:rsidRDefault="00E13C75" w:rsidP="00E13C75">
      <w:pPr>
        <w:pStyle w:val="ListBullet2"/>
        <w:keepNext/>
        <w:keepLines/>
      </w:pPr>
      <w:r w:rsidRPr="00046DA5">
        <w:t>changes in market circumstances, which may become evident in auction results for equivalent spectrum and other market analysis undertaken by the ACMA, and representations to the ACMA from industry</w:t>
      </w:r>
    </w:p>
    <w:p w14:paraId="425D1595" w14:textId="1EC4A896" w:rsidR="00E13C75" w:rsidRPr="00046DA5" w:rsidRDefault="00E13C75" w:rsidP="00E13C75">
      <w:pPr>
        <w:pStyle w:val="ListBullet2"/>
        <w:keepNext/>
        <w:keepLines/>
      </w:pPr>
      <w:r w:rsidRPr="00046DA5">
        <w:t>ACMA initiatives to keep spectrum pricing contemporary including by regular reviews of the parameters of the tax formula and updates for inflation</w:t>
      </w:r>
      <w:r w:rsidR="002E6426">
        <w:t xml:space="preserve">. </w:t>
      </w:r>
    </w:p>
    <w:p w14:paraId="0811D03F" w14:textId="44F6818B" w:rsidR="00E13C75" w:rsidRPr="00046DA5" w:rsidRDefault="00E13C75" w:rsidP="00E13C75">
      <w:pPr>
        <w:pStyle w:val="ListBulletLast"/>
        <w:keepNext/>
        <w:keepLines/>
      </w:pPr>
      <w:r w:rsidRPr="00046DA5">
        <w:t xml:space="preserve">there has been a change in </w:t>
      </w:r>
      <w:r w:rsidR="006544FC">
        <w:t xml:space="preserve">cost recovery </w:t>
      </w:r>
      <w:r w:rsidRPr="00046DA5">
        <w:t>charges or changes in the indirect costs of spectrum management.</w:t>
      </w:r>
      <w:r w:rsidRPr="00046DA5">
        <w:rPr>
          <w:sz w:val="22"/>
          <w:szCs w:val="22"/>
          <w:vertAlign w:val="superscript"/>
        </w:rPr>
        <w:footnoteReference w:id="6"/>
      </w:r>
    </w:p>
    <w:p w14:paraId="2E6EAF92" w14:textId="77777777" w:rsidR="00E13C75" w:rsidRPr="00046DA5" w:rsidRDefault="00E13C75" w:rsidP="00E13C75">
      <w:pPr>
        <w:pStyle w:val="Heading2"/>
      </w:pPr>
      <w:bookmarkStart w:id="39" w:name="_Toc33758203"/>
      <w:bookmarkStart w:id="40" w:name="_Toc59007943"/>
      <w:r w:rsidRPr="00046DA5">
        <w:t>Practical considerations</w:t>
      </w:r>
      <w:bookmarkEnd w:id="39"/>
      <w:bookmarkEnd w:id="40"/>
    </w:p>
    <w:p w14:paraId="67522DBB" w14:textId="3FD49587" w:rsidR="00E13C75" w:rsidRPr="00046DA5" w:rsidRDefault="00E13C75" w:rsidP="00E13C75">
      <w:pPr>
        <w:pStyle w:val="Paragraph"/>
        <w:spacing w:after="80"/>
      </w:pPr>
      <w:proofErr w:type="gramStart"/>
      <w:r w:rsidRPr="00046DA5">
        <w:t>In implementing the recommendations of the Spectrum Pricing Review and the ongoing pricing work of the ACMA, there</w:t>
      </w:r>
      <w:proofErr w:type="gramEnd"/>
      <w:r w:rsidRPr="00046DA5">
        <w:t xml:space="preserve"> </w:t>
      </w:r>
      <w:r w:rsidR="006544FC">
        <w:t xml:space="preserve">is </w:t>
      </w:r>
      <w:r w:rsidRPr="00046DA5">
        <w:t>a set of practical factors that need to be considered, such as:</w:t>
      </w:r>
    </w:p>
    <w:p w14:paraId="56B159E4" w14:textId="79E3112D" w:rsidR="00E13C75" w:rsidRPr="00046DA5" w:rsidRDefault="00E13C75" w:rsidP="00E13C75">
      <w:pPr>
        <w:pStyle w:val="ListBullet"/>
      </w:pPr>
      <w:r w:rsidRPr="7991D590">
        <w:rPr>
          <w:b/>
          <w:bCs/>
        </w:rPr>
        <w:t>Data availability</w:t>
      </w:r>
      <w:r>
        <w:t>: The apparatus licence tax</w:t>
      </w:r>
      <w:r w:rsidR="006544FC">
        <w:t xml:space="preserve"> rat</w:t>
      </w:r>
      <w:r>
        <w:t xml:space="preserve">es are determined by legislative instruments; any measures included in these instruments need to be objective and certain. </w:t>
      </w:r>
      <w:proofErr w:type="gramStart"/>
      <w:r>
        <w:t>This assists</w:t>
      </w:r>
      <w:proofErr w:type="gramEnd"/>
      <w:r>
        <w:t xml:space="preserve"> both the ACMA and licensees to accurately assess the amount of tax imposed and consider any compliance matters. </w:t>
      </w:r>
    </w:p>
    <w:p w14:paraId="6CD25C70" w14:textId="77777777" w:rsidR="00E13C75" w:rsidRPr="00046DA5" w:rsidRDefault="00E13C75" w:rsidP="00E13C75">
      <w:pPr>
        <w:pStyle w:val="ListBullet"/>
      </w:pPr>
      <w:r w:rsidRPr="7991D590">
        <w:rPr>
          <w:b/>
          <w:bCs/>
        </w:rPr>
        <w:t>Limitations on implementation</w:t>
      </w:r>
      <w:r>
        <w:t>: If changes to taxes require additional information from licensees, then this information will need to be provided as part of the licence application process. This will require changes in the ACMA and industry’s systems and processes and may incur additional costs.</w:t>
      </w:r>
    </w:p>
    <w:p w14:paraId="5D312202" w14:textId="485A25C6" w:rsidR="00E13C75" w:rsidRDefault="00E13C75" w:rsidP="00E13C75">
      <w:pPr>
        <w:pStyle w:val="ListBulletLast"/>
      </w:pPr>
      <w:r w:rsidRPr="7991D590">
        <w:rPr>
          <w:b/>
          <w:bCs/>
        </w:rPr>
        <w:t>Coordinating the implementation of the Spectrum Pricing Review with other reviews:</w:t>
      </w:r>
      <w:r>
        <w:t xml:space="preserve"> The ACMA and government are undertaking a number of reviews and reforms. The ACMA sees great benefit in coordinating the implementation of the Spectrum Pricing Review with other reviews. This will ensure that the ACMA can coordinate discussions with stakeholders and ensure consistency of pricing.</w:t>
      </w:r>
    </w:p>
    <w:p w14:paraId="4981D365" w14:textId="77777777" w:rsidR="00415E8B" w:rsidRDefault="00415E8B" w:rsidP="001A39F4">
      <w:pPr>
        <w:pStyle w:val="ListBulletLast"/>
        <w:numPr>
          <w:ilvl w:val="0"/>
          <w:numId w:val="0"/>
        </w:numPr>
        <w:ind w:left="295"/>
        <w:sectPr w:rsidR="00415E8B" w:rsidSect="00ED23D4">
          <w:headerReference w:type="even" r:id="rId31"/>
          <w:headerReference w:type="default" r:id="rId32"/>
          <w:footerReference w:type="even" r:id="rId33"/>
          <w:footerReference w:type="default" r:id="rId34"/>
          <w:pgSz w:w="11906" w:h="16838" w:code="9"/>
          <w:pgMar w:top="1945" w:right="3101" w:bottom="1134" w:left="1134" w:header="709" w:footer="119" w:gutter="0"/>
          <w:cols w:space="708"/>
          <w:docGrid w:linePitch="360"/>
        </w:sectPr>
      </w:pPr>
    </w:p>
    <w:p w14:paraId="4567F26C" w14:textId="2C83A896" w:rsidR="001A39F4" w:rsidRDefault="00415E8B" w:rsidP="00053247">
      <w:pPr>
        <w:pStyle w:val="Heading1"/>
      </w:pPr>
      <w:bookmarkStart w:id="41" w:name="_Work_Program"/>
      <w:bookmarkStart w:id="42" w:name="_Ref57046898"/>
      <w:bookmarkStart w:id="43" w:name="_Ref57048702"/>
      <w:bookmarkStart w:id="44" w:name="_Ref57049847"/>
      <w:bookmarkStart w:id="45" w:name="_Toc59007944"/>
      <w:bookmarkEnd w:id="41"/>
      <w:r>
        <w:t xml:space="preserve">Work </w:t>
      </w:r>
      <w:r w:rsidR="002E6426">
        <w:t>p</w:t>
      </w:r>
      <w:r>
        <w:t>rogram</w:t>
      </w:r>
      <w:bookmarkEnd w:id="42"/>
      <w:bookmarkEnd w:id="43"/>
      <w:bookmarkEnd w:id="44"/>
      <w:bookmarkEnd w:id="45"/>
    </w:p>
    <w:p w14:paraId="33A009EF" w14:textId="77777777" w:rsidR="00215B81" w:rsidRPr="00215B81" w:rsidRDefault="00215B81" w:rsidP="00215B81"/>
    <w:tbl>
      <w:tblPr>
        <w:tblStyle w:val="ACMAtablestyle"/>
        <w:tblW w:w="0" w:type="auto"/>
        <w:tblCellMar>
          <w:top w:w="85" w:type="dxa"/>
          <w:bottom w:w="85" w:type="dxa"/>
        </w:tblCellMar>
        <w:tblLook w:val="04A0" w:firstRow="1" w:lastRow="0" w:firstColumn="1" w:lastColumn="0" w:noHBand="0" w:noVBand="1"/>
      </w:tblPr>
      <w:tblGrid>
        <w:gridCol w:w="2255"/>
        <w:gridCol w:w="7663"/>
        <w:gridCol w:w="3260"/>
      </w:tblGrid>
      <w:tr w:rsidR="00F80D6C" w:rsidRPr="000B6C9B" w14:paraId="0205FDEB" w14:textId="77777777" w:rsidTr="00F80D6C">
        <w:trPr>
          <w:cnfStyle w:val="100000000000" w:firstRow="1" w:lastRow="0" w:firstColumn="0" w:lastColumn="0" w:oddVBand="0" w:evenVBand="0" w:oddHBand="0" w:evenHBand="0" w:firstRowFirstColumn="0" w:firstRowLastColumn="0" w:lastRowFirstColumn="0" w:lastRowLastColumn="0"/>
        </w:trPr>
        <w:tc>
          <w:tcPr>
            <w:tcW w:w="2255" w:type="dxa"/>
          </w:tcPr>
          <w:p w14:paraId="2AD07CCA" w14:textId="77777777" w:rsidR="00415E8B" w:rsidRPr="00F80D6C" w:rsidRDefault="00415E8B" w:rsidP="00CE4A31">
            <w:pPr>
              <w:pStyle w:val="CommentText"/>
              <w:tabs>
                <w:tab w:val="left" w:pos="426"/>
              </w:tabs>
              <w:spacing w:after="0"/>
              <w:rPr>
                <w:rFonts w:cs="Arial"/>
                <w:b/>
              </w:rPr>
            </w:pPr>
            <w:r w:rsidRPr="00F80D6C">
              <w:rPr>
                <w:rFonts w:cs="Arial"/>
                <w:b/>
              </w:rPr>
              <w:t>Stream of work</w:t>
            </w:r>
          </w:p>
        </w:tc>
        <w:tc>
          <w:tcPr>
            <w:tcW w:w="7663" w:type="dxa"/>
          </w:tcPr>
          <w:p w14:paraId="1B501678" w14:textId="77777777" w:rsidR="00415E8B" w:rsidRPr="00F80D6C" w:rsidRDefault="00415E8B" w:rsidP="00CE4A31">
            <w:pPr>
              <w:pStyle w:val="CommentText"/>
              <w:tabs>
                <w:tab w:val="left" w:pos="426"/>
              </w:tabs>
              <w:spacing w:after="0"/>
              <w:rPr>
                <w:rFonts w:cs="Arial"/>
                <w:b/>
              </w:rPr>
            </w:pPr>
            <w:r w:rsidRPr="00F80D6C">
              <w:rPr>
                <w:rFonts w:cs="Arial"/>
                <w:b/>
              </w:rPr>
              <w:t>Description</w:t>
            </w:r>
          </w:p>
        </w:tc>
        <w:tc>
          <w:tcPr>
            <w:tcW w:w="3260" w:type="dxa"/>
          </w:tcPr>
          <w:p w14:paraId="6A7ABF33" w14:textId="77777777" w:rsidR="00415E8B" w:rsidRPr="00F80D6C" w:rsidRDefault="00415E8B" w:rsidP="00CE4A31">
            <w:pPr>
              <w:pStyle w:val="CommentText"/>
              <w:tabs>
                <w:tab w:val="left" w:pos="426"/>
              </w:tabs>
              <w:spacing w:after="0"/>
              <w:rPr>
                <w:rFonts w:cs="Arial"/>
                <w:b/>
              </w:rPr>
            </w:pPr>
            <w:r w:rsidRPr="00F80D6C">
              <w:rPr>
                <w:rFonts w:cs="Arial"/>
                <w:b/>
              </w:rPr>
              <w:t>Timing</w:t>
            </w:r>
          </w:p>
        </w:tc>
      </w:tr>
      <w:tr w:rsidR="00415E8B" w:rsidRPr="005F710A" w14:paraId="18D530D1" w14:textId="77777777" w:rsidTr="00F80D6C">
        <w:trPr>
          <w:cnfStyle w:val="000000100000" w:firstRow="0" w:lastRow="0" w:firstColumn="0" w:lastColumn="0" w:oddVBand="0" w:evenVBand="0" w:oddHBand="1" w:evenHBand="0" w:firstRowFirstColumn="0" w:firstRowLastColumn="0" w:lastRowFirstColumn="0" w:lastRowLastColumn="0"/>
        </w:trPr>
        <w:tc>
          <w:tcPr>
            <w:tcW w:w="2255" w:type="dxa"/>
          </w:tcPr>
          <w:p w14:paraId="3AEAD38C" w14:textId="31023AC1" w:rsidR="00415E8B" w:rsidRPr="00F80D6C" w:rsidRDefault="00B06A41" w:rsidP="00CE4A31">
            <w:pPr>
              <w:pStyle w:val="CommentText"/>
              <w:tabs>
                <w:tab w:val="left" w:pos="426"/>
              </w:tabs>
              <w:spacing w:after="0"/>
              <w:rPr>
                <w:rFonts w:cs="Arial"/>
                <w:b/>
                <w:color w:val="000000" w:themeColor="text1"/>
              </w:rPr>
            </w:pPr>
            <w:r w:rsidRPr="00F80D6C">
              <w:rPr>
                <w:rFonts w:cs="Arial"/>
                <w:b/>
                <w:color w:val="000000" w:themeColor="text1"/>
              </w:rPr>
              <w:t xml:space="preserve">Response to </w:t>
            </w:r>
            <w:r w:rsidR="002E6426" w:rsidRPr="00F80D6C">
              <w:rPr>
                <w:rFonts w:cs="Arial"/>
                <w:b/>
                <w:color w:val="000000" w:themeColor="text1"/>
              </w:rPr>
              <w:t>s</w:t>
            </w:r>
            <w:r w:rsidRPr="00F80D6C">
              <w:rPr>
                <w:rFonts w:cs="Arial"/>
                <w:b/>
                <w:color w:val="000000" w:themeColor="text1"/>
              </w:rPr>
              <w:t xml:space="preserve">ubmissions </w:t>
            </w:r>
            <w:r w:rsidR="002E6426" w:rsidRPr="00F80D6C">
              <w:rPr>
                <w:rFonts w:cs="Arial"/>
                <w:b/>
                <w:color w:val="000000" w:themeColor="text1"/>
              </w:rPr>
              <w:t>p</w:t>
            </w:r>
            <w:r w:rsidRPr="00F80D6C">
              <w:rPr>
                <w:rFonts w:cs="Arial"/>
                <w:b/>
                <w:color w:val="000000" w:themeColor="text1"/>
              </w:rPr>
              <w:t>aper</w:t>
            </w:r>
          </w:p>
        </w:tc>
        <w:tc>
          <w:tcPr>
            <w:tcW w:w="7663" w:type="dxa"/>
          </w:tcPr>
          <w:p w14:paraId="4BB64531" w14:textId="4F0B6836" w:rsidR="00611585" w:rsidRPr="00F80D6C" w:rsidRDefault="0073658D" w:rsidP="00A060DA">
            <w:pPr>
              <w:pStyle w:val="CommentText"/>
              <w:tabs>
                <w:tab w:val="left" w:pos="426"/>
              </w:tabs>
              <w:spacing w:after="0"/>
              <w:rPr>
                <w:rFonts w:cs="Arial"/>
              </w:rPr>
            </w:pPr>
            <w:r w:rsidRPr="00F80D6C">
              <w:rPr>
                <w:rFonts w:cs="Arial"/>
              </w:rPr>
              <w:t xml:space="preserve">Release of the </w:t>
            </w:r>
            <w:r w:rsidR="002E6426" w:rsidRPr="00F80D6C">
              <w:rPr>
                <w:rFonts w:cs="Arial"/>
              </w:rPr>
              <w:t>r</w:t>
            </w:r>
            <w:r w:rsidRPr="00F80D6C">
              <w:rPr>
                <w:rFonts w:cs="Arial"/>
              </w:rPr>
              <w:t xml:space="preserve">esponse to </w:t>
            </w:r>
            <w:r w:rsidR="002E6426" w:rsidRPr="00F80D6C">
              <w:rPr>
                <w:rFonts w:cs="Arial"/>
              </w:rPr>
              <w:t>s</w:t>
            </w:r>
            <w:r w:rsidRPr="00F80D6C">
              <w:rPr>
                <w:rFonts w:cs="Arial"/>
              </w:rPr>
              <w:t xml:space="preserve">ubmissions </w:t>
            </w:r>
            <w:r w:rsidR="002E6426" w:rsidRPr="00F80D6C">
              <w:rPr>
                <w:rFonts w:cs="Arial"/>
              </w:rPr>
              <w:t>p</w:t>
            </w:r>
            <w:r w:rsidRPr="00F80D6C">
              <w:rPr>
                <w:rFonts w:cs="Arial"/>
              </w:rPr>
              <w:t xml:space="preserve">aper confirming the </w:t>
            </w:r>
            <w:r w:rsidR="00163AE0" w:rsidRPr="00F80D6C">
              <w:rPr>
                <w:rFonts w:cs="Arial"/>
                <w:bCs/>
              </w:rPr>
              <w:t xml:space="preserve">Spectrum </w:t>
            </w:r>
            <w:r w:rsidRPr="00F80D6C">
              <w:rPr>
                <w:rFonts w:cs="Arial"/>
              </w:rPr>
              <w:t>Pricing Guidelines and announcing the first round of consultation on changes to apparatus licence</w:t>
            </w:r>
            <w:r w:rsidR="00163AE0" w:rsidRPr="00F80D6C">
              <w:rPr>
                <w:rFonts w:cs="Arial"/>
                <w:bCs/>
              </w:rPr>
              <w:t xml:space="preserve"> tax rates</w:t>
            </w:r>
            <w:r w:rsidRPr="00F80D6C">
              <w:rPr>
                <w:rFonts w:cs="Arial"/>
                <w:bCs/>
              </w:rPr>
              <w:t>.</w:t>
            </w:r>
            <w:r w:rsidR="00A060DA" w:rsidRPr="00F80D6C">
              <w:rPr>
                <w:rFonts w:cs="Arial"/>
              </w:rPr>
              <w:t xml:space="preserve"> </w:t>
            </w:r>
            <w:r w:rsidR="00B06A41" w:rsidRPr="00F80D6C">
              <w:rPr>
                <w:rFonts w:cs="Arial"/>
              </w:rPr>
              <w:t>These changes relate to</w:t>
            </w:r>
            <w:r w:rsidR="00611585" w:rsidRPr="00F80D6C">
              <w:rPr>
                <w:rFonts w:cs="Arial"/>
              </w:rPr>
              <w:t>:</w:t>
            </w:r>
          </w:p>
          <w:p w14:paraId="1D541AB6" w14:textId="03A9C7FF" w:rsidR="00B06A41" w:rsidRPr="00F80D6C" w:rsidRDefault="00C078BE" w:rsidP="000B6C9B">
            <w:pPr>
              <w:pStyle w:val="CommentText"/>
              <w:numPr>
                <w:ilvl w:val="0"/>
                <w:numId w:val="40"/>
              </w:numPr>
              <w:tabs>
                <w:tab w:val="left" w:pos="426"/>
              </w:tabs>
              <w:spacing w:after="0"/>
              <w:rPr>
                <w:rFonts w:cs="Arial"/>
              </w:rPr>
            </w:pPr>
            <w:r w:rsidRPr="00F80D6C">
              <w:rPr>
                <w:rFonts w:cs="Arial"/>
                <w:bCs/>
              </w:rPr>
              <w:t>N</w:t>
            </w:r>
            <w:r w:rsidR="00B06A41" w:rsidRPr="00F80D6C">
              <w:rPr>
                <w:rFonts w:cs="Arial"/>
                <w:bCs/>
              </w:rPr>
              <w:t>ew</w:t>
            </w:r>
            <w:r w:rsidR="00B06A41" w:rsidRPr="00F80D6C">
              <w:rPr>
                <w:rFonts w:cs="Arial"/>
              </w:rPr>
              <w:t xml:space="preserve"> location weightings for services above 5 GHz</w:t>
            </w:r>
            <w:r w:rsidR="00CB3C69" w:rsidRPr="00F80D6C">
              <w:rPr>
                <w:rFonts w:cs="Arial"/>
              </w:rPr>
              <w:t xml:space="preserve"> (</w:t>
            </w:r>
            <w:r w:rsidR="00CB3C69" w:rsidRPr="00F80D6C">
              <w:rPr>
                <w:rFonts w:cs="Arial"/>
                <w:bCs/>
              </w:rPr>
              <w:t>F</w:t>
            </w:r>
            <w:r w:rsidR="00163AE0" w:rsidRPr="00F80D6C">
              <w:rPr>
                <w:rFonts w:cs="Arial"/>
                <w:bCs/>
              </w:rPr>
              <w:t xml:space="preserve">ocus </w:t>
            </w:r>
            <w:r w:rsidR="00CB3C69" w:rsidRPr="00F80D6C">
              <w:rPr>
                <w:rFonts w:cs="Arial"/>
                <w:bCs/>
              </w:rPr>
              <w:t>A</w:t>
            </w:r>
            <w:r w:rsidR="00163AE0" w:rsidRPr="00F80D6C">
              <w:rPr>
                <w:rFonts w:cs="Arial"/>
                <w:bCs/>
              </w:rPr>
              <w:t>rea</w:t>
            </w:r>
            <w:r w:rsidR="00CB3C69" w:rsidRPr="00F80D6C">
              <w:rPr>
                <w:rFonts w:cs="Arial"/>
              </w:rPr>
              <w:t xml:space="preserve"> 1</w:t>
            </w:r>
            <w:r w:rsidR="00CB3C69" w:rsidRPr="00F80D6C">
              <w:rPr>
                <w:rFonts w:cs="Arial"/>
                <w:bCs/>
              </w:rPr>
              <w:t>)</w:t>
            </w:r>
            <w:r w:rsidR="002E6426" w:rsidRPr="00F80D6C">
              <w:rPr>
                <w:rFonts w:cs="Arial"/>
                <w:bCs/>
              </w:rPr>
              <w:t>.</w:t>
            </w:r>
          </w:p>
          <w:p w14:paraId="3DABD55C" w14:textId="236A3617" w:rsidR="004A0BBF" w:rsidRPr="00F80D6C" w:rsidRDefault="004A0BBF" w:rsidP="000B6C9B">
            <w:pPr>
              <w:pStyle w:val="CommentText"/>
              <w:numPr>
                <w:ilvl w:val="0"/>
                <w:numId w:val="40"/>
              </w:numPr>
              <w:tabs>
                <w:tab w:val="left" w:pos="426"/>
              </w:tabs>
              <w:spacing w:after="0"/>
              <w:rPr>
                <w:rFonts w:cs="Arial"/>
              </w:rPr>
            </w:pPr>
            <w:r w:rsidRPr="00F80D6C">
              <w:rPr>
                <w:rFonts w:cs="Arial"/>
              </w:rPr>
              <w:t xml:space="preserve">Introducing a systems approach </w:t>
            </w:r>
            <w:r w:rsidR="008C688B" w:rsidRPr="00F80D6C">
              <w:rPr>
                <w:rFonts w:cs="Arial"/>
              </w:rPr>
              <w:t xml:space="preserve">for co-located earth station </w:t>
            </w:r>
            <w:r w:rsidR="00CB3C69" w:rsidRPr="00F80D6C">
              <w:rPr>
                <w:rFonts w:cs="Arial"/>
              </w:rPr>
              <w:t>(</w:t>
            </w:r>
            <w:r w:rsidR="00CB3C69" w:rsidRPr="00F80D6C">
              <w:rPr>
                <w:rFonts w:cs="Arial"/>
                <w:bCs/>
              </w:rPr>
              <w:t>F</w:t>
            </w:r>
            <w:r w:rsidR="00045060" w:rsidRPr="00F80D6C">
              <w:rPr>
                <w:rFonts w:cs="Arial"/>
                <w:bCs/>
              </w:rPr>
              <w:t xml:space="preserve">ocus </w:t>
            </w:r>
            <w:r w:rsidR="00CB3C69" w:rsidRPr="00F80D6C">
              <w:rPr>
                <w:rFonts w:cs="Arial"/>
                <w:bCs/>
              </w:rPr>
              <w:t>A</w:t>
            </w:r>
            <w:r w:rsidR="00045060" w:rsidRPr="00F80D6C">
              <w:rPr>
                <w:rFonts w:cs="Arial"/>
                <w:bCs/>
              </w:rPr>
              <w:t>rea</w:t>
            </w:r>
            <w:r w:rsidR="00CB3C69" w:rsidRPr="00F80D6C">
              <w:rPr>
                <w:rFonts w:cs="Arial"/>
                <w:bCs/>
              </w:rPr>
              <w:t xml:space="preserve"> 1)</w:t>
            </w:r>
            <w:r w:rsidR="00100E02" w:rsidRPr="00F80D6C">
              <w:rPr>
                <w:rFonts w:cs="Arial"/>
                <w:bCs/>
              </w:rPr>
              <w:t>.</w:t>
            </w:r>
            <w:r w:rsidR="00100E02" w:rsidRPr="00F80D6C">
              <w:rPr>
                <w:rFonts w:cs="Arial"/>
              </w:rPr>
              <w:t xml:space="preserve"> There was strong support for this focus area, particularly from the space and satellite industry which can use large bandwidths across multiple stations with little or no additional denial of spectrum. The feedback suggests that changes in pricing may increase deployments and would be consistent with the government’s </w:t>
            </w:r>
            <w:hyperlink r:id="rId35" w:history="1">
              <w:r w:rsidR="00100E02" w:rsidRPr="00F80D6C">
                <w:rPr>
                  <w:rStyle w:val="Hyperlink"/>
                  <w:rFonts w:cs="Arial"/>
                </w:rPr>
                <w:t xml:space="preserve">space </w:t>
              </w:r>
              <w:r w:rsidR="005474E2" w:rsidRPr="00F80D6C">
                <w:rPr>
                  <w:rStyle w:val="Hyperlink"/>
                  <w:rFonts w:cs="Arial"/>
                </w:rPr>
                <w:t>strategy</w:t>
              </w:r>
            </w:hyperlink>
            <w:r w:rsidR="002E6426" w:rsidRPr="00F80D6C">
              <w:rPr>
                <w:bCs/>
              </w:rPr>
              <w:t>.</w:t>
            </w:r>
          </w:p>
          <w:p w14:paraId="096986B2" w14:textId="3CA9C987" w:rsidR="00415E8B" w:rsidRPr="00F80D6C" w:rsidRDefault="002A4EF5" w:rsidP="000B6C9B">
            <w:pPr>
              <w:pStyle w:val="CommentText"/>
              <w:numPr>
                <w:ilvl w:val="0"/>
                <w:numId w:val="40"/>
              </w:numPr>
              <w:tabs>
                <w:tab w:val="left" w:pos="426"/>
              </w:tabs>
              <w:spacing w:after="0"/>
              <w:rPr>
                <w:rFonts w:cs="Arial"/>
                <w:bCs/>
              </w:rPr>
            </w:pPr>
            <w:r w:rsidRPr="00F80D6C">
              <w:rPr>
                <w:rFonts w:cs="Arial"/>
              </w:rPr>
              <w:t>A new low</w:t>
            </w:r>
            <w:r w:rsidR="002E6426" w:rsidRPr="00F80D6C">
              <w:rPr>
                <w:rFonts w:cs="Arial"/>
              </w:rPr>
              <w:t>-</w:t>
            </w:r>
            <w:r w:rsidRPr="00F80D6C">
              <w:rPr>
                <w:rFonts w:cs="Arial"/>
              </w:rPr>
              <w:t>power discount to promote</w:t>
            </w:r>
            <w:r w:rsidR="00100E02" w:rsidRPr="00F80D6C">
              <w:rPr>
                <w:rFonts w:cs="Arial"/>
              </w:rPr>
              <w:t xml:space="preserve"> the effi</w:t>
            </w:r>
            <w:r w:rsidR="00D436A2" w:rsidRPr="00F80D6C">
              <w:rPr>
                <w:rFonts w:cs="Arial"/>
              </w:rPr>
              <w:t>cient</w:t>
            </w:r>
            <w:r w:rsidR="00E93297" w:rsidRPr="00F80D6C">
              <w:rPr>
                <w:rFonts w:cs="Arial"/>
              </w:rPr>
              <w:t xml:space="preserve"> use of spectrum</w:t>
            </w:r>
            <w:r w:rsidR="00FB2660" w:rsidRPr="00F80D6C">
              <w:rPr>
                <w:rFonts w:cs="Arial"/>
                <w:bCs/>
              </w:rPr>
              <w:t xml:space="preserve"> (</w:t>
            </w:r>
            <w:r w:rsidR="009A006F" w:rsidRPr="00F80D6C">
              <w:rPr>
                <w:rFonts w:cs="Arial"/>
                <w:bCs/>
              </w:rPr>
              <w:t>F</w:t>
            </w:r>
            <w:r w:rsidR="00045060" w:rsidRPr="00F80D6C">
              <w:rPr>
                <w:rFonts w:cs="Arial"/>
                <w:bCs/>
              </w:rPr>
              <w:t xml:space="preserve">ocus </w:t>
            </w:r>
            <w:r w:rsidR="009A006F" w:rsidRPr="00F80D6C">
              <w:rPr>
                <w:rFonts w:cs="Arial"/>
                <w:bCs/>
              </w:rPr>
              <w:t>A</w:t>
            </w:r>
            <w:r w:rsidR="00045060" w:rsidRPr="00F80D6C">
              <w:rPr>
                <w:rFonts w:cs="Arial"/>
                <w:bCs/>
              </w:rPr>
              <w:t>rea</w:t>
            </w:r>
            <w:r w:rsidR="009A006F" w:rsidRPr="00F80D6C">
              <w:rPr>
                <w:rFonts w:cs="Arial"/>
                <w:bCs/>
              </w:rPr>
              <w:t xml:space="preserve"> 2)</w:t>
            </w:r>
            <w:r w:rsidR="00045060" w:rsidRPr="00F80D6C">
              <w:rPr>
                <w:rFonts w:cs="Arial"/>
                <w:bCs/>
              </w:rPr>
              <w:t>.</w:t>
            </w:r>
          </w:p>
        </w:tc>
        <w:tc>
          <w:tcPr>
            <w:tcW w:w="3260" w:type="dxa"/>
          </w:tcPr>
          <w:p w14:paraId="30611E53" w14:textId="67934EEC" w:rsidR="00415E8B" w:rsidRPr="00F80D6C" w:rsidRDefault="00804CEB" w:rsidP="00CE4A31">
            <w:pPr>
              <w:pStyle w:val="CommentText"/>
              <w:tabs>
                <w:tab w:val="left" w:pos="426"/>
              </w:tabs>
              <w:spacing w:after="0"/>
              <w:rPr>
                <w:rFonts w:cs="Arial"/>
                <w:bCs/>
                <w:color w:val="000000" w:themeColor="text1"/>
              </w:rPr>
            </w:pPr>
            <w:r w:rsidRPr="00F80D6C">
              <w:rPr>
                <w:rFonts w:cs="Arial"/>
                <w:bCs/>
                <w:color w:val="000000" w:themeColor="text1"/>
              </w:rPr>
              <w:t>December 2020</w:t>
            </w:r>
            <w:r w:rsidR="001403D6">
              <w:rPr>
                <w:rFonts w:cs="Arial"/>
                <w:bCs/>
                <w:color w:val="000000" w:themeColor="text1"/>
              </w:rPr>
              <w:t xml:space="preserve"> consul</w:t>
            </w:r>
            <w:r w:rsidR="003F2A44">
              <w:rPr>
                <w:rFonts w:cs="Arial"/>
                <w:bCs/>
                <w:color w:val="000000" w:themeColor="text1"/>
              </w:rPr>
              <w:t>tation paper</w:t>
            </w:r>
            <w:r w:rsidR="00260E58">
              <w:rPr>
                <w:rFonts w:cs="Arial"/>
                <w:bCs/>
                <w:color w:val="000000" w:themeColor="text1"/>
              </w:rPr>
              <w:t>.</w:t>
            </w:r>
          </w:p>
        </w:tc>
      </w:tr>
      <w:tr w:rsidR="00415E8B" w:rsidRPr="005F710A" w14:paraId="45F9718E" w14:textId="77777777" w:rsidTr="00F80D6C">
        <w:trPr>
          <w:cnfStyle w:val="000000010000" w:firstRow="0" w:lastRow="0" w:firstColumn="0" w:lastColumn="0" w:oddVBand="0" w:evenVBand="0" w:oddHBand="0" w:evenHBand="1" w:firstRowFirstColumn="0" w:firstRowLastColumn="0" w:lastRowFirstColumn="0" w:lastRowLastColumn="0"/>
        </w:trPr>
        <w:tc>
          <w:tcPr>
            <w:tcW w:w="2255" w:type="dxa"/>
          </w:tcPr>
          <w:p w14:paraId="45BE9386" w14:textId="77777777" w:rsidR="00415E8B" w:rsidRPr="00F80D6C" w:rsidRDefault="00415E8B" w:rsidP="00CE4A31">
            <w:pPr>
              <w:pStyle w:val="CommentText"/>
              <w:tabs>
                <w:tab w:val="left" w:pos="426"/>
              </w:tabs>
              <w:spacing w:after="0"/>
              <w:rPr>
                <w:rFonts w:cs="Arial"/>
                <w:b/>
                <w:color w:val="000000" w:themeColor="text1"/>
              </w:rPr>
            </w:pPr>
            <w:r w:rsidRPr="00F80D6C">
              <w:rPr>
                <w:rFonts w:cs="Arial"/>
                <w:b/>
                <w:color w:val="000000" w:themeColor="text1"/>
              </w:rPr>
              <w:t>Consistency of pricing approach across geographic areas and bands.</w:t>
            </w:r>
          </w:p>
          <w:p w14:paraId="3B2E4E1A" w14:textId="77777777" w:rsidR="00415E8B" w:rsidRPr="00F80D6C" w:rsidRDefault="00415E8B" w:rsidP="00CE4A31">
            <w:pPr>
              <w:pStyle w:val="CommentText"/>
              <w:tabs>
                <w:tab w:val="left" w:pos="426"/>
              </w:tabs>
              <w:spacing w:after="0"/>
              <w:rPr>
                <w:rFonts w:cs="Arial"/>
                <w:b/>
                <w:color w:val="000000" w:themeColor="text1"/>
              </w:rPr>
            </w:pPr>
          </w:p>
          <w:p w14:paraId="4458F020" w14:textId="09D3A20E" w:rsidR="00415E8B" w:rsidRPr="00CA66E7" w:rsidRDefault="00415E8B" w:rsidP="00CA66E7">
            <w:pPr>
              <w:pStyle w:val="CommentText"/>
              <w:tabs>
                <w:tab w:val="left" w:pos="426"/>
              </w:tabs>
              <w:spacing w:after="0"/>
              <w:rPr>
                <w:rFonts w:cs="Arial"/>
                <w:b/>
                <w:color w:val="000000" w:themeColor="text1"/>
              </w:rPr>
            </w:pPr>
            <w:r w:rsidRPr="00F80D6C">
              <w:rPr>
                <w:rFonts w:cs="Arial"/>
                <w:b/>
                <w:color w:val="000000" w:themeColor="text1"/>
              </w:rPr>
              <w:t>(Broader review of taxes)</w:t>
            </w:r>
          </w:p>
        </w:tc>
        <w:tc>
          <w:tcPr>
            <w:tcW w:w="7663" w:type="dxa"/>
          </w:tcPr>
          <w:p w14:paraId="2300CB47" w14:textId="60788A15" w:rsidR="00415E8B" w:rsidRPr="00F80D6C" w:rsidRDefault="007A4920" w:rsidP="00CE4A31">
            <w:pPr>
              <w:pStyle w:val="CommentText"/>
              <w:tabs>
                <w:tab w:val="left" w:pos="426"/>
              </w:tabs>
              <w:spacing w:after="0"/>
              <w:rPr>
                <w:rFonts w:cs="Arial"/>
                <w:bCs/>
                <w:color w:val="000000" w:themeColor="text1"/>
              </w:rPr>
            </w:pPr>
            <w:r w:rsidRPr="00F80D6C">
              <w:rPr>
                <w:rFonts w:cs="Arial"/>
                <w:bCs/>
                <w:color w:val="000000" w:themeColor="text1"/>
              </w:rPr>
              <w:t>We are</w:t>
            </w:r>
            <w:r w:rsidR="00415E8B" w:rsidRPr="00F80D6C">
              <w:rPr>
                <w:rFonts w:cs="Arial"/>
                <w:bCs/>
                <w:color w:val="000000" w:themeColor="text1"/>
              </w:rPr>
              <w:t xml:space="preserve"> considering how to best develop new location weightings</w:t>
            </w:r>
            <w:r w:rsidR="0033055A" w:rsidRPr="00F80D6C">
              <w:rPr>
                <w:rFonts w:cs="Arial"/>
                <w:bCs/>
                <w:color w:val="000000" w:themeColor="text1"/>
              </w:rPr>
              <w:t xml:space="preserve"> for services below 5</w:t>
            </w:r>
            <w:r w:rsidR="002E6426" w:rsidRPr="00F80D6C">
              <w:rPr>
                <w:rFonts w:cs="Arial"/>
                <w:bCs/>
                <w:color w:val="000000" w:themeColor="text1"/>
              </w:rPr>
              <w:t xml:space="preserve"> </w:t>
            </w:r>
            <w:r w:rsidR="0033055A" w:rsidRPr="00F80D6C">
              <w:rPr>
                <w:rFonts w:cs="Arial"/>
                <w:bCs/>
                <w:color w:val="000000" w:themeColor="text1"/>
              </w:rPr>
              <w:t>GH</w:t>
            </w:r>
            <w:r w:rsidR="00BA14E6" w:rsidRPr="00F80D6C">
              <w:rPr>
                <w:rFonts w:cs="Arial"/>
                <w:bCs/>
                <w:color w:val="000000" w:themeColor="text1"/>
              </w:rPr>
              <w:t>z</w:t>
            </w:r>
            <w:r w:rsidR="00415E8B" w:rsidRPr="00F80D6C">
              <w:rPr>
                <w:rFonts w:cs="Arial"/>
                <w:bCs/>
                <w:color w:val="000000" w:themeColor="text1"/>
              </w:rPr>
              <w:t>, including consider</w:t>
            </w:r>
            <w:r w:rsidR="00BA14E6" w:rsidRPr="00F80D6C">
              <w:rPr>
                <w:rFonts w:cs="Arial"/>
                <w:bCs/>
                <w:color w:val="000000" w:themeColor="text1"/>
              </w:rPr>
              <w:t xml:space="preserve">ing new approaches to </w:t>
            </w:r>
            <w:r w:rsidR="00556F55" w:rsidRPr="00F80D6C">
              <w:rPr>
                <w:rFonts w:cs="Arial"/>
                <w:bCs/>
                <w:color w:val="000000" w:themeColor="text1"/>
              </w:rPr>
              <w:t>representing</w:t>
            </w:r>
            <w:r w:rsidR="00424796" w:rsidRPr="00F80D6C">
              <w:rPr>
                <w:rFonts w:cs="Arial"/>
                <w:bCs/>
                <w:color w:val="000000" w:themeColor="text1"/>
              </w:rPr>
              <w:t xml:space="preserve"> differences in value </w:t>
            </w:r>
            <w:r w:rsidR="00673695" w:rsidRPr="00F80D6C">
              <w:rPr>
                <w:rFonts w:cs="Arial"/>
                <w:bCs/>
                <w:color w:val="000000" w:themeColor="text1"/>
              </w:rPr>
              <w:t xml:space="preserve">in spectrum </w:t>
            </w:r>
            <w:r w:rsidR="00424796" w:rsidRPr="00F80D6C">
              <w:rPr>
                <w:rFonts w:cs="Arial"/>
                <w:bCs/>
                <w:color w:val="000000" w:themeColor="text1"/>
              </w:rPr>
              <w:t>across geographic location</w:t>
            </w:r>
            <w:r w:rsidR="00C57068" w:rsidRPr="00F80D6C">
              <w:rPr>
                <w:rFonts w:cs="Arial"/>
                <w:bCs/>
                <w:color w:val="000000" w:themeColor="text1"/>
              </w:rPr>
              <w:t>s</w:t>
            </w:r>
            <w:r w:rsidR="00415E8B" w:rsidRPr="00F80D6C">
              <w:rPr>
                <w:rFonts w:cs="Arial"/>
                <w:bCs/>
                <w:color w:val="000000" w:themeColor="text1"/>
              </w:rPr>
              <w:t xml:space="preserve"> and </w:t>
            </w:r>
            <w:r w:rsidR="00BA14E6" w:rsidRPr="00F80D6C">
              <w:rPr>
                <w:rFonts w:cs="Arial"/>
                <w:bCs/>
                <w:color w:val="000000" w:themeColor="text1"/>
              </w:rPr>
              <w:t xml:space="preserve">reviewing </w:t>
            </w:r>
            <w:r w:rsidR="00415E8B" w:rsidRPr="00F80D6C">
              <w:rPr>
                <w:rFonts w:cs="Arial"/>
                <w:bCs/>
                <w:color w:val="000000" w:themeColor="text1"/>
              </w:rPr>
              <w:t xml:space="preserve">frequency bands. This is effectively the review of the tax formula </w:t>
            </w:r>
            <w:r w:rsidR="00045060" w:rsidRPr="00F80D6C">
              <w:rPr>
                <w:rFonts w:cs="Arial"/>
                <w:bCs/>
                <w:color w:val="000000" w:themeColor="text1"/>
              </w:rPr>
              <w:t xml:space="preserve">recommended by </w:t>
            </w:r>
            <w:r w:rsidR="002E6426" w:rsidRPr="00F80D6C">
              <w:rPr>
                <w:rFonts w:cs="Arial"/>
                <w:bCs/>
                <w:color w:val="000000" w:themeColor="text1"/>
              </w:rPr>
              <w:t>R</w:t>
            </w:r>
            <w:r w:rsidR="00415E8B" w:rsidRPr="00F80D6C">
              <w:rPr>
                <w:rFonts w:cs="Arial"/>
                <w:bCs/>
                <w:color w:val="000000" w:themeColor="text1"/>
              </w:rPr>
              <w:t xml:space="preserve">ecommendation 7 of the </w:t>
            </w:r>
            <w:r w:rsidR="005B58BF" w:rsidRPr="00F80D6C">
              <w:rPr>
                <w:rFonts w:cs="Arial"/>
                <w:bCs/>
                <w:color w:val="000000" w:themeColor="text1"/>
              </w:rPr>
              <w:t>S</w:t>
            </w:r>
            <w:r w:rsidR="001256D6" w:rsidRPr="00F80D6C">
              <w:rPr>
                <w:rFonts w:cs="Arial"/>
                <w:bCs/>
                <w:color w:val="000000" w:themeColor="text1"/>
              </w:rPr>
              <w:t xml:space="preserve">pectrum </w:t>
            </w:r>
            <w:r w:rsidR="005B58BF" w:rsidRPr="00F80D6C">
              <w:rPr>
                <w:rFonts w:cs="Arial"/>
                <w:bCs/>
                <w:color w:val="000000" w:themeColor="text1"/>
              </w:rPr>
              <w:t>P</w:t>
            </w:r>
            <w:r w:rsidR="001256D6" w:rsidRPr="00F80D6C">
              <w:rPr>
                <w:rFonts w:cs="Arial"/>
                <w:bCs/>
                <w:color w:val="000000" w:themeColor="text1"/>
              </w:rPr>
              <w:t xml:space="preserve">ricing </w:t>
            </w:r>
            <w:r w:rsidR="005B58BF" w:rsidRPr="00F80D6C">
              <w:rPr>
                <w:rFonts w:cs="Arial"/>
                <w:bCs/>
                <w:color w:val="000000" w:themeColor="text1"/>
              </w:rPr>
              <w:t>R</w:t>
            </w:r>
            <w:r w:rsidR="001256D6" w:rsidRPr="00F80D6C">
              <w:rPr>
                <w:rFonts w:cs="Arial"/>
                <w:bCs/>
                <w:color w:val="000000" w:themeColor="text1"/>
              </w:rPr>
              <w:t>eview</w:t>
            </w:r>
            <w:r w:rsidR="00415E8B" w:rsidRPr="00F80D6C">
              <w:rPr>
                <w:rFonts w:cs="Arial"/>
                <w:bCs/>
                <w:color w:val="000000" w:themeColor="text1"/>
              </w:rPr>
              <w:t>.</w:t>
            </w:r>
            <w:r w:rsidR="004F672D" w:rsidRPr="00F80D6C">
              <w:rPr>
                <w:rFonts w:cs="Arial"/>
                <w:bCs/>
                <w:color w:val="000000" w:themeColor="text1"/>
              </w:rPr>
              <w:t xml:space="preserve"> </w:t>
            </w:r>
            <w:r w:rsidR="00415E8B" w:rsidRPr="00F80D6C">
              <w:rPr>
                <w:rFonts w:cs="Arial"/>
                <w:bCs/>
                <w:color w:val="000000" w:themeColor="text1"/>
              </w:rPr>
              <w:t xml:space="preserve">Major features of the review </w:t>
            </w:r>
            <w:r w:rsidR="00F97831" w:rsidRPr="00F80D6C">
              <w:rPr>
                <w:rFonts w:cs="Arial"/>
                <w:bCs/>
                <w:color w:val="000000" w:themeColor="text1"/>
              </w:rPr>
              <w:t>include</w:t>
            </w:r>
            <w:r w:rsidR="00415E8B" w:rsidRPr="00F80D6C">
              <w:rPr>
                <w:rFonts w:cs="Arial"/>
                <w:bCs/>
                <w:color w:val="000000" w:themeColor="text1"/>
              </w:rPr>
              <w:t>:</w:t>
            </w:r>
          </w:p>
          <w:p w14:paraId="7083197D" w14:textId="31590BF5" w:rsidR="00415E8B" w:rsidRPr="00F80D6C" w:rsidRDefault="00415E8B" w:rsidP="00415E8B">
            <w:pPr>
              <w:pStyle w:val="CommentText"/>
              <w:numPr>
                <w:ilvl w:val="0"/>
                <w:numId w:val="28"/>
              </w:numPr>
              <w:tabs>
                <w:tab w:val="left" w:pos="426"/>
              </w:tabs>
              <w:spacing w:after="0"/>
              <w:rPr>
                <w:rFonts w:cs="Arial"/>
                <w:color w:val="000000" w:themeColor="text1"/>
              </w:rPr>
            </w:pPr>
            <w:r w:rsidRPr="00F80D6C">
              <w:rPr>
                <w:rFonts w:cs="Arial"/>
                <w:color w:val="000000" w:themeColor="text1"/>
              </w:rPr>
              <w:t>Identifying the best approach to reviewing density areas and/or alternatives to density areas.</w:t>
            </w:r>
          </w:p>
          <w:p w14:paraId="6BABBDA8" w14:textId="77777777" w:rsidR="00415E8B" w:rsidRPr="00F36C24" w:rsidRDefault="00415E8B" w:rsidP="00B82E0A">
            <w:pPr>
              <w:pStyle w:val="CommentText"/>
              <w:numPr>
                <w:ilvl w:val="0"/>
                <w:numId w:val="28"/>
              </w:numPr>
              <w:tabs>
                <w:tab w:val="left" w:pos="426"/>
              </w:tabs>
              <w:spacing w:after="0"/>
            </w:pPr>
            <w:r w:rsidRPr="00F80D6C">
              <w:rPr>
                <w:rFonts w:cs="Arial"/>
                <w:color w:val="000000" w:themeColor="text1"/>
              </w:rPr>
              <w:t>Identifying an approach to reviewing the frequency ranges</w:t>
            </w:r>
            <w:r w:rsidR="002E6426" w:rsidRPr="00F80D6C">
              <w:rPr>
                <w:rFonts w:cs="Arial"/>
                <w:color w:val="000000" w:themeColor="text1"/>
              </w:rPr>
              <w:t>.</w:t>
            </w:r>
          </w:p>
          <w:p w14:paraId="16D5EB9D" w14:textId="3A5C818A" w:rsidR="00A9058B" w:rsidRPr="00F80D6C" w:rsidRDefault="00A96CCF" w:rsidP="00B82E0A">
            <w:pPr>
              <w:pStyle w:val="CommentText"/>
              <w:numPr>
                <w:ilvl w:val="0"/>
                <w:numId w:val="28"/>
              </w:numPr>
              <w:tabs>
                <w:tab w:val="left" w:pos="426"/>
              </w:tabs>
              <w:spacing w:after="0"/>
            </w:pPr>
            <w:r>
              <w:rPr>
                <w:rFonts w:cs="Arial"/>
                <w:color w:val="000000" w:themeColor="text1"/>
              </w:rPr>
              <w:t xml:space="preserve">Considering approaches to </w:t>
            </w:r>
            <w:r w:rsidR="006A43B6">
              <w:rPr>
                <w:rFonts w:cs="Arial"/>
                <w:color w:val="000000" w:themeColor="text1"/>
              </w:rPr>
              <w:t>monitoring</w:t>
            </w:r>
            <w:r w:rsidR="008F3AC5">
              <w:rPr>
                <w:rFonts w:cs="Arial"/>
                <w:color w:val="000000" w:themeColor="text1"/>
              </w:rPr>
              <w:t xml:space="preserve"> bands and </w:t>
            </w:r>
            <w:r w:rsidR="00E91941">
              <w:rPr>
                <w:rFonts w:cs="Arial"/>
                <w:color w:val="000000" w:themeColor="text1"/>
              </w:rPr>
              <w:t>keeping</w:t>
            </w:r>
            <w:r w:rsidR="008C5FFF">
              <w:rPr>
                <w:rFonts w:cs="Arial"/>
                <w:color w:val="000000" w:themeColor="text1"/>
              </w:rPr>
              <w:t xml:space="preserve"> taxes up to date</w:t>
            </w:r>
            <w:r w:rsidR="00790FC1">
              <w:rPr>
                <w:rFonts w:cs="Arial"/>
                <w:color w:val="000000" w:themeColor="text1"/>
              </w:rPr>
              <w:t>.</w:t>
            </w:r>
          </w:p>
        </w:tc>
        <w:tc>
          <w:tcPr>
            <w:tcW w:w="3260" w:type="dxa"/>
          </w:tcPr>
          <w:p w14:paraId="59AB9A98" w14:textId="0B5643CA" w:rsidR="00A51788" w:rsidRPr="00F80D6C" w:rsidRDefault="00F14F80" w:rsidP="00F14F80">
            <w:pPr>
              <w:pStyle w:val="CommentText"/>
              <w:tabs>
                <w:tab w:val="left" w:pos="426"/>
              </w:tabs>
              <w:spacing w:after="0"/>
              <w:rPr>
                <w:rFonts w:cs="Arial"/>
                <w:bCs/>
                <w:color w:val="000000" w:themeColor="text1"/>
              </w:rPr>
            </w:pPr>
            <w:r w:rsidRPr="00F80D6C">
              <w:rPr>
                <w:rFonts w:cs="Arial"/>
                <w:bCs/>
                <w:color w:val="000000" w:themeColor="text1"/>
              </w:rPr>
              <w:t xml:space="preserve">Series of short </w:t>
            </w:r>
            <w:r w:rsidR="00805BB5" w:rsidRPr="00F80D6C">
              <w:rPr>
                <w:rFonts w:cs="Arial"/>
                <w:bCs/>
                <w:color w:val="000000" w:themeColor="text1"/>
              </w:rPr>
              <w:t xml:space="preserve">quarterly </w:t>
            </w:r>
            <w:r w:rsidRPr="00F80D6C">
              <w:rPr>
                <w:rFonts w:cs="Arial"/>
                <w:bCs/>
                <w:color w:val="000000" w:themeColor="text1"/>
              </w:rPr>
              <w:t>paper</w:t>
            </w:r>
            <w:r w:rsidR="00A22E6A" w:rsidRPr="00F80D6C">
              <w:rPr>
                <w:rFonts w:cs="Arial"/>
                <w:bCs/>
                <w:color w:val="000000" w:themeColor="text1"/>
              </w:rPr>
              <w:t>s</w:t>
            </w:r>
            <w:r w:rsidR="00D61CC1" w:rsidRPr="00F80D6C">
              <w:rPr>
                <w:rFonts w:cs="Arial"/>
                <w:bCs/>
                <w:color w:val="000000" w:themeColor="text1"/>
              </w:rPr>
              <w:t xml:space="preserve"> or presentations seeking</w:t>
            </w:r>
            <w:r w:rsidRPr="00F80D6C">
              <w:rPr>
                <w:rFonts w:cs="Arial"/>
                <w:bCs/>
                <w:color w:val="000000" w:themeColor="text1"/>
              </w:rPr>
              <w:t xml:space="preserve"> views</w:t>
            </w:r>
            <w:r w:rsidR="00A22E6A" w:rsidRPr="00F80D6C">
              <w:rPr>
                <w:rFonts w:cs="Arial"/>
                <w:bCs/>
                <w:color w:val="000000" w:themeColor="text1"/>
              </w:rPr>
              <w:t xml:space="preserve"> on different approaches</w:t>
            </w:r>
            <w:r w:rsidR="00E50DA7" w:rsidRPr="00F80D6C">
              <w:rPr>
                <w:rFonts w:cs="Arial"/>
                <w:bCs/>
                <w:color w:val="000000" w:themeColor="text1"/>
              </w:rPr>
              <w:t xml:space="preserve"> in March</w:t>
            </w:r>
            <w:r w:rsidR="007123E8" w:rsidRPr="00F80D6C">
              <w:rPr>
                <w:rFonts w:cs="Arial"/>
                <w:bCs/>
                <w:color w:val="000000" w:themeColor="text1"/>
              </w:rPr>
              <w:t xml:space="preserve"> and </w:t>
            </w:r>
            <w:r w:rsidR="002E6426" w:rsidRPr="00F80D6C">
              <w:rPr>
                <w:rFonts w:cs="Arial"/>
                <w:bCs/>
                <w:color w:val="000000" w:themeColor="text1"/>
              </w:rPr>
              <w:br/>
            </w:r>
            <w:r w:rsidR="007123E8" w:rsidRPr="00F80D6C">
              <w:rPr>
                <w:rFonts w:cs="Arial"/>
                <w:bCs/>
                <w:color w:val="000000" w:themeColor="text1"/>
              </w:rPr>
              <w:t>June 2021.</w:t>
            </w:r>
            <w:r w:rsidR="004F672D" w:rsidRPr="00F80D6C">
              <w:rPr>
                <w:rFonts w:cs="Arial"/>
                <w:bCs/>
                <w:color w:val="000000" w:themeColor="text1"/>
              </w:rPr>
              <w:t xml:space="preserve"> </w:t>
            </w:r>
          </w:p>
          <w:p w14:paraId="025AC465" w14:textId="77777777" w:rsidR="00DC2676" w:rsidRPr="00F80D6C" w:rsidRDefault="00DC2676" w:rsidP="00F14F80">
            <w:pPr>
              <w:pStyle w:val="CommentText"/>
              <w:tabs>
                <w:tab w:val="left" w:pos="426"/>
              </w:tabs>
              <w:spacing w:after="0"/>
              <w:rPr>
                <w:rFonts w:cs="Arial"/>
                <w:bCs/>
                <w:color w:val="000000" w:themeColor="text1"/>
              </w:rPr>
            </w:pPr>
          </w:p>
          <w:p w14:paraId="2605C23D" w14:textId="31C186F7" w:rsidR="00415E8B" w:rsidRPr="00F80D6C" w:rsidRDefault="007123E8" w:rsidP="00F14F80">
            <w:pPr>
              <w:pStyle w:val="CommentText"/>
              <w:tabs>
                <w:tab w:val="left" w:pos="426"/>
              </w:tabs>
              <w:spacing w:after="0"/>
            </w:pPr>
            <w:r w:rsidRPr="00F80D6C">
              <w:rPr>
                <w:rFonts w:cs="Arial"/>
                <w:bCs/>
                <w:color w:val="000000" w:themeColor="text1"/>
              </w:rPr>
              <w:t xml:space="preserve">September </w:t>
            </w:r>
            <w:r w:rsidR="00045060" w:rsidRPr="00F80D6C">
              <w:rPr>
                <w:rFonts w:cs="Arial"/>
                <w:bCs/>
                <w:color w:val="000000" w:themeColor="text1"/>
              </w:rPr>
              <w:t xml:space="preserve">2021 </w:t>
            </w:r>
            <w:r w:rsidR="001419EA" w:rsidRPr="00F80D6C">
              <w:rPr>
                <w:rFonts w:cs="Arial"/>
                <w:bCs/>
                <w:color w:val="000000" w:themeColor="text1"/>
              </w:rPr>
              <w:t>c</w:t>
            </w:r>
            <w:r w:rsidRPr="00F80D6C">
              <w:rPr>
                <w:rFonts w:cs="Arial"/>
                <w:bCs/>
                <w:color w:val="000000" w:themeColor="text1"/>
              </w:rPr>
              <w:t>onsultation paper</w:t>
            </w:r>
            <w:r w:rsidR="001419EA" w:rsidRPr="00F80D6C">
              <w:rPr>
                <w:rFonts w:cs="Arial"/>
                <w:bCs/>
                <w:color w:val="000000" w:themeColor="text1"/>
              </w:rPr>
              <w:t xml:space="preserve"> proposing new </w:t>
            </w:r>
            <w:r w:rsidR="00A51788" w:rsidRPr="00F80D6C">
              <w:rPr>
                <w:rFonts w:cs="Arial"/>
                <w:bCs/>
                <w:color w:val="000000" w:themeColor="text1"/>
              </w:rPr>
              <w:t>approach to geographic areas and bands</w:t>
            </w:r>
            <w:r w:rsidR="002E6426" w:rsidRPr="00F80D6C">
              <w:rPr>
                <w:rFonts w:cs="Arial"/>
                <w:bCs/>
                <w:color w:val="000000" w:themeColor="text1"/>
              </w:rPr>
              <w:t>.</w:t>
            </w:r>
          </w:p>
        </w:tc>
      </w:tr>
      <w:tr w:rsidR="00415E8B" w:rsidRPr="005F710A" w14:paraId="366364D0" w14:textId="77777777" w:rsidTr="00F80D6C">
        <w:trPr>
          <w:cnfStyle w:val="000000100000" w:firstRow="0" w:lastRow="0" w:firstColumn="0" w:lastColumn="0" w:oddVBand="0" w:evenVBand="0" w:oddHBand="1" w:evenHBand="0" w:firstRowFirstColumn="0" w:firstRowLastColumn="0" w:lastRowFirstColumn="0" w:lastRowLastColumn="0"/>
        </w:trPr>
        <w:tc>
          <w:tcPr>
            <w:tcW w:w="2255" w:type="dxa"/>
          </w:tcPr>
          <w:p w14:paraId="78BD3AC8" w14:textId="681F6F28" w:rsidR="00415E8B" w:rsidRPr="00F80D6C" w:rsidRDefault="00415E8B" w:rsidP="00CE4A31">
            <w:pPr>
              <w:pStyle w:val="CommentText"/>
              <w:tabs>
                <w:tab w:val="left" w:pos="426"/>
              </w:tabs>
              <w:spacing w:after="0"/>
              <w:rPr>
                <w:rFonts w:cs="Arial"/>
                <w:b/>
                <w:color w:val="000000" w:themeColor="text1"/>
              </w:rPr>
            </w:pPr>
            <w:r w:rsidRPr="00F80D6C">
              <w:rPr>
                <w:rFonts w:cs="Arial"/>
                <w:b/>
                <w:color w:val="000000" w:themeColor="text1"/>
              </w:rPr>
              <w:t xml:space="preserve">Consistency of pricing approach across </w:t>
            </w:r>
            <w:r w:rsidR="00270BB0" w:rsidRPr="00F80D6C">
              <w:rPr>
                <w:rFonts w:cs="Arial"/>
                <w:b/>
                <w:color w:val="000000" w:themeColor="text1"/>
              </w:rPr>
              <w:t>services</w:t>
            </w:r>
            <w:r w:rsidR="00DB5034" w:rsidRPr="00F80D6C">
              <w:rPr>
                <w:rFonts w:cs="Arial"/>
                <w:b/>
                <w:color w:val="000000" w:themeColor="text1"/>
              </w:rPr>
              <w:t xml:space="preserve"> using similar </w:t>
            </w:r>
            <w:r w:rsidR="00FC6990" w:rsidRPr="00F80D6C">
              <w:rPr>
                <w:rFonts w:cs="Arial"/>
                <w:b/>
                <w:color w:val="000000" w:themeColor="text1"/>
              </w:rPr>
              <w:t>spectrum</w:t>
            </w:r>
          </w:p>
          <w:p w14:paraId="0E850E29" w14:textId="77777777" w:rsidR="00415E8B" w:rsidRPr="00F80D6C" w:rsidRDefault="00415E8B" w:rsidP="00CE4A31">
            <w:pPr>
              <w:rPr>
                <w:szCs w:val="20"/>
              </w:rPr>
            </w:pPr>
          </w:p>
        </w:tc>
        <w:tc>
          <w:tcPr>
            <w:tcW w:w="7663" w:type="dxa"/>
          </w:tcPr>
          <w:p w14:paraId="217CE5FB" w14:textId="06077E24" w:rsidR="00415E8B" w:rsidRPr="00F80D6C" w:rsidRDefault="00415E8B" w:rsidP="00CE4A31">
            <w:pPr>
              <w:pStyle w:val="CommentText"/>
              <w:tabs>
                <w:tab w:val="left" w:pos="426"/>
              </w:tabs>
              <w:spacing w:after="0"/>
              <w:rPr>
                <w:rFonts w:cs="Arial"/>
                <w:bCs/>
                <w:color w:val="000000" w:themeColor="text1"/>
              </w:rPr>
            </w:pPr>
            <w:r w:rsidRPr="00F80D6C">
              <w:rPr>
                <w:rFonts w:cs="Arial"/>
                <w:bCs/>
                <w:color w:val="000000" w:themeColor="text1"/>
              </w:rPr>
              <w:t xml:space="preserve">Given the disparity between commercial broadcasting taxes and </w:t>
            </w:r>
            <w:r w:rsidR="00092C96" w:rsidRPr="00F80D6C">
              <w:rPr>
                <w:rFonts w:cs="Arial"/>
                <w:bCs/>
                <w:color w:val="000000" w:themeColor="text1"/>
              </w:rPr>
              <w:t xml:space="preserve">the apparatus licence taxes for </w:t>
            </w:r>
            <w:r w:rsidR="00D87325">
              <w:rPr>
                <w:rFonts w:cs="Arial"/>
                <w:bCs/>
                <w:color w:val="000000" w:themeColor="text1"/>
              </w:rPr>
              <w:t>narrowcasting</w:t>
            </w:r>
            <w:r w:rsidR="00092C96" w:rsidRPr="00F80D6C">
              <w:rPr>
                <w:rFonts w:cs="Arial"/>
                <w:bCs/>
                <w:color w:val="000000" w:themeColor="text1"/>
              </w:rPr>
              <w:t xml:space="preserve"> licences, and </w:t>
            </w:r>
            <w:r w:rsidRPr="00F80D6C">
              <w:rPr>
                <w:rFonts w:cs="Arial"/>
                <w:bCs/>
                <w:color w:val="000000" w:themeColor="text1"/>
              </w:rPr>
              <w:t xml:space="preserve">that narrowcasters are facing some of the same commercial pressures </w:t>
            </w:r>
            <w:r w:rsidR="00092C96" w:rsidRPr="00F80D6C">
              <w:rPr>
                <w:rFonts w:cs="Arial"/>
                <w:bCs/>
                <w:color w:val="000000" w:themeColor="text1"/>
              </w:rPr>
              <w:t xml:space="preserve">as commercial broadcasters, </w:t>
            </w:r>
            <w:r w:rsidRPr="00F80D6C">
              <w:rPr>
                <w:rFonts w:cs="Arial"/>
                <w:bCs/>
                <w:color w:val="000000" w:themeColor="text1"/>
              </w:rPr>
              <w:t>there is an argument to consider potential changes to these taxes.</w:t>
            </w:r>
          </w:p>
          <w:p w14:paraId="7C060D2C" w14:textId="77777777" w:rsidR="005D7F1B" w:rsidRPr="00F80D6C" w:rsidRDefault="005D7F1B" w:rsidP="00CE4A31">
            <w:pPr>
              <w:pStyle w:val="CommentText"/>
              <w:tabs>
                <w:tab w:val="left" w:pos="426"/>
              </w:tabs>
              <w:spacing w:after="0"/>
              <w:rPr>
                <w:rFonts w:cs="Arial"/>
                <w:bCs/>
                <w:color w:val="000000" w:themeColor="text1"/>
              </w:rPr>
            </w:pPr>
          </w:p>
          <w:p w14:paraId="1AE8EF76" w14:textId="02273C4A" w:rsidR="001A5D79" w:rsidRPr="00F80D6C" w:rsidRDefault="00AC0D92" w:rsidP="00CE4A31">
            <w:pPr>
              <w:pStyle w:val="CommentText"/>
              <w:tabs>
                <w:tab w:val="left" w:pos="426"/>
              </w:tabs>
              <w:spacing w:after="0"/>
              <w:rPr>
                <w:rFonts w:cs="Arial"/>
                <w:bCs/>
                <w:color w:val="000000" w:themeColor="text1"/>
              </w:rPr>
            </w:pPr>
            <w:r w:rsidRPr="00F80D6C">
              <w:rPr>
                <w:rFonts w:cs="Arial"/>
                <w:bCs/>
                <w:color w:val="000000" w:themeColor="text1"/>
              </w:rPr>
              <w:t xml:space="preserve">We will explore the </w:t>
            </w:r>
            <w:r w:rsidR="007672F6" w:rsidRPr="00F80D6C">
              <w:rPr>
                <w:rFonts w:cs="Arial"/>
                <w:bCs/>
                <w:color w:val="000000" w:themeColor="text1"/>
              </w:rPr>
              <w:t xml:space="preserve">apparatus licence </w:t>
            </w:r>
            <w:r w:rsidRPr="00F80D6C">
              <w:rPr>
                <w:rFonts w:cs="Arial"/>
                <w:bCs/>
                <w:color w:val="000000" w:themeColor="text1"/>
              </w:rPr>
              <w:t xml:space="preserve">taxation </w:t>
            </w:r>
            <w:r w:rsidR="005A7A95" w:rsidRPr="00F80D6C">
              <w:rPr>
                <w:rFonts w:cs="Arial"/>
                <w:bCs/>
                <w:color w:val="000000" w:themeColor="text1"/>
              </w:rPr>
              <w:t xml:space="preserve">arrangements for narrowcasting </w:t>
            </w:r>
            <w:r w:rsidR="007672F6" w:rsidRPr="00F80D6C">
              <w:rPr>
                <w:rFonts w:cs="Arial"/>
                <w:bCs/>
                <w:color w:val="000000" w:themeColor="text1"/>
              </w:rPr>
              <w:t xml:space="preserve">in light of the </w:t>
            </w:r>
            <w:r w:rsidR="001119AF" w:rsidRPr="00F80D6C">
              <w:rPr>
                <w:rFonts w:cs="Arial"/>
                <w:bCs/>
                <w:color w:val="000000" w:themeColor="text1"/>
              </w:rPr>
              <w:t>proposals and r</w:t>
            </w:r>
            <w:r w:rsidR="00EA5B90" w:rsidRPr="00F80D6C">
              <w:rPr>
                <w:rFonts w:cs="Arial"/>
                <w:bCs/>
                <w:color w:val="000000" w:themeColor="text1"/>
              </w:rPr>
              <w:t>e</w:t>
            </w:r>
            <w:r w:rsidR="001119AF" w:rsidRPr="00F80D6C">
              <w:rPr>
                <w:rFonts w:cs="Arial"/>
                <w:bCs/>
                <w:color w:val="000000" w:themeColor="text1"/>
              </w:rPr>
              <w:t>commendations</w:t>
            </w:r>
            <w:r w:rsidR="00EA5B90" w:rsidRPr="00F80D6C">
              <w:rPr>
                <w:rFonts w:cs="Arial"/>
                <w:bCs/>
                <w:color w:val="000000" w:themeColor="text1"/>
              </w:rPr>
              <w:t xml:space="preserve"> of the </w:t>
            </w:r>
            <w:r w:rsidR="007672F6" w:rsidRPr="00F80D6C">
              <w:rPr>
                <w:rFonts w:cs="Arial"/>
                <w:bCs/>
                <w:color w:val="000000" w:themeColor="text1"/>
              </w:rPr>
              <w:t>commercial broadcasting tax review</w:t>
            </w:r>
            <w:r w:rsidR="00ED04D3" w:rsidRPr="00F80D6C">
              <w:rPr>
                <w:rFonts w:cs="Arial"/>
                <w:bCs/>
                <w:color w:val="000000" w:themeColor="text1"/>
              </w:rPr>
              <w:t xml:space="preserve"> currently being conducted</w:t>
            </w:r>
            <w:r w:rsidR="00F22A52" w:rsidRPr="00F80D6C">
              <w:rPr>
                <w:rFonts w:cs="Arial"/>
                <w:bCs/>
                <w:color w:val="000000" w:themeColor="text1"/>
              </w:rPr>
              <w:t>.</w:t>
            </w:r>
          </w:p>
          <w:p w14:paraId="4A345DA5" w14:textId="77777777" w:rsidR="00A5594E" w:rsidRPr="00F80D6C" w:rsidRDefault="00A5594E" w:rsidP="00CE4A31">
            <w:pPr>
              <w:pStyle w:val="CommentText"/>
              <w:tabs>
                <w:tab w:val="left" w:pos="426"/>
              </w:tabs>
              <w:spacing w:after="0"/>
              <w:rPr>
                <w:rFonts w:cs="Arial"/>
                <w:bCs/>
                <w:color w:val="000000" w:themeColor="text1"/>
              </w:rPr>
            </w:pPr>
          </w:p>
          <w:p w14:paraId="4F8F92AB" w14:textId="0FDE38D2" w:rsidR="00415E8B" w:rsidRPr="00F80D6C" w:rsidRDefault="008F6BD9" w:rsidP="003D2F1D">
            <w:pPr>
              <w:pStyle w:val="CommentText"/>
              <w:tabs>
                <w:tab w:val="left" w:pos="426"/>
              </w:tabs>
              <w:spacing w:after="0"/>
            </w:pPr>
            <w:r w:rsidRPr="00F80D6C">
              <w:rPr>
                <w:rFonts w:cs="Arial"/>
                <w:bCs/>
                <w:color w:val="000000" w:themeColor="text1"/>
              </w:rPr>
              <w:t>Other reviews of difference</w:t>
            </w:r>
            <w:r w:rsidR="00ED04D3" w:rsidRPr="00F80D6C">
              <w:rPr>
                <w:rFonts w:cs="Arial"/>
                <w:bCs/>
                <w:color w:val="000000" w:themeColor="text1"/>
              </w:rPr>
              <w:t>s</w:t>
            </w:r>
            <w:r w:rsidRPr="00F80D6C">
              <w:rPr>
                <w:rFonts w:cs="Arial"/>
                <w:bCs/>
                <w:color w:val="000000" w:themeColor="text1"/>
              </w:rPr>
              <w:t xml:space="preserve"> in tax rates may also be appropriate</w:t>
            </w:r>
            <w:r w:rsidR="003C459A" w:rsidRPr="00F80D6C">
              <w:rPr>
                <w:rFonts w:cs="Arial"/>
                <w:bCs/>
                <w:color w:val="000000" w:themeColor="text1"/>
              </w:rPr>
              <w:t xml:space="preserve"> to</w:t>
            </w:r>
            <w:r w:rsidR="00A5594E" w:rsidRPr="00F80D6C">
              <w:rPr>
                <w:rFonts w:cs="Arial"/>
                <w:bCs/>
                <w:color w:val="000000" w:themeColor="text1"/>
              </w:rPr>
              <w:t xml:space="preserve"> account </w:t>
            </w:r>
            <w:r w:rsidR="003C459A" w:rsidRPr="00F80D6C">
              <w:rPr>
                <w:rFonts w:cs="Arial"/>
                <w:bCs/>
                <w:color w:val="000000" w:themeColor="text1"/>
              </w:rPr>
              <w:t xml:space="preserve">for </w:t>
            </w:r>
            <w:r w:rsidR="00A5594E" w:rsidRPr="00F80D6C">
              <w:rPr>
                <w:rFonts w:cs="Arial"/>
                <w:bCs/>
                <w:color w:val="000000" w:themeColor="text1"/>
              </w:rPr>
              <w:t>other differences in pricing.</w:t>
            </w:r>
            <w:r w:rsidR="004F672D" w:rsidRPr="00F80D6C">
              <w:rPr>
                <w:rFonts w:cs="Arial"/>
                <w:bCs/>
                <w:color w:val="000000" w:themeColor="text1"/>
              </w:rPr>
              <w:t xml:space="preserve"> </w:t>
            </w:r>
            <w:r w:rsidR="00A5594E" w:rsidRPr="00F80D6C">
              <w:rPr>
                <w:rFonts w:cs="Arial"/>
                <w:bCs/>
                <w:color w:val="000000" w:themeColor="text1"/>
              </w:rPr>
              <w:t xml:space="preserve">For example, </w:t>
            </w:r>
            <w:r w:rsidR="00BC3318" w:rsidRPr="00F80D6C">
              <w:rPr>
                <w:rFonts w:cs="Arial"/>
                <w:bCs/>
                <w:color w:val="000000" w:themeColor="text1"/>
              </w:rPr>
              <w:t>some submitters noted the difference in pricing arrangements</w:t>
            </w:r>
            <w:r w:rsidR="0084470D" w:rsidRPr="00F80D6C">
              <w:rPr>
                <w:rFonts w:cs="Arial"/>
                <w:bCs/>
                <w:color w:val="000000" w:themeColor="text1"/>
              </w:rPr>
              <w:t xml:space="preserve"> </w:t>
            </w:r>
            <w:r w:rsidR="007372FD" w:rsidRPr="00F80D6C">
              <w:rPr>
                <w:rFonts w:cs="Arial"/>
                <w:bCs/>
                <w:color w:val="000000" w:themeColor="text1"/>
              </w:rPr>
              <w:t>for MSS and TOBS and P2MP in the current tax regime.</w:t>
            </w:r>
          </w:p>
        </w:tc>
        <w:tc>
          <w:tcPr>
            <w:tcW w:w="3260" w:type="dxa"/>
          </w:tcPr>
          <w:p w14:paraId="51FA84B5" w14:textId="5BA6F909" w:rsidR="00415E8B" w:rsidRPr="00F80D6C" w:rsidRDefault="00415E8B" w:rsidP="00CE4A31">
            <w:pPr>
              <w:pStyle w:val="CommentText"/>
              <w:tabs>
                <w:tab w:val="left" w:pos="426"/>
              </w:tabs>
              <w:spacing w:after="0"/>
              <w:rPr>
                <w:rFonts w:cs="Arial"/>
                <w:bCs/>
                <w:color w:val="000000" w:themeColor="text1"/>
              </w:rPr>
            </w:pPr>
            <w:r w:rsidRPr="00F80D6C">
              <w:rPr>
                <w:rFonts w:cs="Arial"/>
                <w:bCs/>
                <w:color w:val="000000" w:themeColor="text1"/>
              </w:rPr>
              <w:t>This work is independent of the broader review of taxes and will be undertaken as a priority</w:t>
            </w:r>
            <w:r w:rsidR="005B2183" w:rsidRPr="00F80D6C">
              <w:rPr>
                <w:rFonts w:cs="Arial"/>
                <w:bCs/>
                <w:color w:val="000000" w:themeColor="text1"/>
              </w:rPr>
              <w:t xml:space="preserve"> but in parallel with the </w:t>
            </w:r>
            <w:r w:rsidR="00BF16A7" w:rsidRPr="00F80D6C">
              <w:rPr>
                <w:rFonts w:cs="Arial"/>
                <w:bCs/>
                <w:color w:val="000000" w:themeColor="text1"/>
              </w:rPr>
              <w:t>review of the commercial broadcasting tax arrangements</w:t>
            </w:r>
            <w:r w:rsidRPr="00F80D6C">
              <w:rPr>
                <w:rFonts w:cs="Arial"/>
                <w:bCs/>
                <w:color w:val="000000" w:themeColor="text1"/>
              </w:rPr>
              <w:t>.</w:t>
            </w:r>
          </w:p>
          <w:p w14:paraId="12C204C0" w14:textId="77777777" w:rsidR="00415E8B" w:rsidRPr="00F80D6C" w:rsidRDefault="00415E8B" w:rsidP="00CE4A31">
            <w:pPr>
              <w:pStyle w:val="CommentText"/>
              <w:tabs>
                <w:tab w:val="left" w:pos="426"/>
              </w:tabs>
              <w:spacing w:after="0"/>
              <w:rPr>
                <w:rFonts w:cs="Arial"/>
                <w:bCs/>
                <w:color w:val="000000" w:themeColor="text1"/>
              </w:rPr>
            </w:pPr>
          </w:p>
          <w:p w14:paraId="24FA6E3A" w14:textId="521AE766" w:rsidR="00415E8B" w:rsidRPr="00F80D6C" w:rsidRDefault="00415E8B" w:rsidP="00BA0995">
            <w:pPr>
              <w:pStyle w:val="CommentText"/>
              <w:tabs>
                <w:tab w:val="left" w:pos="426"/>
              </w:tabs>
              <w:spacing w:after="0"/>
              <w:rPr>
                <w:rFonts w:cs="Arial"/>
                <w:bCs/>
                <w:color w:val="000000" w:themeColor="text1"/>
              </w:rPr>
            </w:pPr>
          </w:p>
        </w:tc>
      </w:tr>
      <w:tr w:rsidR="00415E8B" w:rsidRPr="005F710A" w14:paraId="2DEF7514" w14:textId="77777777" w:rsidTr="00F80D6C">
        <w:trPr>
          <w:cnfStyle w:val="000000010000" w:firstRow="0" w:lastRow="0" w:firstColumn="0" w:lastColumn="0" w:oddVBand="0" w:evenVBand="0" w:oddHBand="0" w:evenHBand="1" w:firstRowFirstColumn="0" w:firstRowLastColumn="0" w:lastRowFirstColumn="0" w:lastRowLastColumn="0"/>
        </w:trPr>
        <w:tc>
          <w:tcPr>
            <w:tcW w:w="2255" w:type="dxa"/>
          </w:tcPr>
          <w:p w14:paraId="1E1F4CD1" w14:textId="77777777" w:rsidR="00415E8B" w:rsidRPr="00F80D6C" w:rsidRDefault="00415E8B" w:rsidP="00CE4A31">
            <w:pPr>
              <w:pStyle w:val="CommentText"/>
              <w:tabs>
                <w:tab w:val="left" w:pos="426"/>
              </w:tabs>
              <w:spacing w:after="0"/>
              <w:rPr>
                <w:rFonts w:cs="Arial"/>
                <w:b/>
                <w:color w:val="000000" w:themeColor="text1"/>
              </w:rPr>
            </w:pPr>
            <w:r w:rsidRPr="00F80D6C">
              <w:rPr>
                <w:rFonts w:cs="Arial"/>
                <w:b/>
                <w:color w:val="000000" w:themeColor="text1"/>
              </w:rPr>
              <w:t>New technologies and trials</w:t>
            </w:r>
          </w:p>
          <w:p w14:paraId="31D2ABD1" w14:textId="77777777" w:rsidR="00415E8B" w:rsidRPr="00F80D6C" w:rsidRDefault="00415E8B" w:rsidP="00CE4A31">
            <w:pPr>
              <w:rPr>
                <w:szCs w:val="20"/>
              </w:rPr>
            </w:pPr>
          </w:p>
        </w:tc>
        <w:tc>
          <w:tcPr>
            <w:tcW w:w="7663" w:type="dxa"/>
          </w:tcPr>
          <w:p w14:paraId="7A164C1C" w14:textId="4A2AA411" w:rsidR="00415E8B" w:rsidRPr="00F80D6C" w:rsidRDefault="00A52FC2" w:rsidP="00CE4A31">
            <w:pPr>
              <w:pStyle w:val="CommentText"/>
              <w:tabs>
                <w:tab w:val="left" w:pos="426"/>
              </w:tabs>
              <w:spacing w:after="0"/>
              <w:rPr>
                <w:rFonts w:cs="Arial"/>
                <w:bCs/>
                <w:color w:val="000000" w:themeColor="text1"/>
              </w:rPr>
            </w:pPr>
            <w:r w:rsidRPr="00F80D6C">
              <w:rPr>
                <w:rFonts w:cs="Arial"/>
                <w:bCs/>
                <w:color w:val="000000" w:themeColor="text1"/>
              </w:rPr>
              <w:t>Considering</w:t>
            </w:r>
            <w:r w:rsidR="00415E8B" w:rsidRPr="00F80D6C">
              <w:rPr>
                <w:rFonts w:cs="Arial"/>
                <w:bCs/>
                <w:color w:val="000000" w:themeColor="text1"/>
              </w:rPr>
              <w:t xml:space="preserve"> whether pricing initiatives for scientific licensing can be aligned with the </w:t>
            </w:r>
            <w:r w:rsidR="00CA65AE" w:rsidRPr="00F80D6C">
              <w:rPr>
                <w:rFonts w:cs="Arial"/>
                <w:bCs/>
                <w:color w:val="000000" w:themeColor="text1"/>
              </w:rPr>
              <w:t xml:space="preserve">ACMA’s </w:t>
            </w:r>
            <w:r w:rsidR="00415E8B" w:rsidRPr="00F80D6C">
              <w:rPr>
                <w:rFonts w:cs="Arial"/>
                <w:bCs/>
                <w:color w:val="000000" w:themeColor="text1"/>
              </w:rPr>
              <w:t>consideration of licensing issues associated with scientific licensing.</w:t>
            </w:r>
            <w:r w:rsidR="004F672D" w:rsidRPr="00F80D6C">
              <w:rPr>
                <w:rFonts w:cs="Arial"/>
                <w:bCs/>
                <w:color w:val="000000" w:themeColor="text1"/>
              </w:rPr>
              <w:t xml:space="preserve"> </w:t>
            </w:r>
          </w:p>
          <w:p w14:paraId="4472D08C" w14:textId="77777777" w:rsidR="00415E8B" w:rsidRPr="00F80D6C" w:rsidRDefault="00415E8B" w:rsidP="00CE4A31">
            <w:pPr>
              <w:rPr>
                <w:szCs w:val="20"/>
              </w:rPr>
            </w:pPr>
          </w:p>
        </w:tc>
        <w:tc>
          <w:tcPr>
            <w:tcW w:w="3260" w:type="dxa"/>
          </w:tcPr>
          <w:p w14:paraId="03B766CD" w14:textId="2AED7A23" w:rsidR="00415E8B" w:rsidRPr="00F80D6C" w:rsidRDefault="008A55B0" w:rsidP="00CE4A31">
            <w:pPr>
              <w:pStyle w:val="CommentText"/>
              <w:tabs>
                <w:tab w:val="left" w:pos="426"/>
              </w:tabs>
              <w:spacing w:after="0"/>
            </w:pPr>
            <w:r w:rsidRPr="00F80D6C">
              <w:rPr>
                <w:rFonts w:cs="Arial"/>
                <w:bCs/>
                <w:color w:val="000000" w:themeColor="text1"/>
              </w:rPr>
              <w:t>Consideration of t</w:t>
            </w:r>
            <w:r w:rsidR="00415E8B" w:rsidRPr="00F80D6C">
              <w:rPr>
                <w:rFonts w:cs="Arial"/>
                <w:bCs/>
                <w:color w:val="000000" w:themeColor="text1"/>
              </w:rPr>
              <w:t xml:space="preserve">his work </w:t>
            </w:r>
            <w:r w:rsidR="0057330A" w:rsidRPr="00F80D6C">
              <w:rPr>
                <w:rFonts w:cs="Arial"/>
                <w:bCs/>
                <w:color w:val="000000" w:themeColor="text1"/>
              </w:rPr>
              <w:t>will be aligned with the project concerning</w:t>
            </w:r>
            <w:r w:rsidR="00966077" w:rsidRPr="00F80D6C">
              <w:rPr>
                <w:rFonts w:cs="Arial"/>
                <w:bCs/>
                <w:color w:val="000000" w:themeColor="text1"/>
              </w:rPr>
              <w:t xml:space="preserve"> scientific licensing</w:t>
            </w:r>
            <w:r w:rsidR="00415E8B" w:rsidRPr="00F80D6C">
              <w:rPr>
                <w:rFonts w:cs="Arial"/>
                <w:bCs/>
                <w:color w:val="000000" w:themeColor="text1"/>
              </w:rPr>
              <w:t>.</w:t>
            </w:r>
          </w:p>
        </w:tc>
      </w:tr>
      <w:tr w:rsidR="00415E8B" w:rsidRPr="005F710A" w14:paraId="67EEA5C8" w14:textId="77777777" w:rsidTr="00F80D6C">
        <w:trPr>
          <w:cnfStyle w:val="000000100000" w:firstRow="0" w:lastRow="0" w:firstColumn="0" w:lastColumn="0" w:oddVBand="0" w:evenVBand="0" w:oddHBand="1" w:evenHBand="0" w:firstRowFirstColumn="0" w:firstRowLastColumn="0" w:lastRowFirstColumn="0" w:lastRowLastColumn="0"/>
        </w:trPr>
        <w:tc>
          <w:tcPr>
            <w:tcW w:w="2255" w:type="dxa"/>
          </w:tcPr>
          <w:p w14:paraId="566B595B" w14:textId="689164F1" w:rsidR="00415E8B" w:rsidRPr="00F80D6C" w:rsidRDefault="00415E8B" w:rsidP="0047202C">
            <w:pPr>
              <w:pStyle w:val="CommentText"/>
              <w:keepNext/>
              <w:keepLines/>
              <w:tabs>
                <w:tab w:val="left" w:pos="426"/>
              </w:tabs>
              <w:spacing w:after="0"/>
              <w:rPr>
                <w:rFonts w:cs="Arial"/>
                <w:b/>
                <w:color w:val="000000" w:themeColor="text1"/>
              </w:rPr>
            </w:pPr>
            <w:r w:rsidRPr="00F80D6C">
              <w:rPr>
                <w:rFonts w:cs="Arial"/>
                <w:b/>
                <w:color w:val="000000" w:themeColor="text1"/>
              </w:rPr>
              <w:t>Transparency and ease of calculating taxes</w:t>
            </w:r>
          </w:p>
          <w:p w14:paraId="6F4FD0C5" w14:textId="77777777" w:rsidR="00415E8B" w:rsidRPr="00F80D6C" w:rsidRDefault="00415E8B" w:rsidP="0047202C">
            <w:pPr>
              <w:pStyle w:val="CommentText"/>
              <w:keepNext/>
              <w:keepLines/>
              <w:tabs>
                <w:tab w:val="left" w:pos="426"/>
              </w:tabs>
              <w:spacing w:after="0"/>
            </w:pPr>
          </w:p>
        </w:tc>
        <w:tc>
          <w:tcPr>
            <w:tcW w:w="7663" w:type="dxa"/>
          </w:tcPr>
          <w:p w14:paraId="6409182A" w14:textId="788EC13B" w:rsidR="00415E8B" w:rsidRPr="00F80D6C" w:rsidRDefault="00415E8B" w:rsidP="0047202C">
            <w:pPr>
              <w:pStyle w:val="CommentText"/>
              <w:keepNext/>
              <w:keepLines/>
              <w:tabs>
                <w:tab w:val="left" w:pos="426"/>
              </w:tabs>
              <w:spacing w:after="0"/>
              <w:rPr>
                <w:rFonts w:cs="Arial"/>
                <w:bCs/>
                <w:color w:val="000000" w:themeColor="text1"/>
              </w:rPr>
            </w:pPr>
            <w:r w:rsidRPr="00F80D6C">
              <w:rPr>
                <w:rFonts w:cs="Arial"/>
                <w:bCs/>
                <w:color w:val="000000" w:themeColor="text1"/>
              </w:rPr>
              <w:t xml:space="preserve">The ACMA is currently </w:t>
            </w:r>
            <w:r w:rsidR="00BE1809" w:rsidRPr="00F80D6C">
              <w:rPr>
                <w:rFonts w:cs="Arial"/>
                <w:bCs/>
                <w:color w:val="000000" w:themeColor="text1"/>
              </w:rPr>
              <w:t>implementing</w:t>
            </w:r>
            <w:r w:rsidRPr="00F80D6C">
              <w:rPr>
                <w:rFonts w:cs="Arial"/>
                <w:bCs/>
                <w:color w:val="000000" w:themeColor="text1"/>
              </w:rPr>
              <w:t xml:space="preserve"> AWL initiatives including a </w:t>
            </w:r>
            <w:r w:rsidR="00DB16B4" w:rsidRPr="00F80D6C">
              <w:rPr>
                <w:rFonts w:cs="Arial"/>
                <w:bCs/>
                <w:color w:val="000000" w:themeColor="text1"/>
              </w:rPr>
              <w:t xml:space="preserve">tax </w:t>
            </w:r>
            <w:r w:rsidRPr="00F80D6C">
              <w:rPr>
                <w:rFonts w:cs="Arial"/>
                <w:bCs/>
                <w:color w:val="000000" w:themeColor="text1"/>
              </w:rPr>
              <w:t xml:space="preserve">calculator. </w:t>
            </w:r>
            <w:r w:rsidR="007F326C" w:rsidRPr="00F80D6C">
              <w:rPr>
                <w:rFonts w:cs="Arial"/>
                <w:bCs/>
                <w:color w:val="000000" w:themeColor="text1"/>
              </w:rPr>
              <w:t>The ACMA</w:t>
            </w:r>
            <w:r w:rsidRPr="00F80D6C">
              <w:rPr>
                <w:rFonts w:cs="Arial"/>
                <w:bCs/>
                <w:color w:val="000000" w:themeColor="text1"/>
              </w:rPr>
              <w:t xml:space="preserve"> will use feedback on this calculator in developing new calculator</w:t>
            </w:r>
            <w:r w:rsidR="00FC4B7F" w:rsidRPr="00F80D6C">
              <w:rPr>
                <w:rFonts w:cs="Arial"/>
                <w:bCs/>
                <w:color w:val="000000" w:themeColor="text1"/>
              </w:rPr>
              <w:t>s</w:t>
            </w:r>
            <w:r w:rsidR="00DB16B4" w:rsidRPr="00F80D6C">
              <w:rPr>
                <w:rFonts w:cs="Arial"/>
                <w:bCs/>
                <w:color w:val="000000" w:themeColor="text1"/>
              </w:rPr>
              <w:t xml:space="preserve"> for other licences</w:t>
            </w:r>
            <w:r w:rsidRPr="00F80D6C">
              <w:rPr>
                <w:rFonts w:cs="Arial"/>
                <w:bCs/>
                <w:color w:val="000000" w:themeColor="text1"/>
              </w:rPr>
              <w:t>.</w:t>
            </w:r>
          </w:p>
          <w:p w14:paraId="4BF0F42D" w14:textId="77777777" w:rsidR="00415E8B" w:rsidRPr="00F80D6C" w:rsidRDefault="00415E8B" w:rsidP="0047202C">
            <w:pPr>
              <w:pStyle w:val="CommentText"/>
              <w:keepNext/>
              <w:keepLines/>
              <w:tabs>
                <w:tab w:val="left" w:pos="426"/>
              </w:tabs>
              <w:spacing w:after="0"/>
              <w:rPr>
                <w:rFonts w:cs="Arial"/>
                <w:bCs/>
                <w:color w:val="000000" w:themeColor="text1"/>
              </w:rPr>
            </w:pPr>
          </w:p>
          <w:p w14:paraId="75D431EB" w14:textId="2903A41D" w:rsidR="00415E8B" w:rsidRPr="00F80D6C" w:rsidRDefault="00415E8B" w:rsidP="0047202C">
            <w:pPr>
              <w:pStyle w:val="CommentText"/>
              <w:keepNext/>
              <w:keepLines/>
              <w:tabs>
                <w:tab w:val="left" w:pos="426"/>
              </w:tabs>
              <w:spacing w:after="0"/>
              <w:rPr>
                <w:rFonts w:cs="Arial"/>
                <w:bCs/>
                <w:color w:val="000000" w:themeColor="text1"/>
              </w:rPr>
            </w:pPr>
            <w:r w:rsidRPr="00F80D6C">
              <w:rPr>
                <w:rFonts w:cs="Arial"/>
                <w:bCs/>
                <w:color w:val="000000" w:themeColor="text1"/>
              </w:rPr>
              <w:t xml:space="preserve">We will also review the format of the Apparatus Licence Fee Schedule to include a longer history of price changes so that </w:t>
            </w:r>
            <w:r w:rsidR="00DB16B4" w:rsidRPr="00F80D6C">
              <w:rPr>
                <w:rFonts w:cs="Arial"/>
                <w:bCs/>
                <w:color w:val="000000" w:themeColor="text1"/>
              </w:rPr>
              <w:t xml:space="preserve">stakeholders </w:t>
            </w:r>
            <w:r w:rsidRPr="00F80D6C">
              <w:rPr>
                <w:rFonts w:cs="Arial"/>
                <w:bCs/>
                <w:color w:val="000000" w:themeColor="text1"/>
              </w:rPr>
              <w:t>can see the evolution of prices over time</w:t>
            </w:r>
            <w:r w:rsidR="00215B81" w:rsidRPr="00F80D6C">
              <w:rPr>
                <w:rFonts w:cs="Arial"/>
                <w:bCs/>
                <w:color w:val="000000" w:themeColor="text1"/>
              </w:rPr>
              <w:t>.</w:t>
            </w:r>
          </w:p>
          <w:p w14:paraId="688C00D3" w14:textId="77777777" w:rsidR="00415E8B" w:rsidRPr="00F80D6C" w:rsidRDefault="00415E8B" w:rsidP="0047202C">
            <w:pPr>
              <w:keepNext/>
              <w:keepLines/>
              <w:rPr>
                <w:szCs w:val="20"/>
              </w:rPr>
            </w:pPr>
          </w:p>
        </w:tc>
        <w:tc>
          <w:tcPr>
            <w:tcW w:w="3260" w:type="dxa"/>
          </w:tcPr>
          <w:p w14:paraId="4BE9EB24" w14:textId="4D41DF17" w:rsidR="00415E8B" w:rsidRPr="00F80D6C" w:rsidRDefault="007F326C" w:rsidP="0047202C">
            <w:pPr>
              <w:pStyle w:val="CommentText"/>
              <w:keepNext/>
              <w:keepLines/>
              <w:tabs>
                <w:tab w:val="left" w:pos="426"/>
              </w:tabs>
              <w:spacing w:after="0"/>
            </w:pPr>
            <w:r w:rsidRPr="00F80D6C">
              <w:rPr>
                <w:rFonts w:cs="Arial"/>
                <w:bCs/>
                <w:color w:val="000000" w:themeColor="text1"/>
              </w:rPr>
              <w:t xml:space="preserve">April 2021 to coincide with the </w:t>
            </w:r>
            <w:r w:rsidR="00DB16B4" w:rsidRPr="00F80D6C">
              <w:rPr>
                <w:rFonts w:cs="Arial"/>
                <w:bCs/>
                <w:color w:val="000000" w:themeColor="text1"/>
              </w:rPr>
              <w:t xml:space="preserve">changes </w:t>
            </w:r>
            <w:r w:rsidR="004926E3" w:rsidRPr="00F80D6C">
              <w:rPr>
                <w:rFonts w:cs="Arial"/>
                <w:bCs/>
                <w:color w:val="000000" w:themeColor="text1"/>
              </w:rPr>
              <w:t>to licence taxes</w:t>
            </w:r>
            <w:r w:rsidR="00166011" w:rsidRPr="00F80D6C">
              <w:rPr>
                <w:rFonts w:cs="Arial"/>
                <w:bCs/>
                <w:color w:val="000000" w:themeColor="text1"/>
              </w:rPr>
              <w:t xml:space="preserve"> </w:t>
            </w:r>
            <w:r w:rsidR="0098650E" w:rsidRPr="00F80D6C">
              <w:rPr>
                <w:rFonts w:cs="Arial"/>
                <w:bCs/>
                <w:color w:val="000000" w:themeColor="text1"/>
              </w:rPr>
              <w:t>for inflation</w:t>
            </w:r>
            <w:r w:rsidR="00166011" w:rsidRPr="00F80D6C">
              <w:rPr>
                <w:rFonts w:cs="Arial"/>
                <w:bCs/>
                <w:color w:val="000000" w:themeColor="text1"/>
              </w:rPr>
              <w:t>.</w:t>
            </w:r>
            <w:r w:rsidR="00C45937" w:rsidRPr="00F80D6C">
              <w:rPr>
                <w:rFonts w:cs="Arial"/>
                <w:bCs/>
                <w:color w:val="000000" w:themeColor="text1"/>
              </w:rPr>
              <w:t xml:space="preserve"> </w:t>
            </w:r>
          </w:p>
        </w:tc>
      </w:tr>
      <w:tr w:rsidR="00415E8B" w:rsidRPr="005F710A" w14:paraId="6E851E4C" w14:textId="77777777" w:rsidTr="00F80D6C">
        <w:trPr>
          <w:cnfStyle w:val="000000010000" w:firstRow="0" w:lastRow="0" w:firstColumn="0" w:lastColumn="0" w:oddVBand="0" w:evenVBand="0" w:oddHBand="0" w:evenHBand="1" w:firstRowFirstColumn="0" w:firstRowLastColumn="0" w:lastRowFirstColumn="0" w:lastRowLastColumn="0"/>
        </w:trPr>
        <w:tc>
          <w:tcPr>
            <w:tcW w:w="2255" w:type="dxa"/>
          </w:tcPr>
          <w:p w14:paraId="495AE477" w14:textId="77777777" w:rsidR="00415E8B" w:rsidRPr="00F80D6C" w:rsidRDefault="00415E8B" w:rsidP="0047202C">
            <w:pPr>
              <w:pStyle w:val="CommentText"/>
              <w:keepNext/>
              <w:keepLines/>
              <w:tabs>
                <w:tab w:val="left" w:pos="426"/>
              </w:tabs>
              <w:spacing w:after="0"/>
              <w:rPr>
                <w:rFonts w:cs="Arial"/>
                <w:bCs/>
                <w:color w:val="000000" w:themeColor="text1"/>
              </w:rPr>
            </w:pPr>
            <w:r w:rsidRPr="00F80D6C">
              <w:rPr>
                <w:rFonts w:cs="Arial"/>
                <w:b/>
                <w:color w:val="000000" w:themeColor="text1"/>
              </w:rPr>
              <w:t>FYSO updates</w:t>
            </w:r>
          </w:p>
        </w:tc>
        <w:tc>
          <w:tcPr>
            <w:tcW w:w="7663" w:type="dxa"/>
          </w:tcPr>
          <w:p w14:paraId="3EFB77E8" w14:textId="497FC891" w:rsidR="00415E8B" w:rsidRPr="00F80D6C" w:rsidRDefault="00415E8B" w:rsidP="0047202C">
            <w:pPr>
              <w:pStyle w:val="CommentText"/>
              <w:keepNext/>
              <w:keepLines/>
              <w:tabs>
                <w:tab w:val="left" w:pos="426"/>
              </w:tabs>
              <w:spacing w:after="0"/>
              <w:rPr>
                <w:rFonts w:cs="Arial"/>
                <w:bCs/>
                <w:color w:val="000000" w:themeColor="text1"/>
              </w:rPr>
            </w:pPr>
            <w:r w:rsidRPr="00F80D6C">
              <w:rPr>
                <w:rFonts w:cs="Arial"/>
                <w:bCs/>
                <w:color w:val="000000" w:themeColor="text1"/>
              </w:rPr>
              <w:t>Identifying other opportunity cost pricing initiatives.</w:t>
            </w:r>
            <w:r w:rsidR="004F672D" w:rsidRPr="00F80D6C">
              <w:rPr>
                <w:rFonts w:cs="Arial"/>
                <w:bCs/>
                <w:color w:val="000000" w:themeColor="text1"/>
              </w:rPr>
              <w:t xml:space="preserve"> </w:t>
            </w:r>
            <w:r w:rsidRPr="00F80D6C">
              <w:rPr>
                <w:rFonts w:cs="Arial"/>
                <w:bCs/>
                <w:color w:val="000000" w:themeColor="text1"/>
              </w:rPr>
              <w:t>This will be an ongoing process.</w:t>
            </w:r>
          </w:p>
        </w:tc>
        <w:tc>
          <w:tcPr>
            <w:tcW w:w="3260" w:type="dxa"/>
          </w:tcPr>
          <w:p w14:paraId="5033CE7B" w14:textId="41B88237" w:rsidR="00415E8B" w:rsidRPr="00F80D6C" w:rsidRDefault="00415E8B" w:rsidP="0047202C">
            <w:pPr>
              <w:pStyle w:val="CommentText"/>
              <w:keepNext/>
              <w:keepLines/>
              <w:tabs>
                <w:tab w:val="left" w:pos="426"/>
              </w:tabs>
              <w:spacing w:after="0"/>
              <w:rPr>
                <w:rFonts w:cs="Arial"/>
                <w:bCs/>
                <w:color w:val="000000" w:themeColor="text1"/>
              </w:rPr>
            </w:pPr>
            <w:r w:rsidRPr="00F80D6C">
              <w:rPr>
                <w:rFonts w:cs="Arial"/>
                <w:bCs/>
                <w:color w:val="000000" w:themeColor="text1"/>
              </w:rPr>
              <w:t>Updates to be included in future editions of the FYSO</w:t>
            </w:r>
            <w:r w:rsidR="002E6426" w:rsidRPr="00F80D6C">
              <w:rPr>
                <w:rFonts w:cs="Arial"/>
                <w:bCs/>
                <w:color w:val="000000" w:themeColor="text1"/>
              </w:rPr>
              <w:t>.</w:t>
            </w:r>
          </w:p>
        </w:tc>
      </w:tr>
    </w:tbl>
    <w:p w14:paraId="03E82CBE" w14:textId="3B262022" w:rsidR="00415E8B" w:rsidRDefault="00962FC1" w:rsidP="00AA06F3">
      <w:pPr>
        <w:pStyle w:val="CommentText"/>
        <w:keepNext/>
        <w:keepLines/>
        <w:spacing w:before="120" w:line="280" w:lineRule="atLeast"/>
      </w:pPr>
      <w:r>
        <w:t>For each stream of work</w:t>
      </w:r>
      <w:r w:rsidR="00CA6638">
        <w:t>,</w:t>
      </w:r>
      <w:r w:rsidR="00933650">
        <w:t xml:space="preserve"> the ACMA notes it may be appropriate to</w:t>
      </w:r>
      <w:r w:rsidR="00274CD7">
        <w:t xml:space="preserve"> expand </w:t>
      </w:r>
      <w:r w:rsidR="004F6CF2">
        <w:t>its</w:t>
      </w:r>
      <w:r w:rsidR="00274CD7">
        <w:t xml:space="preserve"> scope to </w:t>
      </w:r>
      <w:proofErr w:type="gramStart"/>
      <w:r w:rsidR="00274CD7">
        <w:t>take into account</w:t>
      </w:r>
      <w:proofErr w:type="gramEnd"/>
      <w:r w:rsidR="00274CD7">
        <w:t xml:space="preserve"> feedback from </w:t>
      </w:r>
      <w:r w:rsidR="00474044">
        <w:t>industry from the individual consultation processes.</w:t>
      </w:r>
    </w:p>
    <w:p w14:paraId="18E224A6" w14:textId="36A4BA10" w:rsidR="00415E8B" w:rsidRDefault="00415E8B" w:rsidP="001A39F4">
      <w:pPr>
        <w:pStyle w:val="ListBulletLast"/>
        <w:numPr>
          <w:ilvl w:val="0"/>
          <w:numId w:val="0"/>
        </w:numPr>
        <w:ind w:left="295"/>
      </w:pPr>
    </w:p>
    <w:p w14:paraId="590D33FB" w14:textId="77777777" w:rsidR="00415E8B" w:rsidRDefault="00415E8B" w:rsidP="001A39F4">
      <w:pPr>
        <w:pStyle w:val="ListBulletLast"/>
        <w:numPr>
          <w:ilvl w:val="0"/>
          <w:numId w:val="0"/>
        </w:numPr>
        <w:ind w:left="295"/>
        <w:sectPr w:rsidR="00415E8B" w:rsidSect="0047202C">
          <w:pgSz w:w="16838" w:h="11906" w:orient="landscape" w:code="9"/>
          <w:pgMar w:top="2410" w:right="1945" w:bottom="3101" w:left="1134" w:header="709" w:footer="119" w:gutter="0"/>
          <w:cols w:space="708"/>
          <w:docGrid w:linePitch="360"/>
        </w:sectPr>
      </w:pPr>
    </w:p>
    <w:p w14:paraId="0A80E2E4" w14:textId="3FD71EF1" w:rsidR="00580405" w:rsidRDefault="00580405" w:rsidP="00580405">
      <w:pPr>
        <w:pStyle w:val="Heading1"/>
      </w:pPr>
      <w:bookmarkStart w:id="46" w:name="_Consultation"/>
      <w:bookmarkStart w:id="47" w:name="_Toc433122125"/>
      <w:bookmarkStart w:id="48" w:name="_Toc16685779"/>
      <w:bookmarkStart w:id="49" w:name="_Toc59007945"/>
      <w:bookmarkStart w:id="50" w:name="_Ref57048716"/>
      <w:bookmarkEnd w:id="2"/>
      <w:bookmarkEnd w:id="3"/>
      <w:bookmarkEnd w:id="4"/>
      <w:bookmarkEnd w:id="5"/>
      <w:bookmarkEnd w:id="6"/>
      <w:bookmarkEnd w:id="7"/>
      <w:bookmarkEnd w:id="8"/>
      <w:bookmarkEnd w:id="9"/>
      <w:bookmarkEnd w:id="10"/>
      <w:bookmarkEnd w:id="11"/>
      <w:bookmarkEnd w:id="12"/>
      <w:bookmarkEnd w:id="46"/>
      <w:r>
        <w:t>Issue</w:t>
      </w:r>
      <w:r w:rsidR="000B6C9B">
        <w:t>s</w:t>
      </w:r>
      <w:r>
        <w:t xml:space="preserve"> for comment</w:t>
      </w:r>
      <w:bookmarkEnd w:id="47"/>
      <w:bookmarkEnd w:id="48"/>
      <w:bookmarkEnd w:id="49"/>
    </w:p>
    <w:bookmarkEnd w:id="50"/>
    <w:p w14:paraId="4DF87C2C" w14:textId="50CE6F0C" w:rsidR="004B1722" w:rsidRDefault="004B1722" w:rsidP="003D1893">
      <w:pPr>
        <w:pStyle w:val="CommentText"/>
      </w:pPr>
      <w:r>
        <w:t xml:space="preserve">As noted in the </w:t>
      </w:r>
      <w:r w:rsidR="002E6426">
        <w:t>w</w:t>
      </w:r>
      <w:r>
        <w:t xml:space="preserve">ork </w:t>
      </w:r>
      <w:r w:rsidR="002E6426">
        <w:t>p</w:t>
      </w:r>
      <w:r>
        <w:t>rogram</w:t>
      </w:r>
      <w:r w:rsidR="002E6426">
        <w:t>,</w:t>
      </w:r>
      <w:r w:rsidR="00D645DD">
        <w:t xml:space="preserve"> we are consulting on the first</w:t>
      </w:r>
      <w:r w:rsidR="00C72983">
        <w:t xml:space="preserve"> round of changes to apparatus licence taxes as a result of implementing the Spectrum Pricing Review</w:t>
      </w:r>
      <w:r w:rsidR="00907BD1">
        <w:t>.</w:t>
      </w:r>
    </w:p>
    <w:p w14:paraId="2834C857" w14:textId="41A1A4A2" w:rsidR="00F24085" w:rsidRPr="00015BD5" w:rsidRDefault="00F24085" w:rsidP="003D1893">
      <w:pPr>
        <w:pStyle w:val="Paragraphbeforelist"/>
      </w:pPr>
      <w:r w:rsidRPr="00015BD5">
        <w:t xml:space="preserve">The ACMA is proposing amendments to two determinations that </w:t>
      </w:r>
      <w:r>
        <w:t xml:space="preserve">relate to the </w:t>
      </w:r>
      <w:r w:rsidRPr="00015BD5">
        <w:t>apparatus licence tax</w:t>
      </w:r>
      <w:r>
        <w:t xml:space="preserve"> calculations</w:t>
      </w:r>
      <w:r w:rsidRPr="00015BD5">
        <w:t xml:space="preserve">. These taxes are imposed </w:t>
      </w:r>
      <w:r>
        <w:t>in relation to</w:t>
      </w:r>
      <w:r w:rsidRPr="00015BD5">
        <w:t xml:space="preserve"> apparatus (transmitter and receiver) licences. The determinations (</w:t>
      </w:r>
      <w:r>
        <w:t xml:space="preserve">collectively </w:t>
      </w:r>
      <w:r w:rsidRPr="00015BD5">
        <w:t xml:space="preserve">referred to </w:t>
      </w:r>
      <w:r>
        <w:t xml:space="preserve">in this paper </w:t>
      </w:r>
      <w:r w:rsidRPr="00015BD5">
        <w:t xml:space="preserve">as </w:t>
      </w:r>
      <w:r>
        <w:t>‘</w:t>
      </w:r>
      <w:r w:rsidRPr="00015BD5">
        <w:t>the tax determinations</w:t>
      </w:r>
      <w:r>
        <w:t>’</w:t>
      </w:r>
      <w:r w:rsidRPr="00015BD5">
        <w:t>) are the:</w:t>
      </w:r>
    </w:p>
    <w:p w14:paraId="0BF6793E" w14:textId="77777777" w:rsidR="00F24085" w:rsidRPr="00015BD5" w:rsidRDefault="00F24085" w:rsidP="00F24085">
      <w:pPr>
        <w:pStyle w:val="ListBullet"/>
        <w:rPr>
          <w:szCs w:val="20"/>
        </w:rPr>
      </w:pPr>
      <w:r w:rsidRPr="003D1893">
        <w:rPr>
          <w:iCs/>
          <w:szCs w:val="20"/>
        </w:rPr>
        <w:t>Radiocommunications (Transmitter Licence Tax) Determination 2015</w:t>
      </w:r>
      <w:r w:rsidRPr="00015BD5">
        <w:rPr>
          <w:szCs w:val="20"/>
        </w:rPr>
        <w:t xml:space="preserve"> (the Transmitter Licence Tax Determination)</w:t>
      </w:r>
      <w:r>
        <w:rPr>
          <w:szCs w:val="20"/>
        </w:rPr>
        <w:t xml:space="preserve"> </w:t>
      </w:r>
    </w:p>
    <w:p w14:paraId="0995E584" w14:textId="77777777" w:rsidR="00F24085" w:rsidRPr="000D0D74" w:rsidRDefault="00F24085" w:rsidP="00F24085">
      <w:pPr>
        <w:pStyle w:val="ListBulletLast"/>
      </w:pPr>
      <w:r w:rsidRPr="003D1893">
        <w:rPr>
          <w:iCs/>
        </w:rPr>
        <w:t>Radiocommunications (Receiver Licence Tax) Determination 2015</w:t>
      </w:r>
      <w:r w:rsidRPr="000D0D74">
        <w:t xml:space="preserve"> (the Receiver </w:t>
      </w:r>
      <w:r>
        <w:t xml:space="preserve">Licence Tax Determination). </w:t>
      </w:r>
    </w:p>
    <w:p w14:paraId="080EC4E9" w14:textId="3282CFF6" w:rsidR="00F65767" w:rsidRDefault="00E71489" w:rsidP="003D1893">
      <w:pPr>
        <w:pStyle w:val="Paragraphbeforelist"/>
      </w:pPr>
      <w:r>
        <w:t xml:space="preserve">The </w:t>
      </w:r>
      <w:r w:rsidR="00F65767">
        <w:t>proposed changes to apparatus licence taxes are as follows:</w:t>
      </w:r>
    </w:p>
    <w:p w14:paraId="4F2B2E9A" w14:textId="47E1E1E3" w:rsidR="00F24085" w:rsidRDefault="00E64EFC" w:rsidP="00E64EFC">
      <w:pPr>
        <w:pStyle w:val="ListBullet"/>
        <w:rPr>
          <w:szCs w:val="20"/>
        </w:rPr>
      </w:pPr>
      <w:r>
        <w:rPr>
          <w:szCs w:val="20"/>
        </w:rPr>
        <w:t xml:space="preserve">As part of the review of location weights and in recognition of Focus Area 1 of the </w:t>
      </w:r>
      <w:r w:rsidR="007A21E9">
        <w:rPr>
          <w:szCs w:val="20"/>
        </w:rPr>
        <w:t xml:space="preserve">implementation of the </w:t>
      </w:r>
      <w:r w:rsidR="00D300B1">
        <w:rPr>
          <w:szCs w:val="20"/>
        </w:rPr>
        <w:t>Spectrum Pricing Review</w:t>
      </w:r>
      <w:r w:rsidR="007A21E9">
        <w:rPr>
          <w:szCs w:val="20"/>
        </w:rPr>
        <w:t xml:space="preserve">, the ACMA has developed </w:t>
      </w:r>
      <w:r w:rsidR="00C13557">
        <w:rPr>
          <w:szCs w:val="20"/>
        </w:rPr>
        <w:t>new</w:t>
      </w:r>
      <w:r w:rsidR="007A21E9">
        <w:rPr>
          <w:szCs w:val="20"/>
        </w:rPr>
        <w:t xml:space="preserve"> location weights for the </w:t>
      </w:r>
      <w:r w:rsidR="00361FFF">
        <w:rPr>
          <w:szCs w:val="20"/>
        </w:rPr>
        <w:t>tax formula for service above 5 GHz</w:t>
      </w:r>
      <w:r w:rsidR="003E15B9">
        <w:rPr>
          <w:szCs w:val="20"/>
        </w:rPr>
        <w:t>.</w:t>
      </w:r>
      <w:r w:rsidR="004F672D">
        <w:rPr>
          <w:szCs w:val="20"/>
        </w:rPr>
        <w:t xml:space="preserve"> </w:t>
      </w:r>
      <w:r w:rsidR="003E15B9">
        <w:rPr>
          <w:szCs w:val="20"/>
        </w:rPr>
        <w:t>In short this will reduce apparatus licence taxes</w:t>
      </w:r>
      <w:r w:rsidR="00C13557">
        <w:rPr>
          <w:szCs w:val="20"/>
        </w:rPr>
        <w:t xml:space="preserve"> for services</w:t>
      </w:r>
      <w:r w:rsidR="0091788F">
        <w:rPr>
          <w:szCs w:val="20"/>
        </w:rPr>
        <w:t xml:space="preserve"> where the taxes are calculated by the tax formula</w:t>
      </w:r>
      <w:r w:rsidR="0035608B">
        <w:rPr>
          <w:szCs w:val="20"/>
        </w:rPr>
        <w:t xml:space="preserve"> </w:t>
      </w:r>
      <w:r w:rsidR="00274371">
        <w:rPr>
          <w:szCs w:val="20"/>
        </w:rPr>
        <w:t>above 5</w:t>
      </w:r>
      <w:r w:rsidR="00241415">
        <w:rPr>
          <w:szCs w:val="20"/>
        </w:rPr>
        <w:t xml:space="preserve"> </w:t>
      </w:r>
      <w:r w:rsidR="00274371">
        <w:rPr>
          <w:szCs w:val="20"/>
        </w:rPr>
        <w:t xml:space="preserve">GHz </w:t>
      </w:r>
      <w:r w:rsidR="005F6FC1">
        <w:rPr>
          <w:szCs w:val="20"/>
        </w:rPr>
        <w:t>by as much as 90</w:t>
      </w:r>
      <w:r w:rsidR="00E30EBB">
        <w:rPr>
          <w:szCs w:val="20"/>
        </w:rPr>
        <w:t>%</w:t>
      </w:r>
      <w:r w:rsidR="005F6FC1">
        <w:rPr>
          <w:szCs w:val="20"/>
        </w:rPr>
        <w:t>.</w:t>
      </w:r>
    </w:p>
    <w:p w14:paraId="3129B897" w14:textId="10C696F8" w:rsidR="00C23819" w:rsidRPr="00D015A5" w:rsidRDefault="00FC4B7F" w:rsidP="00CE4A31">
      <w:pPr>
        <w:pStyle w:val="ListBullet"/>
        <w:rPr>
          <w:szCs w:val="20"/>
        </w:rPr>
      </w:pPr>
      <w:r>
        <w:rPr>
          <w:szCs w:val="20"/>
        </w:rPr>
        <w:t xml:space="preserve">A </w:t>
      </w:r>
      <w:r w:rsidR="002E6426">
        <w:rPr>
          <w:szCs w:val="20"/>
        </w:rPr>
        <w:t>‘</w:t>
      </w:r>
      <w:r>
        <w:rPr>
          <w:szCs w:val="20"/>
        </w:rPr>
        <w:t>s</w:t>
      </w:r>
      <w:r w:rsidR="00C23819" w:rsidRPr="00D015A5">
        <w:rPr>
          <w:szCs w:val="20"/>
        </w:rPr>
        <w:t>ystems</w:t>
      </w:r>
      <w:r w:rsidR="002E6426">
        <w:rPr>
          <w:szCs w:val="20"/>
        </w:rPr>
        <w:t>’</w:t>
      </w:r>
      <w:r w:rsidR="00C23819" w:rsidRPr="00D015A5">
        <w:rPr>
          <w:szCs w:val="20"/>
        </w:rPr>
        <w:t xml:space="preserve"> approach to antenna farms being used for multiple satellite systems all operating on the same frequency range and under a single operator</w:t>
      </w:r>
      <w:r w:rsidR="00D015A5" w:rsidRPr="00D015A5">
        <w:rPr>
          <w:szCs w:val="20"/>
        </w:rPr>
        <w:t xml:space="preserve">. </w:t>
      </w:r>
      <w:r w:rsidR="00C23819" w:rsidRPr="00D015A5">
        <w:rPr>
          <w:szCs w:val="20"/>
        </w:rPr>
        <w:t>The ACMA proposes a systems approach for earth stations with multiple co-located</w:t>
      </w:r>
      <w:r w:rsidR="00CA6638">
        <w:rPr>
          <w:szCs w:val="20"/>
        </w:rPr>
        <w:t>,</w:t>
      </w:r>
      <w:r w:rsidR="00C23819" w:rsidRPr="00D015A5">
        <w:rPr>
          <w:szCs w:val="20"/>
        </w:rPr>
        <w:t xml:space="preserve"> </w:t>
      </w:r>
      <w:r w:rsidR="00F2387A">
        <w:rPr>
          <w:szCs w:val="20"/>
        </w:rPr>
        <w:t xml:space="preserve">co-frequency </w:t>
      </w:r>
      <w:r w:rsidR="00C23819" w:rsidRPr="00D015A5">
        <w:rPr>
          <w:szCs w:val="20"/>
        </w:rPr>
        <w:t xml:space="preserve">antennas, </w:t>
      </w:r>
      <w:r w:rsidR="00523AA0">
        <w:rPr>
          <w:szCs w:val="20"/>
        </w:rPr>
        <w:t xml:space="preserve">managed </w:t>
      </w:r>
      <w:r w:rsidR="00C23819" w:rsidRPr="00D015A5">
        <w:rPr>
          <w:szCs w:val="20"/>
        </w:rPr>
        <w:t xml:space="preserve">under the same </w:t>
      </w:r>
      <w:r w:rsidR="00523AA0">
        <w:rPr>
          <w:szCs w:val="20"/>
        </w:rPr>
        <w:t>licence</w:t>
      </w:r>
      <w:r w:rsidR="00C23819" w:rsidRPr="00D015A5">
        <w:rPr>
          <w:szCs w:val="20"/>
        </w:rPr>
        <w:t>. This proposal recognises that additional antennas to these sites do not significantly add to spectrum denial.</w:t>
      </w:r>
    </w:p>
    <w:p w14:paraId="65230CC0" w14:textId="7BE5D8E6" w:rsidR="00D167FE" w:rsidRDefault="0064097F" w:rsidP="005179DB">
      <w:pPr>
        <w:pStyle w:val="ListBullet"/>
        <w:rPr>
          <w:szCs w:val="20"/>
        </w:rPr>
      </w:pPr>
      <w:r>
        <w:rPr>
          <w:szCs w:val="20"/>
        </w:rPr>
        <w:t xml:space="preserve">The ACMA is proposing a new low power discount </w:t>
      </w:r>
      <w:r w:rsidR="00AB1AE1" w:rsidRPr="005179DB">
        <w:rPr>
          <w:szCs w:val="20"/>
        </w:rPr>
        <w:t>to encourage the use of the 'Enclosed and Short-range Digital Service'</w:t>
      </w:r>
      <w:r w:rsidR="0061659C">
        <w:rPr>
          <w:szCs w:val="20"/>
        </w:rPr>
        <w:t>,</w:t>
      </w:r>
      <w:r w:rsidR="00AB1AE1" w:rsidRPr="005179DB">
        <w:rPr>
          <w:szCs w:val="20"/>
        </w:rPr>
        <w:t xml:space="preserve"> which is the smallest land mobile service model in the </w:t>
      </w:r>
      <w:hyperlink r:id="rId36">
        <w:r w:rsidR="00AB1AE1" w:rsidRPr="005179DB">
          <w:rPr>
            <w:szCs w:val="20"/>
          </w:rPr>
          <w:t>RALI</w:t>
        </w:r>
      </w:hyperlink>
      <w:r w:rsidR="00D300B1">
        <w:rPr>
          <w:szCs w:val="20"/>
        </w:rPr>
        <w:t xml:space="preserve"> LM8</w:t>
      </w:r>
      <w:r w:rsidR="00AB1AE1" w:rsidRPr="005179DB">
        <w:rPr>
          <w:szCs w:val="20"/>
        </w:rPr>
        <w:t xml:space="preserve">. </w:t>
      </w:r>
      <w:r w:rsidR="000F5266">
        <w:rPr>
          <w:szCs w:val="20"/>
        </w:rPr>
        <w:t xml:space="preserve">The ACMA is proposing a new low power discount </w:t>
      </w:r>
      <w:r w:rsidR="00094D26">
        <w:rPr>
          <w:szCs w:val="20"/>
        </w:rPr>
        <w:t xml:space="preserve">for land mobile licence </w:t>
      </w:r>
      <w:r w:rsidR="009C6DB3">
        <w:rPr>
          <w:szCs w:val="20"/>
        </w:rPr>
        <w:t xml:space="preserve">of </w:t>
      </w:r>
      <w:r w:rsidR="00463744">
        <w:rPr>
          <w:szCs w:val="20"/>
        </w:rPr>
        <w:t>95</w:t>
      </w:r>
      <w:r w:rsidR="00E30EBB">
        <w:rPr>
          <w:szCs w:val="20"/>
        </w:rPr>
        <w:t>%</w:t>
      </w:r>
      <w:r w:rsidR="00463744">
        <w:rPr>
          <w:szCs w:val="20"/>
        </w:rPr>
        <w:t xml:space="preserve">. </w:t>
      </w:r>
    </w:p>
    <w:p w14:paraId="1FA6AE81" w14:textId="5E12C34E" w:rsidR="00DE0AB3" w:rsidRDefault="00E26DB8" w:rsidP="009D5EFB">
      <w:pPr>
        <w:rPr>
          <w:szCs w:val="20"/>
        </w:rPr>
      </w:pPr>
      <w:r>
        <w:rPr>
          <w:szCs w:val="20"/>
        </w:rPr>
        <w:t xml:space="preserve">Further information is available in </w:t>
      </w:r>
      <w:r w:rsidRPr="00764424">
        <w:rPr>
          <w:szCs w:val="20"/>
        </w:rPr>
        <w:t>Appendi</w:t>
      </w:r>
      <w:r w:rsidR="008814F3" w:rsidRPr="00764424">
        <w:rPr>
          <w:szCs w:val="20"/>
        </w:rPr>
        <w:t>ces</w:t>
      </w:r>
      <w:r w:rsidRPr="00764424">
        <w:rPr>
          <w:szCs w:val="20"/>
        </w:rPr>
        <w:t xml:space="preserve"> </w:t>
      </w:r>
      <w:r w:rsidR="005E21C8">
        <w:rPr>
          <w:szCs w:val="20"/>
        </w:rPr>
        <w:t>A</w:t>
      </w:r>
      <w:r w:rsidR="008C7FD9">
        <w:rPr>
          <w:szCs w:val="20"/>
        </w:rPr>
        <w:t xml:space="preserve">, </w:t>
      </w:r>
      <w:r w:rsidR="008814F3" w:rsidRPr="00764424">
        <w:rPr>
          <w:szCs w:val="20"/>
        </w:rPr>
        <w:t>B and C</w:t>
      </w:r>
      <w:r w:rsidR="00AE30E8">
        <w:rPr>
          <w:szCs w:val="20"/>
        </w:rPr>
        <w:t>.</w:t>
      </w:r>
      <w:r w:rsidR="001C09F1">
        <w:rPr>
          <w:szCs w:val="20"/>
        </w:rPr>
        <w:t xml:space="preserve"> </w:t>
      </w:r>
    </w:p>
    <w:p w14:paraId="1ADE13C3" w14:textId="274A2408" w:rsidR="00A53182" w:rsidRDefault="00C36BB1" w:rsidP="000B6C9B">
      <w:pPr>
        <w:pStyle w:val="Paragraph"/>
        <w:spacing w:after="80"/>
      </w:pPr>
      <w:r>
        <w:t xml:space="preserve">This consultation does not ask specific questions. However, the ACMA welcomes comment from interested stakeholders on the issues raised in this </w:t>
      </w:r>
      <w:r w:rsidR="00A53182">
        <w:t>paper</w:t>
      </w:r>
      <w:r>
        <w:t xml:space="preserve"> or any other issues relevant to</w:t>
      </w:r>
      <w:r w:rsidR="00DB4773">
        <w:t xml:space="preserve"> the</w:t>
      </w:r>
      <w:r w:rsidR="00A53182">
        <w:t>:</w:t>
      </w:r>
    </w:p>
    <w:p w14:paraId="50E5E9CC" w14:textId="511E81A4" w:rsidR="00A53182" w:rsidRPr="00DB4773" w:rsidRDefault="00A53182" w:rsidP="00DB4773">
      <w:pPr>
        <w:pStyle w:val="ListBullet"/>
        <w:rPr>
          <w:szCs w:val="20"/>
        </w:rPr>
      </w:pPr>
      <w:r w:rsidRPr="00DB4773">
        <w:rPr>
          <w:szCs w:val="20"/>
        </w:rPr>
        <w:t>proposed work program</w:t>
      </w:r>
      <w:r w:rsidR="00DB4773">
        <w:rPr>
          <w:szCs w:val="20"/>
        </w:rPr>
        <w:t xml:space="preserve"> </w:t>
      </w:r>
    </w:p>
    <w:p w14:paraId="45E099ED" w14:textId="33AF7382" w:rsidR="00DB4773" w:rsidRPr="00DB4773" w:rsidRDefault="00161FB6" w:rsidP="00DB4773">
      <w:pPr>
        <w:pStyle w:val="ListBullet"/>
        <w:rPr>
          <w:szCs w:val="20"/>
        </w:rPr>
      </w:pPr>
      <w:r w:rsidRPr="00DB4773">
        <w:rPr>
          <w:szCs w:val="20"/>
        </w:rPr>
        <w:t>first round of changes to apparatus licence taxes as a result of implementing the Spectrum Pricing Review</w:t>
      </w:r>
      <w:r w:rsidR="00DB4773" w:rsidRPr="00DB4773">
        <w:rPr>
          <w:szCs w:val="20"/>
        </w:rPr>
        <w:t xml:space="preserve"> outlined in this section and Appendices A, B and C.</w:t>
      </w:r>
    </w:p>
    <w:p w14:paraId="10DB727D" w14:textId="77777777" w:rsidR="00C36BB1" w:rsidRDefault="00C36BB1" w:rsidP="009D5EFB"/>
    <w:p w14:paraId="55BBC9D1" w14:textId="26EE5103" w:rsidR="007E0C56" w:rsidRDefault="007E0C56">
      <w:pPr>
        <w:spacing w:after="0" w:line="240" w:lineRule="auto"/>
        <w:rPr>
          <w:b/>
          <w:color w:val="323232"/>
          <w:spacing w:val="-18"/>
          <w:sz w:val="53"/>
        </w:rPr>
      </w:pPr>
      <w:r>
        <w:br w:type="page"/>
      </w:r>
    </w:p>
    <w:p w14:paraId="472D0EED" w14:textId="77777777" w:rsidR="00A70851" w:rsidRDefault="00A70851" w:rsidP="00A70851">
      <w:pPr>
        <w:pStyle w:val="Heading1"/>
      </w:pPr>
      <w:bookmarkStart w:id="51" w:name="_Toc26958552"/>
      <w:bookmarkStart w:id="52" w:name="_Toc59007946"/>
      <w:r>
        <w:t>Invitation to comment</w:t>
      </w:r>
      <w:bookmarkEnd w:id="51"/>
      <w:bookmarkEnd w:id="52"/>
    </w:p>
    <w:p w14:paraId="26A2749D" w14:textId="77777777" w:rsidR="00A70851" w:rsidRDefault="00A70851" w:rsidP="00A70851">
      <w:pPr>
        <w:pStyle w:val="Heading2"/>
      </w:pPr>
      <w:bookmarkStart w:id="53" w:name="_Toc433122131"/>
      <w:bookmarkStart w:id="54" w:name="_Toc348105637"/>
      <w:bookmarkStart w:id="55" w:name="_Toc300909556"/>
      <w:bookmarkStart w:id="56" w:name="_Toc298924673"/>
      <w:bookmarkStart w:id="57" w:name="_Toc26958553"/>
      <w:bookmarkStart w:id="58" w:name="_Toc59007947"/>
      <w:bookmarkStart w:id="59" w:name="_Toc348105638"/>
      <w:bookmarkStart w:id="60" w:name="_Toc300909557"/>
      <w:bookmarkStart w:id="61" w:name="_Toc298924674"/>
      <w:bookmarkStart w:id="62" w:name="_Toc274296357"/>
      <w:r>
        <w:t>Making a submission</w:t>
      </w:r>
      <w:bookmarkEnd w:id="53"/>
      <w:bookmarkEnd w:id="54"/>
      <w:bookmarkEnd w:id="55"/>
      <w:bookmarkEnd w:id="56"/>
      <w:bookmarkEnd w:id="57"/>
      <w:bookmarkEnd w:id="58"/>
    </w:p>
    <w:p w14:paraId="41606EB2" w14:textId="2021A877" w:rsidR="00A70851" w:rsidRDefault="00A70851" w:rsidP="00A70851">
      <w:r>
        <w:t xml:space="preserve">The ACMA invites comments on the issues set out in this paper. </w:t>
      </w:r>
    </w:p>
    <w:p w14:paraId="2B837D54" w14:textId="77777777" w:rsidR="00A70851" w:rsidRDefault="007E6547" w:rsidP="00A70851">
      <w:pPr>
        <w:pStyle w:val="Bulletlevel1"/>
      </w:pPr>
      <w:hyperlink r:id="rId37" w:history="1">
        <w:r w:rsidR="00A70851">
          <w:rPr>
            <w:rStyle w:val="Hyperlink"/>
          </w:rPr>
          <w:t>Online submissions</w:t>
        </w:r>
      </w:hyperlink>
      <w:r w:rsidR="00A70851">
        <w:t xml:space="preserve"> can be made via the comment function or by </w:t>
      </w:r>
      <w:r w:rsidR="00A70851" w:rsidRPr="0070133D">
        <w:t>uploading</w:t>
      </w:r>
      <w:r w:rsidR="00A70851">
        <w:t xml:space="preserve"> a document. Submissions in Microsoft Word or Rich Text Format are preferred.</w:t>
      </w:r>
    </w:p>
    <w:p w14:paraId="6E6BD11C" w14:textId="77777777" w:rsidR="00A70851" w:rsidRDefault="00A70851" w:rsidP="00A70851">
      <w:pPr>
        <w:pStyle w:val="Bulletlevel1"/>
      </w:pPr>
      <w:r>
        <w:t xml:space="preserve">Submissions by post can be sent to: </w:t>
      </w:r>
    </w:p>
    <w:p w14:paraId="394217F5" w14:textId="77777777" w:rsidR="00A70851" w:rsidRPr="009E7BE5" w:rsidRDefault="00A70851" w:rsidP="00A70851">
      <w:pPr>
        <w:tabs>
          <w:tab w:val="num" w:pos="295"/>
        </w:tabs>
        <w:spacing w:after="0"/>
        <w:ind w:left="295"/>
        <w:rPr>
          <w:szCs w:val="20"/>
        </w:rPr>
      </w:pPr>
      <w:bookmarkStart w:id="63" w:name="_Hlk26442720"/>
      <w:r w:rsidRPr="009E7BE5">
        <w:rPr>
          <w:szCs w:val="20"/>
        </w:rPr>
        <w:t>The Manager</w:t>
      </w:r>
    </w:p>
    <w:p w14:paraId="379DE45A" w14:textId="25569F50" w:rsidR="00A70851" w:rsidRPr="009E7BE5" w:rsidRDefault="00A70851" w:rsidP="00A70851">
      <w:pPr>
        <w:spacing w:after="0"/>
        <w:ind w:left="295"/>
        <w:rPr>
          <w:szCs w:val="20"/>
        </w:rPr>
      </w:pPr>
      <w:r w:rsidRPr="009E7BE5">
        <w:rPr>
          <w:szCs w:val="20"/>
        </w:rPr>
        <w:t xml:space="preserve">Economics </w:t>
      </w:r>
      <w:r>
        <w:rPr>
          <w:szCs w:val="20"/>
        </w:rPr>
        <w:t>Advisory</w:t>
      </w:r>
    </w:p>
    <w:p w14:paraId="3F4E1C13" w14:textId="77777777" w:rsidR="00A70851" w:rsidRPr="009E7BE5" w:rsidRDefault="00A70851" w:rsidP="00A70851">
      <w:pPr>
        <w:spacing w:after="0"/>
        <w:ind w:left="295"/>
        <w:rPr>
          <w:szCs w:val="20"/>
        </w:rPr>
      </w:pPr>
      <w:r w:rsidRPr="009E7BE5">
        <w:rPr>
          <w:szCs w:val="20"/>
        </w:rPr>
        <w:t>Australian Communications and Media Authority</w:t>
      </w:r>
    </w:p>
    <w:p w14:paraId="3297D467" w14:textId="77777777" w:rsidR="00A70851" w:rsidRPr="009E7BE5" w:rsidRDefault="00A70851" w:rsidP="00A70851">
      <w:pPr>
        <w:tabs>
          <w:tab w:val="num" w:pos="295"/>
        </w:tabs>
        <w:spacing w:after="0"/>
        <w:ind w:left="295"/>
        <w:rPr>
          <w:szCs w:val="20"/>
        </w:rPr>
      </w:pPr>
      <w:r w:rsidRPr="009E7BE5">
        <w:rPr>
          <w:szCs w:val="20"/>
        </w:rPr>
        <w:t>PO Box 13112 Law Courts</w:t>
      </w:r>
    </w:p>
    <w:p w14:paraId="05BC428C" w14:textId="77777777" w:rsidR="00A70851" w:rsidRPr="009E7BE5" w:rsidRDefault="00A70851" w:rsidP="000B6C9B">
      <w:pPr>
        <w:tabs>
          <w:tab w:val="num" w:pos="295"/>
        </w:tabs>
        <w:ind w:left="295"/>
        <w:rPr>
          <w:szCs w:val="20"/>
        </w:rPr>
      </w:pPr>
      <w:r w:rsidRPr="009E7BE5">
        <w:rPr>
          <w:szCs w:val="20"/>
        </w:rPr>
        <w:t>Melbourne Victoria 8010</w:t>
      </w:r>
    </w:p>
    <w:bookmarkEnd w:id="63"/>
    <w:p w14:paraId="2251A125" w14:textId="1A94FA1A" w:rsidR="00A70851" w:rsidRDefault="00A70851" w:rsidP="00A70851">
      <w:pPr>
        <w:spacing w:before="120"/>
      </w:pPr>
      <w:r>
        <w:t xml:space="preserve">The closing date for submissions is </w:t>
      </w:r>
      <w:r w:rsidR="00D85A31" w:rsidRPr="000B6C9B">
        <w:rPr>
          <w:b/>
          <w:bCs/>
        </w:rPr>
        <w:t>Thurs</w:t>
      </w:r>
      <w:r w:rsidR="00B87846" w:rsidRPr="000B6C9B">
        <w:rPr>
          <w:b/>
          <w:bCs/>
        </w:rPr>
        <w:t>day, 1</w:t>
      </w:r>
      <w:r w:rsidR="002A213C" w:rsidRPr="000B6C9B">
        <w:rPr>
          <w:b/>
          <w:bCs/>
        </w:rPr>
        <w:t>8</w:t>
      </w:r>
      <w:r w:rsidR="00B87846" w:rsidRPr="000B6C9B">
        <w:rPr>
          <w:b/>
          <w:bCs/>
        </w:rPr>
        <w:t xml:space="preserve"> February 2021</w:t>
      </w:r>
      <w:r w:rsidR="00B87846">
        <w:t>.</w:t>
      </w:r>
      <w:r>
        <w:rPr>
          <w:rStyle w:val="Strong"/>
        </w:rPr>
        <w:t xml:space="preserve"> </w:t>
      </w:r>
    </w:p>
    <w:p w14:paraId="309FC955" w14:textId="77777777" w:rsidR="00A70851" w:rsidRDefault="00A70851" w:rsidP="00A70851">
      <w:pPr>
        <w:rPr>
          <w:szCs w:val="20"/>
        </w:rPr>
      </w:pPr>
      <w:r>
        <w:t xml:space="preserve">Consultation enquiries can be emailed </w:t>
      </w:r>
      <w:r>
        <w:rPr>
          <w:szCs w:val="20"/>
        </w:rPr>
        <w:t xml:space="preserve">to </w:t>
      </w:r>
      <w:hyperlink r:id="rId38" w:history="1">
        <w:r w:rsidRPr="009E7BE5">
          <w:rPr>
            <w:rStyle w:val="Hyperlink"/>
            <w:szCs w:val="20"/>
          </w:rPr>
          <w:t>spectrumpricing@acma.gov.au</w:t>
        </w:r>
      </w:hyperlink>
      <w:r w:rsidRPr="009E7BE5">
        <w:rPr>
          <w:szCs w:val="20"/>
        </w:rPr>
        <w:t>.</w:t>
      </w:r>
    </w:p>
    <w:p w14:paraId="7CFB80E4" w14:textId="77777777" w:rsidR="00A70851" w:rsidRDefault="00A70851" w:rsidP="00A70851">
      <w:pPr>
        <w:pStyle w:val="Heading4"/>
      </w:pPr>
      <w:bookmarkStart w:id="64" w:name="_Toc348105639"/>
      <w:bookmarkStart w:id="65" w:name="_Toc300909558"/>
      <w:bookmarkEnd w:id="59"/>
      <w:bookmarkEnd w:id="60"/>
      <w:r>
        <w:t xml:space="preserve">Publication of </w:t>
      </w:r>
      <w:r w:rsidRPr="005B2F0D">
        <w:t>submissions</w:t>
      </w:r>
      <w:bookmarkEnd w:id="61"/>
      <w:bookmarkEnd w:id="62"/>
      <w:bookmarkEnd w:id="64"/>
      <w:bookmarkEnd w:id="65"/>
    </w:p>
    <w:p w14:paraId="578CA1D0" w14:textId="77777777" w:rsidR="00A70851" w:rsidRDefault="00A70851" w:rsidP="00A70851">
      <w:bookmarkStart w:id="66" w:name="_Toc348105640"/>
      <w:bookmarkStart w:id="67" w:name="_Toc300909559"/>
      <w:bookmarkStart w:id="68" w:name="_Toc265246234"/>
      <w:r>
        <w:t>The ACMA publishes submissions on our website</w:t>
      </w:r>
      <w:r>
        <w:rPr>
          <w:rFonts w:cs="Arial"/>
        </w:rPr>
        <w:t>, including personal information (such as names and contact details)</w:t>
      </w:r>
      <w:r>
        <w:t xml:space="preserve">, except for information that you have claimed (and we have accepted) is confidential. </w:t>
      </w:r>
    </w:p>
    <w:p w14:paraId="4928937C" w14:textId="77777777" w:rsidR="00A70851" w:rsidRDefault="00A70851" w:rsidP="00A70851">
      <w:r>
        <w:t>Confidential information will not be published or otherwise released unless required or authorised by law.</w:t>
      </w:r>
    </w:p>
    <w:p w14:paraId="34AEDD9B" w14:textId="77777777" w:rsidR="00A70851" w:rsidRDefault="00A70851" w:rsidP="00A70851">
      <w:pPr>
        <w:pStyle w:val="Heading4"/>
      </w:pPr>
      <w:r>
        <w:t>Privacy</w:t>
      </w:r>
    </w:p>
    <w:p w14:paraId="337849D1" w14:textId="77777777" w:rsidR="00A70851" w:rsidRDefault="00A70851" w:rsidP="00A70851">
      <w:pPr>
        <w:pStyle w:val="Paragraph"/>
      </w:pPr>
      <w:r>
        <w:t xml:space="preserve">View information about our policy on the </w:t>
      </w:r>
      <w:hyperlink r:id="rId39" w:history="1">
        <w:r>
          <w:rPr>
            <w:rStyle w:val="Hyperlink"/>
          </w:rPr>
          <w:t>p</w:t>
        </w:r>
        <w:r w:rsidRPr="00E21056">
          <w:rPr>
            <w:rStyle w:val="Hyperlink"/>
          </w:rPr>
          <w:t>ublication of submissions</w:t>
        </w:r>
      </w:hyperlink>
      <w:r>
        <w:t>, including collection of personal information during consultation and how we handle that information.</w:t>
      </w:r>
    </w:p>
    <w:p w14:paraId="28B4ADD8" w14:textId="77777777" w:rsidR="00A70851" w:rsidRDefault="00A70851" w:rsidP="00A70851">
      <w:pPr>
        <w:pStyle w:val="Paragraph"/>
      </w:pPr>
      <w:r>
        <w:t xml:space="preserve">Information on the </w:t>
      </w:r>
      <w:r>
        <w:rPr>
          <w:i/>
        </w:rPr>
        <w:t xml:space="preserve">Privacy Act 1988, </w:t>
      </w:r>
      <w:r>
        <w:t xml:space="preserve">how to access or correct personal information, how to make a privacy complaint and how we will deal with the complaint, is available in our </w:t>
      </w:r>
      <w:hyperlink r:id="rId40" w:history="1">
        <w:r w:rsidRPr="00E21056">
          <w:rPr>
            <w:rStyle w:val="Hyperlink"/>
          </w:rPr>
          <w:t>privacy policy</w:t>
        </w:r>
      </w:hyperlink>
      <w:r>
        <w:t>.</w:t>
      </w:r>
      <w:bookmarkEnd w:id="66"/>
      <w:bookmarkEnd w:id="67"/>
      <w:bookmarkEnd w:id="68"/>
    </w:p>
    <w:p w14:paraId="63F9322A" w14:textId="03B47921" w:rsidR="00A636B5" w:rsidRDefault="007E0C56" w:rsidP="007E0C56">
      <w:pPr>
        <w:pStyle w:val="Heading1"/>
        <w:tabs>
          <w:tab w:val="left" w:pos="4020"/>
        </w:tabs>
      </w:pPr>
      <w:bookmarkStart w:id="69" w:name="_Appendix_A:_Process"/>
      <w:bookmarkStart w:id="70" w:name="_Toc59007948"/>
      <w:bookmarkEnd w:id="69"/>
      <w:r w:rsidRPr="007E0C56">
        <w:t xml:space="preserve">Appendix </w:t>
      </w:r>
      <w:r w:rsidR="0081223F">
        <w:t>A</w:t>
      </w:r>
      <w:r w:rsidRPr="007E0C56">
        <w:t>:</w:t>
      </w:r>
      <w:r w:rsidR="00C06431">
        <w:t xml:space="preserve"> </w:t>
      </w:r>
      <w:r w:rsidR="00DB38CF">
        <w:t>P</w:t>
      </w:r>
      <w:r w:rsidR="00FC54ED" w:rsidRPr="00FC54ED">
        <w:t xml:space="preserve">rocess for </w:t>
      </w:r>
      <w:r w:rsidR="006B1033">
        <w:t xml:space="preserve">deriving </w:t>
      </w:r>
      <w:r w:rsidR="00FC54ED" w:rsidRPr="00FC54ED">
        <w:t>the new location weightings</w:t>
      </w:r>
      <w:bookmarkEnd w:id="70"/>
    </w:p>
    <w:p w14:paraId="1804AA08" w14:textId="36409F5A" w:rsidR="00F03A4B" w:rsidRDefault="00B110A4" w:rsidP="00D141A6">
      <w:pPr>
        <w:rPr>
          <w:lang w:val="en-GB"/>
        </w:rPr>
      </w:pPr>
      <w:r>
        <w:rPr>
          <w:lang w:val="en-GB"/>
        </w:rPr>
        <w:t>T</w:t>
      </w:r>
      <w:r w:rsidR="00D141A6" w:rsidRPr="00011C29">
        <w:rPr>
          <w:lang w:val="en-GB"/>
        </w:rPr>
        <w:t xml:space="preserve">he ACMA compared satellite prices with other jurisdictions (Canada, France, Germany, HK, Luxembourg, NZ, Singapore, UAE, UK and US) and </w:t>
      </w:r>
      <w:r w:rsidR="001A5996">
        <w:rPr>
          <w:lang w:val="en-GB"/>
        </w:rPr>
        <w:t>is prop</w:t>
      </w:r>
      <w:r w:rsidR="00EC1067">
        <w:rPr>
          <w:lang w:val="en-GB"/>
        </w:rPr>
        <w:t xml:space="preserve">osing to </w:t>
      </w:r>
      <w:r w:rsidR="00D141A6" w:rsidRPr="00011C29">
        <w:rPr>
          <w:lang w:val="en-GB"/>
        </w:rPr>
        <w:t xml:space="preserve">reduce location weights to bring Australian satellite prices closer to prices in other jurisdictions. </w:t>
      </w:r>
    </w:p>
    <w:p w14:paraId="772C5796" w14:textId="7C28527B" w:rsidR="00F03A4B" w:rsidRPr="00A0548C" w:rsidRDefault="008203B3" w:rsidP="00F03A4B">
      <w:pPr>
        <w:rPr>
          <w:lang w:val="en-GB"/>
        </w:rPr>
      </w:pPr>
      <w:r>
        <w:rPr>
          <w:lang w:val="en-GB"/>
        </w:rPr>
        <w:t xml:space="preserve">When reducing </w:t>
      </w:r>
      <w:r w:rsidR="00521B57">
        <w:rPr>
          <w:lang w:val="en-GB"/>
        </w:rPr>
        <w:t>the weights t</w:t>
      </w:r>
      <w:r w:rsidR="00F03A4B" w:rsidRPr="00A0548C">
        <w:rPr>
          <w:lang w:val="en-GB"/>
        </w:rPr>
        <w:t xml:space="preserve">he ACMA also compared prices of point to point </w:t>
      </w:r>
      <w:r w:rsidR="00F61106">
        <w:rPr>
          <w:lang w:val="en-GB"/>
        </w:rPr>
        <w:t>licences</w:t>
      </w:r>
      <w:r w:rsidR="00F03A4B" w:rsidRPr="00A0548C">
        <w:rPr>
          <w:lang w:val="en-GB"/>
        </w:rPr>
        <w:t xml:space="preserve"> (another </w:t>
      </w:r>
      <w:r w:rsidR="00BF52B2">
        <w:rPr>
          <w:lang w:val="en-GB"/>
        </w:rPr>
        <w:t xml:space="preserve">major </w:t>
      </w:r>
      <w:r w:rsidR="00F03A4B" w:rsidRPr="00A0548C">
        <w:rPr>
          <w:lang w:val="en-GB"/>
        </w:rPr>
        <w:t xml:space="preserve">service that uses high frequency spectrum) with </w:t>
      </w:r>
      <w:r w:rsidR="00844C5F">
        <w:rPr>
          <w:lang w:val="en-GB"/>
        </w:rPr>
        <w:t>Canada, the UK, and New</w:t>
      </w:r>
      <w:r w:rsidR="00C152F5">
        <w:rPr>
          <w:lang w:val="en-GB"/>
        </w:rPr>
        <w:t xml:space="preserve"> Zealand </w:t>
      </w:r>
      <w:r w:rsidR="00B3480F">
        <w:rPr>
          <w:lang w:val="en-GB"/>
        </w:rPr>
        <w:t xml:space="preserve">to </w:t>
      </w:r>
      <w:r w:rsidR="00F03A4B" w:rsidRPr="00A0548C">
        <w:rPr>
          <w:lang w:val="en-GB"/>
        </w:rPr>
        <w:t xml:space="preserve">check that the proposed changes to location weights were </w:t>
      </w:r>
      <w:r w:rsidR="003D7BD5">
        <w:rPr>
          <w:lang w:val="en-GB"/>
        </w:rPr>
        <w:t xml:space="preserve">broadly </w:t>
      </w:r>
      <w:r w:rsidR="00F03A4B" w:rsidRPr="00A0548C">
        <w:rPr>
          <w:lang w:val="en-GB"/>
        </w:rPr>
        <w:t xml:space="preserve">consistent with </w:t>
      </w:r>
      <w:r w:rsidR="00580600">
        <w:rPr>
          <w:lang w:val="en-GB"/>
        </w:rPr>
        <w:t>like</w:t>
      </w:r>
      <w:r w:rsidR="00580600" w:rsidRPr="00A0548C">
        <w:rPr>
          <w:lang w:val="en-GB"/>
        </w:rPr>
        <w:t xml:space="preserve"> </w:t>
      </w:r>
      <w:r w:rsidR="00F03A4B" w:rsidRPr="00A0548C">
        <w:rPr>
          <w:lang w:val="en-GB"/>
        </w:rPr>
        <w:t>services</w:t>
      </w:r>
      <w:r w:rsidR="00EB03E3">
        <w:rPr>
          <w:lang w:val="en-GB"/>
        </w:rPr>
        <w:t xml:space="preserve"> </w:t>
      </w:r>
      <w:r w:rsidR="00580600">
        <w:rPr>
          <w:lang w:val="en-GB"/>
        </w:rPr>
        <w:t>i</w:t>
      </w:r>
      <w:r w:rsidR="00EB03E3">
        <w:rPr>
          <w:lang w:val="en-GB"/>
        </w:rPr>
        <w:t>n other countries</w:t>
      </w:r>
      <w:r w:rsidR="00F03A4B" w:rsidRPr="00A0548C">
        <w:rPr>
          <w:lang w:val="en-GB"/>
        </w:rPr>
        <w:t xml:space="preserve">. </w:t>
      </w:r>
    </w:p>
    <w:p w14:paraId="3FDE7700" w14:textId="682E0993" w:rsidR="00D81627" w:rsidRDefault="00F03A4B" w:rsidP="00F03A4B">
      <w:pPr>
        <w:rPr>
          <w:lang w:val="en-GB"/>
        </w:rPr>
      </w:pPr>
      <w:r w:rsidRPr="00BF40C3">
        <w:rPr>
          <w:lang w:val="en-GB"/>
        </w:rPr>
        <w:t xml:space="preserve">These </w:t>
      </w:r>
      <w:r w:rsidR="00E47D67">
        <w:rPr>
          <w:lang w:val="en-GB"/>
        </w:rPr>
        <w:t xml:space="preserve">simple </w:t>
      </w:r>
      <w:r w:rsidRPr="00BF40C3">
        <w:rPr>
          <w:lang w:val="en-GB"/>
        </w:rPr>
        <w:t xml:space="preserve">comparisons implied </w:t>
      </w:r>
      <w:r w:rsidR="00E83E5E">
        <w:rPr>
          <w:lang w:val="en-GB"/>
        </w:rPr>
        <w:t xml:space="preserve">that </w:t>
      </w:r>
      <w:r w:rsidR="00961F52">
        <w:rPr>
          <w:lang w:val="en-GB"/>
        </w:rPr>
        <w:t xml:space="preserve">we could reduce </w:t>
      </w:r>
      <w:r w:rsidRPr="00BF40C3">
        <w:rPr>
          <w:lang w:val="en-GB"/>
        </w:rPr>
        <w:t>weighting</w:t>
      </w:r>
      <w:r w:rsidR="00C83273">
        <w:rPr>
          <w:lang w:val="en-GB"/>
        </w:rPr>
        <w:t>s</w:t>
      </w:r>
      <w:r w:rsidRPr="00BF40C3">
        <w:rPr>
          <w:lang w:val="en-GB"/>
        </w:rPr>
        <w:t xml:space="preserve"> </w:t>
      </w:r>
      <w:r w:rsidR="00AF2557">
        <w:rPr>
          <w:lang w:val="en-GB"/>
        </w:rPr>
        <w:t xml:space="preserve">in the </w:t>
      </w:r>
      <w:r w:rsidR="00AF2557" w:rsidRPr="00BF40C3">
        <w:rPr>
          <w:lang w:val="en-GB"/>
        </w:rPr>
        <w:t>&gt;14.5 to 31.3</w:t>
      </w:r>
      <w:r w:rsidR="00580600">
        <w:rPr>
          <w:lang w:val="en-GB"/>
        </w:rPr>
        <w:t xml:space="preserve"> </w:t>
      </w:r>
      <w:r w:rsidR="00AF2557" w:rsidRPr="00BF40C3">
        <w:rPr>
          <w:lang w:val="en-GB"/>
        </w:rPr>
        <w:t xml:space="preserve">GHz band </w:t>
      </w:r>
      <w:r w:rsidR="00C43303">
        <w:rPr>
          <w:lang w:val="en-GB"/>
        </w:rPr>
        <w:t>and higher</w:t>
      </w:r>
      <w:r w:rsidR="00BE4910">
        <w:rPr>
          <w:lang w:val="en-GB"/>
        </w:rPr>
        <w:t xml:space="preserve"> frequency ranges </w:t>
      </w:r>
      <w:r w:rsidR="00AF2557">
        <w:rPr>
          <w:lang w:val="en-GB"/>
        </w:rPr>
        <w:t xml:space="preserve">to </w:t>
      </w:r>
      <w:r w:rsidRPr="00BF40C3">
        <w:rPr>
          <w:lang w:val="en-GB"/>
        </w:rPr>
        <w:t>10% of the current weighting</w:t>
      </w:r>
      <w:r w:rsidR="00BE4910">
        <w:rPr>
          <w:lang w:val="en-GB"/>
        </w:rPr>
        <w:t>s</w:t>
      </w:r>
      <w:r w:rsidRPr="00BF40C3">
        <w:rPr>
          <w:lang w:val="en-GB"/>
        </w:rPr>
        <w:t>. Given the shorter propagation</w:t>
      </w:r>
      <w:r w:rsidR="003C5409">
        <w:rPr>
          <w:lang w:val="en-GB"/>
        </w:rPr>
        <w:t xml:space="preserve"> and </w:t>
      </w:r>
      <w:r w:rsidRPr="00BF40C3">
        <w:rPr>
          <w:lang w:val="en-GB"/>
        </w:rPr>
        <w:t xml:space="preserve">higher reuse for </w:t>
      </w:r>
      <w:r w:rsidR="003C5409">
        <w:rPr>
          <w:lang w:val="en-GB"/>
        </w:rPr>
        <w:t xml:space="preserve">these </w:t>
      </w:r>
      <w:r w:rsidRPr="00BF40C3">
        <w:rPr>
          <w:lang w:val="en-GB"/>
        </w:rPr>
        <w:t>higher frequencies, the ACMA proposes graduated reductions to weights in the &gt;8.5 to 14.5</w:t>
      </w:r>
      <w:r w:rsidR="001C1C3F">
        <w:rPr>
          <w:lang w:val="en-GB"/>
        </w:rPr>
        <w:t xml:space="preserve"> </w:t>
      </w:r>
      <w:r w:rsidRPr="00BF40C3">
        <w:rPr>
          <w:lang w:val="en-GB"/>
        </w:rPr>
        <w:t xml:space="preserve">GHz band of 50%, and </w:t>
      </w:r>
      <w:r w:rsidR="00613690">
        <w:rPr>
          <w:lang w:val="en-GB"/>
        </w:rPr>
        <w:t>2</w:t>
      </w:r>
      <w:r w:rsidR="00613690" w:rsidRPr="00BF40C3">
        <w:rPr>
          <w:lang w:val="en-GB"/>
        </w:rPr>
        <w:t>5</w:t>
      </w:r>
      <w:r w:rsidRPr="00BF40C3">
        <w:rPr>
          <w:lang w:val="en-GB"/>
        </w:rPr>
        <w:t>% for the &gt;5.0 to 8.5</w:t>
      </w:r>
      <w:r w:rsidR="001C1C3F">
        <w:rPr>
          <w:lang w:val="en-GB"/>
        </w:rPr>
        <w:t xml:space="preserve"> </w:t>
      </w:r>
      <w:r w:rsidRPr="00BF40C3">
        <w:rPr>
          <w:lang w:val="en-GB"/>
        </w:rPr>
        <w:t>GHz bands.</w:t>
      </w:r>
      <w:r w:rsidR="003F5694">
        <w:rPr>
          <w:lang w:val="en-GB"/>
        </w:rPr>
        <w:t xml:space="preserve"> </w:t>
      </w:r>
    </w:p>
    <w:p w14:paraId="7990669A" w14:textId="2D925101" w:rsidR="00F03A4B" w:rsidRPr="00BF40C3" w:rsidRDefault="00B6089A" w:rsidP="00F03A4B">
      <w:pPr>
        <w:rPr>
          <w:lang w:val="en-GB"/>
        </w:rPr>
      </w:pPr>
      <w:r>
        <w:rPr>
          <w:lang w:val="en-GB"/>
        </w:rPr>
        <w:t>While the analysis focused on satellite services</w:t>
      </w:r>
      <w:r w:rsidR="00C907FA">
        <w:rPr>
          <w:lang w:val="en-GB"/>
        </w:rPr>
        <w:t>, t</w:t>
      </w:r>
      <w:r w:rsidR="008A49EF">
        <w:rPr>
          <w:lang w:val="en-GB"/>
        </w:rPr>
        <w:t xml:space="preserve">he proposed weightings would apply to all services </w:t>
      </w:r>
      <w:r w:rsidR="003209E8">
        <w:rPr>
          <w:lang w:val="en-GB"/>
        </w:rPr>
        <w:t xml:space="preserve">where the taxes are calculated </w:t>
      </w:r>
      <w:r w:rsidR="00437051">
        <w:rPr>
          <w:lang w:val="en-GB"/>
        </w:rPr>
        <w:t>using</w:t>
      </w:r>
      <w:r w:rsidR="003209E8">
        <w:rPr>
          <w:lang w:val="en-GB"/>
        </w:rPr>
        <w:t xml:space="preserve"> the apparatus licence tax formula.</w:t>
      </w:r>
      <w:r w:rsidR="00BA4A1C">
        <w:rPr>
          <w:rStyle w:val="FootnoteReference"/>
          <w:lang w:val="en-GB"/>
        </w:rPr>
        <w:footnoteReference w:id="7"/>
      </w:r>
      <w:r w:rsidR="00F03A4B" w:rsidRPr="00BF40C3">
        <w:rPr>
          <w:lang w:val="en-GB"/>
        </w:rPr>
        <w:t xml:space="preserve"> </w:t>
      </w:r>
    </w:p>
    <w:p w14:paraId="23EFBA03" w14:textId="7D4FF55F" w:rsidR="00D141A6" w:rsidRDefault="005A60E9" w:rsidP="00A347DE">
      <w:pPr>
        <w:pStyle w:val="Paragraphbeforelist"/>
        <w:rPr>
          <w:lang w:val="en-GB"/>
        </w:rPr>
      </w:pPr>
      <w:r>
        <w:rPr>
          <w:lang w:val="en-GB"/>
        </w:rPr>
        <w:fldChar w:fldCharType="begin"/>
      </w:r>
      <w:r>
        <w:rPr>
          <w:lang w:val="en-GB"/>
        </w:rPr>
        <w:instrText xml:space="preserve"> REF _Ref56701395 \h </w:instrText>
      </w:r>
      <w:r>
        <w:rPr>
          <w:lang w:val="en-GB"/>
        </w:rPr>
      </w:r>
      <w:r>
        <w:rPr>
          <w:lang w:val="en-GB"/>
        </w:rPr>
        <w:fldChar w:fldCharType="separate"/>
      </w:r>
      <w:r w:rsidR="008F5FD6">
        <w:t xml:space="preserve">Figure </w:t>
      </w:r>
      <w:r w:rsidR="008F5FD6">
        <w:rPr>
          <w:noProof/>
        </w:rPr>
        <w:t>1</w:t>
      </w:r>
      <w:r>
        <w:rPr>
          <w:lang w:val="en-GB"/>
        </w:rPr>
        <w:fldChar w:fldCharType="end"/>
      </w:r>
      <w:r>
        <w:rPr>
          <w:lang w:val="en-GB"/>
        </w:rPr>
        <w:t xml:space="preserve"> illustrates </w:t>
      </w:r>
      <w:r w:rsidR="00A66161">
        <w:rPr>
          <w:lang w:val="en-GB"/>
        </w:rPr>
        <w:t xml:space="preserve">an international price </w:t>
      </w:r>
      <w:r w:rsidR="00E65601">
        <w:rPr>
          <w:lang w:val="en-GB"/>
        </w:rPr>
        <w:t xml:space="preserve">comparison of two typical </w:t>
      </w:r>
      <w:r w:rsidR="006E406B">
        <w:rPr>
          <w:lang w:val="en-GB"/>
        </w:rPr>
        <w:t xml:space="preserve">earth station </w:t>
      </w:r>
      <w:r w:rsidR="00E65601">
        <w:rPr>
          <w:lang w:val="en-GB"/>
        </w:rPr>
        <w:t xml:space="preserve">services in </w:t>
      </w:r>
      <w:r w:rsidR="00F65E3B">
        <w:rPr>
          <w:lang w:val="en-GB"/>
        </w:rPr>
        <w:t xml:space="preserve">the </w:t>
      </w:r>
      <w:r w:rsidR="00F65E3B" w:rsidRPr="00F65E3B">
        <w:rPr>
          <w:lang w:val="en-GB"/>
        </w:rPr>
        <w:t>&gt;14.5 to 31.3</w:t>
      </w:r>
      <w:r w:rsidR="00B837F2">
        <w:rPr>
          <w:lang w:val="en-GB"/>
        </w:rPr>
        <w:t xml:space="preserve"> </w:t>
      </w:r>
      <w:r w:rsidR="00F65E3B" w:rsidRPr="00F65E3B">
        <w:rPr>
          <w:lang w:val="en-GB"/>
        </w:rPr>
        <w:t>GHz</w:t>
      </w:r>
      <w:r w:rsidR="00F65E3B">
        <w:rPr>
          <w:lang w:val="en-GB"/>
        </w:rPr>
        <w:t xml:space="preserve"> band</w:t>
      </w:r>
      <w:r w:rsidR="005B0F5D">
        <w:rPr>
          <w:lang w:val="en-GB"/>
        </w:rPr>
        <w:t xml:space="preserve"> using current weightings</w:t>
      </w:r>
      <w:r w:rsidR="006E406B">
        <w:rPr>
          <w:lang w:val="en-GB"/>
        </w:rPr>
        <w:t xml:space="preserve">: </w:t>
      </w:r>
    </w:p>
    <w:p w14:paraId="69783378" w14:textId="48487A24" w:rsidR="006E406B" w:rsidRDefault="00B8419E" w:rsidP="00A347DE">
      <w:pPr>
        <w:pStyle w:val="ListBullet"/>
        <w:rPr>
          <w:lang w:val="en-GB"/>
        </w:rPr>
      </w:pPr>
      <w:r>
        <w:rPr>
          <w:lang w:val="en-GB"/>
        </w:rPr>
        <w:t>Example 1: 18 GHz Receive / 28 GHz transmit – 216 MHz bandwidth, 500W transmission</w:t>
      </w:r>
      <w:r w:rsidR="00A249B5">
        <w:rPr>
          <w:lang w:val="en-GB"/>
        </w:rPr>
        <w:t xml:space="preserve"> power</w:t>
      </w:r>
      <w:r w:rsidR="0061659C">
        <w:rPr>
          <w:lang w:val="en-GB"/>
        </w:rPr>
        <w:t>.</w:t>
      </w:r>
    </w:p>
    <w:p w14:paraId="642C915C" w14:textId="7F852728" w:rsidR="00A249B5" w:rsidRDefault="00A249B5" w:rsidP="00A347DE">
      <w:pPr>
        <w:pStyle w:val="ListBulletLast"/>
        <w:rPr>
          <w:lang w:val="en-GB"/>
        </w:rPr>
      </w:pPr>
      <w:r>
        <w:rPr>
          <w:lang w:val="en-GB"/>
        </w:rPr>
        <w:t>Example 2: 18 GHz Receive / 28 GHz transmit – 1000 MHz bandwidth, 500W transmission power</w:t>
      </w:r>
      <w:r w:rsidR="00B837F2">
        <w:rPr>
          <w:lang w:val="en-GB"/>
        </w:rPr>
        <w:t>.</w:t>
      </w:r>
    </w:p>
    <w:p w14:paraId="5ECA66CF" w14:textId="567A839F" w:rsidR="00E65601" w:rsidRDefault="0043632D" w:rsidP="00D141A6">
      <w:pPr>
        <w:rPr>
          <w:lang w:val="en-GB"/>
        </w:rPr>
      </w:pPr>
      <w:r>
        <w:rPr>
          <w:lang w:val="en-GB"/>
        </w:rPr>
        <w:t>Figure 1 shows that c</w:t>
      </w:r>
      <w:r w:rsidR="001E6D20">
        <w:rPr>
          <w:lang w:val="en-GB"/>
        </w:rPr>
        <w:t>urrent t</w:t>
      </w:r>
      <w:r w:rsidR="004E0513">
        <w:rPr>
          <w:lang w:val="en-GB"/>
        </w:rPr>
        <w:t xml:space="preserve">axes for these </w:t>
      </w:r>
      <w:r w:rsidR="00763ABC">
        <w:rPr>
          <w:lang w:val="en-GB"/>
        </w:rPr>
        <w:t xml:space="preserve">examples </w:t>
      </w:r>
      <w:r w:rsidR="003B1DF0">
        <w:rPr>
          <w:lang w:val="en-GB"/>
        </w:rPr>
        <w:t xml:space="preserve">in Australia for </w:t>
      </w:r>
      <w:r w:rsidR="00C1390F">
        <w:rPr>
          <w:lang w:val="en-GB"/>
        </w:rPr>
        <w:t>Australia-wide, high-density, and medium density</w:t>
      </w:r>
      <w:r w:rsidR="00B31035">
        <w:rPr>
          <w:lang w:val="en-GB"/>
        </w:rPr>
        <w:t xml:space="preserve"> areas</w:t>
      </w:r>
      <w:r w:rsidR="00C1390F">
        <w:rPr>
          <w:lang w:val="en-GB"/>
        </w:rPr>
        <w:t xml:space="preserve"> </w:t>
      </w:r>
      <w:r w:rsidR="00681FF2">
        <w:rPr>
          <w:lang w:val="en-GB"/>
        </w:rPr>
        <w:t xml:space="preserve">are </w:t>
      </w:r>
      <w:r w:rsidR="001F687D">
        <w:rPr>
          <w:lang w:val="en-GB"/>
        </w:rPr>
        <w:t xml:space="preserve">significantly higher compared with other </w:t>
      </w:r>
      <w:r w:rsidR="00B61E43">
        <w:rPr>
          <w:lang w:val="en-GB"/>
        </w:rPr>
        <w:t xml:space="preserve">countries. </w:t>
      </w:r>
    </w:p>
    <w:p w14:paraId="4720369D" w14:textId="6311A34A" w:rsidR="001B41CE" w:rsidRDefault="005A60E9" w:rsidP="00AC177A">
      <w:pPr>
        <w:pStyle w:val="Figureheading"/>
        <w:numPr>
          <w:ilvl w:val="0"/>
          <w:numId w:val="0"/>
        </w:numPr>
        <w:ind w:left="1021" w:hanging="1021"/>
      </w:pPr>
      <w:bookmarkStart w:id="71" w:name="_Ref56701395"/>
      <w:r>
        <w:t xml:space="preserve">Figure </w:t>
      </w:r>
      <w:fldSimple w:instr=" SEQ Figure \* ARABIC ">
        <w:r w:rsidR="008F5FD6">
          <w:rPr>
            <w:noProof/>
          </w:rPr>
          <w:t>1</w:t>
        </w:r>
      </w:fldSimple>
      <w:bookmarkEnd w:id="71"/>
      <w:r w:rsidR="00AC3D82">
        <w:t xml:space="preserve">: </w:t>
      </w:r>
      <w:r w:rsidR="0061659C">
        <w:t>I</w:t>
      </w:r>
      <w:r w:rsidR="00AC3D82">
        <w:t xml:space="preserve">nternational comparison </w:t>
      </w:r>
      <w:r w:rsidR="00EE279B">
        <w:t>– current weightings</w:t>
      </w:r>
    </w:p>
    <w:p w14:paraId="158728AE" w14:textId="736473CC" w:rsidR="00E620A9" w:rsidRDefault="009C4090" w:rsidP="00F6550E">
      <w:r>
        <w:rPr>
          <w:noProof/>
        </w:rPr>
        <w:drawing>
          <wp:inline distT="0" distB="0" distL="0" distR="0" wp14:anchorId="6FBB4D3F" wp14:editId="1F4A96B8">
            <wp:extent cx="4871085" cy="2741295"/>
            <wp:effectExtent l="0" t="0" r="5715" b="1905"/>
            <wp:docPr id="3" name="Picture 3" descr="Figure 1: International comparison – current weigh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nternational comparison – current weightings"/>
                    <pic:cNvPicPr/>
                  </pic:nvPicPr>
                  <pic:blipFill>
                    <a:blip r:embed="rId41"/>
                    <a:stretch>
                      <a:fillRect/>
                    </a:stretch>
                  </pic:blipFill>
                  <pic:spPr>
                    <a:xfrm>
                      <a:off x="0" y="0"/>
                      <a:ext cx="4871085" cy="2741295"/>
                    </a:xfrm>
                    <a:prstGeom prst="rect">
                      <a:avLst/>
                    </a:prstGeom>
                  </pic:spPr>
                </pic:pic>
              </a:graphicData>
            </a:graphic>
          </wp:inline>
        </w:drawing>
      </w:r>
    </w:p>
    <w:p w14:paraId="78A7DEA8" w14:textId="230822F4" w:rsidR="004D0E14" w:rsidRPr="00B51A84" w:rsidRDefault="004D0E14" w:rsidP="00AA06F3">
      <w:pPr>
        <w:pStyle w:val="Tableorfigurenote"/>
        <w:rPr>
          <w:lang w:val="en-GB"/>
        </w:rPr>
      </w:pPr>
      <w:r w:rsidRPr="00B51A84">
        <w:rPr>
          <w:lang w:val="en-GB"/>
        </w:rPr>
        <w:t>Source: ACMA analysis</w:t>
      </w:r>
      <w:r w:rsidR="00903190">
        <w:rPr>
          <w:lang w:val="en-GB"/>
        </w:rPr>
        <w:t>.</w:t>
      </w:r>
    </w:p>
    <w:p w14:paraId="40A718D2" w14:textId="1C248143" w:rsidR="00F6550E" w:rsidRPr="004116F4" w:rsidRDefault="00AA0197" w:rsidP="00B16D1F">
      <w:pPr>
        <w:keepNext/>
        <w:keepLines/>
      </w:pPr>
      <w:r>
        <w:rPr>
          <w:lang w:val="en-GB"/>
        </w:rPr>
        <w:fldChar w:fldCharType="begin"/>
      </w:r>
      <w:r>
        <w:rPr>
          <w:lang w:val="en-GB"/>
        </w:rPr>
        <w:instrText xml:space="preserve"> REF _Ref56702100 \h </w:instrText>
      </w:r>
      <w:r>
        <w:rPr>
          <w:lang w:val="en-GB"/>
        </w:rPr>
      </w:r>
      <w:r>
        <w:rPr>
          <w:lang w:val="en-GB"/>
        </w:rPr>
        <w:fldChar w:fldCharType="separate"/>
      </w:r>
      <w:r>
        <w:t xml:space="preserve">Figure </w:t>
      </w:r>
      <w:r>
        <w:rPr>
          <w:noProof/>
        </w:rPr>
        <w:t>2</w:t>
      </w:r>
      <w:r>
        <w:rPr>
          <w:lang w:val="en-GB"/>
        </w:rPr>
        <w:fldChar w:fldCharType="end"/>
      </w:r>
      <w:r>
        <w:rPr>
          <w:lang w:val="en-GB"/>
        </w:rPr>
        <w:t xml:space="preserve"> illustrate</w:t>
      </w:r>
      <w:r w:rsidR="00AE55E8">
        <w:rPr>
          <w:lang w:val="en-GB"/>
        </w:rPr>
        <w:t>s</w:t>
      </w:r>
      <w:r w:rsidR="00A27DBD">
        <w:rPr>
          <w:lang w:val="en-GB"/>
        </w:rPr>
        <w:t xml:space="preserve"> the impact of the proposed weightings</w:t>
      </w:r>
      <w:r w:rsidR="009C5004">
        <w:rPr>
          <w:lang w:val="en-GB"/>
        </w:rPr>
        <w:t xml:space="preserve"> </w:t>
      </w:r>
      <w:r w:rsidR="00CE5D63">
        <w:rPr>
          <w:lang w:val="en-GB"/>
        </w:rPr>
        <w:t xml:space="preserve">on the </w:t>
      </w:r>
      <w:r>
        <w:rPr>
          <w:lang w:val="en-GB"/>
        </w:rPr>
        <w:t xml:space="preserve">international price comparison of the same two earth station services in the </w:t>
      </w:r>
      <w:r w:rsidRPr="00F65E3B">
        <w:rPr>
          <w:lang w:val="en-GB"/>
        </w:rPr>
        <w:t>&gt;14.5 to 31.3</w:t>
      </w:r>
      <w:r w:rsidR="00B837F2">
        <w:rPr>
          <w:lang w:val="en-GB"/>
        </w:rPr>
        <w:t xml:space="preserve"> </w:t>
      </w:r>
      <w:r w:rsidRPr="00F65E3B">
        <w:rPr>
          <w:lang w:val="en-GB"/>
        </w:rPr>
        <w:t>GHz</w:t>
      </w:r>
      <w:r>
        <w:rPr>
          <w:lang w:val="en-GB"/>
        </w:rPr>
        <w:t xml:space="preserve"> band</w:t>
      </w:r>
      <w:r w:rsidR="00C42EEE">
        <w:rPr>
          <w:lang w:val="en-GB"/>
        </w:rPr>
        <w:t xml:space="preserve">. </w:t>
      </w:r>
      <w:r w:rsidR="008B4FC0">
        <w:rPr>
          <w:lang w:val="en-GB"/>
        </w:rPr>
        <w:t xml:space="preserve">These proposed weightings </w:t>
      </w:r>
      <w:r w:rsidR="00B837F2">
        <w:rPr>
          <w:lang w:val="en-GB"/>
        </w:rPr>
        <w:t>would result in</w:t>
      </w:r>
      <w:r w:rsidR="008B4FC0">
        <w:rPr>
          <w:lang w:val="en-GB"/>
        </w:rPr>
        <w:t xml:space="preserve"> </w:t>
      </w:r>
      <w:r w:rsidR="00805CA3">
        <w:rPr>
          <w:lang w:val="en-GB"/>
        </w:rPr>
        <w:t xml:space="preserve">Australian licence taxes </w:t>
      </w:r>
      <w:r w:rsidR="00E538FB">
        <w:rPr>
          <w:lang w:val="en-GB"/>
        </w:rPr>
        <w:t xml:space="preserve">that </w:t>
      </w:r>
      <w:r w:rsidR="00805CA3">
        <w:rPr>
          <w:lang w:val="en-GB"/>
        </w:rPr>
        <w:t xml:space="preserve">are </w:t>
      </w:r>
      <w:r w:rsidR="00D97C04">
        <w:rPr>
          <w:lang w:val="en-GB"/>
        </w:rPr>
        <w:t>much closer to other countries</w:t>
      </w:r>
      <w:r w:rsidR="00B05A32">
        <w:rPr>
          <w:lang w:val="en-GB"/>
        </w:rPr>
        <w:t>, noting that variances</w:t>
      </w:r>
      <w:r w:rsidR="001A49CF">
        <w:rPr>
          <w:lang w:val="en-GB"/>
        </w:rPr>
        <w:t xml:space="preserve"> in taxes do occur across different</w:t>
      </w:r>
      <w:r w:rsidR="002126C1">
        <w:rPr>
          <w:lang w:val="en-GB"/>
        </w:rPr>
        <w:t xml:space="preserve"> countries</w:t>
      </w:r>
      <w:r w:rsidR="006E5603">
        <w:rPr>
          <w:lang w:val="en-GB"/>
        </w:rPr>
        <w:t xml:space="preserve">. </w:t>
      </w:r>
    </w:p>
    <w:p w14:paraId="0A1A7E75" w14:textId="7BF46949" w:rsidR="00EE279B" w:rsidRDefault="00AC3D82" w:rsidP="00B16D1F">
      <w:pPr>
        <w:pStyle w:val="Figureheading"/>
        <w:numPr>
          <w:ilvl w:val="0"/>
          <w:numId w:val="0"/>
        </w:numPr>
        <w:ind w:left="1021" w:hanging="1021"/>
      </w:pPr>
      <w:bookmarkStart w:id="72" w:name="_Ref56702100"/>
      <w:r>
        <w:t xml:space="preserve">Figure </w:t>
      </w:r>
      <w:fldSimple w:instr=" SEQ Figure \* ARABIC ">
        <w:r w:rsidR="008F5FD6">
          <w:rPr>
            <w:noProof/>
          </w:rPr>
          <w:t>2</w:t>
        </w:r>
      </w:fldSimple>
      <w:bookmarkEnd w:id="72"/>
      <w:r>
        <w:t xml:space="preserve">: </w:t>
      </w:r>
      <w:r w:rsidR="0061659C">
        <w:t>I</w:t>
      </w:r>
      <w:r w:rsidR="00EE279B">
        <w:t>nternational comparison – proposed weightings</w:t>
      </w:r>
    </w:p>
    <w:p w14:paraId="4FDE44C9" w14:textId="1D01B4CE" w:rsidR="00A06CD5" w:rsidRDefault="00A06CD5" w:rsidP="004116F4">
      <w:pPr>
        <w:rPr>
          <w:lang w:val="en-GB"/>
        </w:rPr>
      </w:pPr>
      <w:r>
        <w:rPr>
          <w:noProof/>
        </w:rPr>
        <w:drawing>
          <wp:inline distT="0" distB="0" distL="0" distR="0" wp14:anchorId="6581F7E2" wp14:editId="6184BEBD">
            <wp:extent cx="4871085" cy="2759075"/>
            <wp:effectExtent l="0" t="0" r="5715" b="3175"/>
            <wp:docPr id="2" name="Picture 2" descr="Figure 2: International comparison – proposed weigh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International comparison – proposed weightings"/>
                    <pic:cNvPicPr/>
                  </pic:nvPicPr>
                  <pic:blipFill>
                    <a:blip r:embed="rId42"/>
                    <a:stretch>
                      <a:fillRect/>
                    </a:stretch>
                  </pic:blipFill>
                  <pic:spPr>
                    <a:xfrm>
                      <a:off x="0" y="0"/>
                      <a:ext cx="4871085" cy="2759075"/>
                    </a:xfrm>
                    <a:prstGeom prst="rect">
                      <a:avLst/>
                    </a:prstGeom>
                  </pic:spPr>
                </pic:pic>
              </a:graphicData>
            </a:graphic>
          </wp:inline>
        </w:drawing>
      </w:r>
    </w:p>
    <w:p w14:paraId="75FAE02C" w14:textId="77549912" w:rsidR="004D0E14" w:rsidRPr="00F2042B" w:rsidRDefault="004D0E14" w:rsidP="00AA06F3">
      <w:pPr>
        <w:pStyle w:val="Tableorfigurenote"/>
        <w:rPr>
          <w:lang w:val="en-GB"/>
        </w:rPr>
      </w:pPr>
      <w:r w:rsidRPr="00F2042B">
        <w:rPr>
          <w:lang w:val="en-GB"/>
        </w:rPr>
        <w:t>Source: ACMA analysis</w:t>
      </w:r>
      <w:r w:rsidR="00F80D6C">
        <w:rPr>
          <w:lang w:val="en-GB"/>
        </w:rPr>
        <w:t>.</w:t>
      </w:r>
    </w:p>
    <w:p w14:paraId="35857A03" w14:textId="32977F89" w:rsidR="007E0C56" w:rsidRDefault="00A636B5" w:rsidP="007E0C56">
      <w:pPr>
        <w:pStyle w:val="Heading1"/>
        <w:tabs>
          <w:tab w:val="left" w:pos="4020"/>
        </w:tabs>
      </w:pPr>
      <w:bookmarkStart w:id="73" w:name="_Appendix_B:_Micro"/>
      <w:bookmarkStart w:id="74" w:name="_Toc59007949"/>
      <w:bookmarkEnd w:id="73"/>
      <w:r w:rsidRPr="007E0C56">
        <w:t>Appendix</w:t>
      </w:r>
      <w:r>
        <w:t xml:space="preserve"> B</w:t>
      </w:r>
      <w:r w:rsidRPr="007E0C56">
        <w:t>:</w:t>
      </w:r>
      <w:r>
        <w:t xml:space="preserve"> </w:t>
      </w:r>
      <w:r w:rsidR="00C06431">
        <w:t>Micro service pricing and a systems approach to earth stations</w:t>
      </w:r>
      <w:bookmarkEnd w:id="74"/>
    </w:p>
    <w:p w14:paraId="7864B82D" w14:textId="591351E1" w:rsidR="007E0C56" w:rsidRDefault="007E0C56" w:rsidP="007E0C56">
      <w:pPr>
        <w:pStyle w:val="Heading3"/>
      </w:pPr>
      <w:r w:rsidRPr="57587F47">
        <w:rPr>
          <w:lang w:val="en-GB"/>
        </w:rPr>
        <w:t xml:space="preserve">Additional discount for land-mobile </w:t>
      </w:r>
      <w:r>
        <w:rPr>
          <w:lang w:val="en-GB"/>
        </w:rPr>
        <w:t>‘</w:t>
      </w:r>
      <w:r w:rsidRPr="57587F47">
        <w:rPr>
          <w:lang w:val="en-GB"/>
        </w:rPr>
        <w:t>micro</w:t>
      </w:r>
      <w:r>
        <w:rPr>
          <w:lang w:val="en-GB"/>
        </w:rPr>
        <w:t>’</w:t>
      </w:r>
      <w:r w:rsidRPr="57587F47">
        <w:rPr>
          <w:lang w:val="en-GB"/>
        </w:rPr>
        <w:t xml:space="preserve"> service model </w:t>
      </w:r>
    </w:p>
    <w:p w14:paraId="4AFA956D" w14:textId="3596D0D2" w:rsidR="007E0C56" w:rsidRDefault="007E0C56" w:rsidP="007E0C56">
      <w:pPr>
        <w:rPr>
          <w:lang w:val="en-GB"/>
        </w:rPr>
      </w:pPr>
      <w:bookmarkStart w:id="75" w:name="_Hlk56441535"/>
      <w:bookmarkStart w:id="76" w:name="_Hlk56442377"/>
      <w:r>
        <w:t>The Australian Radio Communications Industry Association (</w:t>
      </w:r>
      <w:r w:rsidRPr="3A15D5BB">
        <w:rPr>
          <w:lang w:val="en-GB"/>
        </w:rPr>
        <w:t xml:space="preserve">ARCIA) advocated for a new price discount to encourage the use of the </w:t>
      </w:r>
      <w:r w:rsidR="0061659C">
        <w:rPr>
          <w:lang w:val="en-GB"/>
        </w:rPr>
        <w:t>‘</w:t>
      </w:r>
      <w:r w:rsidRPr="3A15D5BB">
        <w:rPr>
          <w:lang w:val="en-GB"/>
        </w:rPr>
        <w:t>Enclosed and Short-range Digital Service</w:t>
      </w:r>
      <w:r w:rsidR="0061659C">
        <w:rPr>
          <w:lang w:val="en-GB"/>
        </w:rPr>
        <w:t>’</w:t>
      </w:r>
      <w:r w:rsidRPr="3A15D5BB">
        <w:rPr>
          <w:lang w:val="en-GB"/>
        </w:rPr>
        <w:t xml:space="preserve"> which is the smallest land mobile service model in the </w:t>
      </w:r>
      <w:hyperlink r:id="rId43">
        <w:r w:rsidRPr="3A15D5BB">
          <w:rPr>
            <w:rStyle w:val="Hyperlink"/>
            <w:lang w:val="en-GB"/>
          </w:rPr>
          <w:t>LM8 RALI</w:t>
        </w:r>
      </w:hyperlink>
      <w:r w:rsidRPr="3A15D5BB">
        <w:rPr>
          <w:lang w:val="en-GB"/>
        </w:rPr>
        <w:t xml:space="preserve">. </w:t>
      </w:r>
      <w:r w:rsidR="0041601E">
        <w:rPr>
          <w:lang w:val="en-GB"/>
        </w:rPr>
        <w:t xml:space="preserve">RALI </w:t>
      </w:r>
      <w:r w:rsidRPr="3A15D5BB">
        <w:rPr>
          <w:lang w:val="en-GB"/>
        </w:rPr>
        <w:t xml:space="preserve">LM8 allows for two </w:t>
      </w:r>
      <w:r w:rsidR="2D0E70C4" w:rsidRPr="5F4B2909">
        <w:rPr>
          <w:lang w:val="en-GB"/>
        </w:rPr>
        <w:t xml:space="preserve">low-power </w:t>
      </w:r>
      <w:r w:rsidR="26AAC3FF" w:rsidRPr="5F4B2909">
        <w:rPr>
          <w:lang w:val="en-GB"/>
        </w:rPr>
        <w:t xml:space="preserve">land mobile service </w:t>
      </w:r>
      <w:r w:rsidRPr="3A15D5BB">
        <w:rPr>
          <w:lang w:val="en-GB"/>
        </w:rPr>
        <w:t>models; one with a 2 km service radius and a smaller service model with a 0.2 km radius, allowing for more frequency reuse in high density areas. The ACMA incentivises these models with the low power discount (90% discount)</w:t>
      </w:r>
      <w:r w:rsidR="0041601E">
        <w:rPr>
          <w:lang w:val="en-GB"/>
        </w:rPr>
        <w:t>;</w:t>
      </w:r>
      <w:r w:rsidRPr="3A15D5BB">
        <w:rPr>
          <w:lang w:val="en-GB"/>
        </w:rPr>
        <w:t xml:space="preserve"> however, ARCIA suggested that a separate discount for the smallest service model would encourage more efficient spectrum use.</w:t>
      </w:r>
      <w:r w:rsidR="004F672D">
        <w:rPr>
          <w:lang w:val="en-GB"/>
        </w:rPr>
        <w:t xml:space="preserve"> </w:t>
      </w:r>
    </w:p>
    <w:p w14:paraId="53CDA638" w14:textId="79F6CF80" w:rsidR="007E0C56" w:rsidRPr="000C1687" w:rsidRDefault="007E0C56" w:rsidP="007E0C56">
      <w:pPr>
        <w:pStyle w:val="Paragraph"/>
        <w:rPr>
          <w:lang w:val="en-GB"/>
        </w:rPr>
      </w:pPr>
      <w:bookmarkStart w:id="77" w:name="_Hlk56441617"/>
      <w:bookmarkEnd w:id="75"/>
      <w:r w:rsidRPr="3A15D5BB">
        <w:rPr>
          <w:lang w:val="en-GB"/>
        </w:rPr>
        <w:t>The ACMA agrees with the ARCIA assessment that the low power allocation for these Enclosed and Short-range Digital Services equate</w:t>
      </w:r>
      <w:r w:rsidR="00B837F2">
        <w:rPr>
          <w:lang w:val="en-GB"/>
        </w:rPr>
        <w:t>s</w:t>
      </w:r>
      <w:r w:rsidRPr="3A15D5BB">
        <w:rPr>
          <w:lang w:val="en-GB"/>
        </w:rPr>
        <w:t xml:space="preserve"> to </w:t>
      </w:r>
      <w:r w:rsidR="00B837F2">
        <w:rPr>
          <w:lang w:val="en-GB"/>
        </w:rPr>
        <w:t xml:space="preserve">a </w:t>
      </w:r>
      <w:r w:rsidRPr="3A15D5BB">
        <w:rPr>
          <w:lang w:val="en-GB"/>
        </w:rPr>
        <w:t xml:space="preserve">coverage area of around ~4-5% of a </w:t>
      </w:r>
      <w:r w:rsidR="1B3F286F" w:rsidRPr="5F4B2909">
        <w:rPr>
          <w:lang w:val="en-GB"/>
        </w:rPr>
        <w:t xml:space="preserve">standard land mobile radio system </w:t>
      </w:r>
      <w:r w:rsidRPr="3A15D5BB">
        <w:rPr>
          <w:lang w:val="en-GB"/>
        </w:rPr>
        <w:t xml:space="preserve">service (according to ARCIA) and </w:t>
      </w:r>
      <w:r w:rsidRPr="027F0871">
        <w:rPr>
          <w:lang w:val="en-GB"/>
        </w:rPr>
        <w:t>proposes</w:t>
      </w:r>
      <w:r w:rsidRPr="3A15D5BB">
        <w:rPr>
          <w:lang w:val="en-GB"/>
        </w:rPr>
        <w:t xml:space="preserve"> a price discount (95%) to encourage </w:t>
      </w:r>
      <w:r w:rsidRPr="027F0871">
        <w:rPr>
          <w:lang w:val="en-GB"/>
        </w:rPr>
        <w:t xml:space="preserve">more use of </w:t>
      </w:r>
      <w:r w:rsidRPr="3A15D5BB">
        <w:rPr>
          <w:lang w:val="en-GB"/>
        </w:rPr>
        <w:t xml:space="preserve">the smallest service model. </w:t>
      </w:r>
      <w:bookmarkEnd w:id="77"/>
    </w:p>
    <w:p w14:paraId="30DCCF8F" w14:textId="37EC339F" w:rsidR="000E4309" w:rsidRDefault="000C1687" w:rsidP="0071400A">
      <w:pPr>
        <w:pStyle w:val="Caption"/>
        <w:spacing w:after="120"/>
        <w:rPr>
          <w:lang w:val="en-GB"/>
        </w:rPr>
      </w:pPr>
      <w:r w:rsidRPr="000C1687">
        <w:rPr>
          <w:lang w:val="en-GB"/>
        </w:rPr>
        <w:t>Land mobile services models and price factors</w:t>
      </w:r>
    </w:p>
    <w:tbl>
      <w:tblPr>
        <w:tblStyle w:val="ACMAtablestyle"/>
        <w:tblW w:w="0" w:type="auto"/>
        <w:tblLayout w:type="fixed"/>
        <w:tblCellMar>
          <w:top w:w="85" w:type="dxa"/>
          <w:bottom w:w="85" w:type="dxa"/>
        </w:tblCellMar>
        <w:tblLook w:val="06A0" w:firstRow="1" w:lastRow="0" w:firstColumn="1" w:lastColumn="0" w:noHBand="1" w:noVBand="1"/>
      </w:tblPr>
      <w:tblGrid>
        <w:gridCol w:w="1916"/>
        <w:gridCol w:w="1916"/>
        <w:gridCol w:w="1916"/>
        <w:gridCol w:w="1916"/>
      </w:tblGrid>
      <w:tr w:rsidR="007E0C56" w14:paraId="4A88E820" w14:textId="77777777" w:rsidTr="00F80D6C">
        <w:trPr>
          <w:cnfStyle w:val="100000000000" w:firstRow="1" w:lastRow="0" w:firstColumn="0" w:lastColumn="0" w:oddVBand="0" w:evenVBand="0" w:oddHBand="0" w:evenHBand="0" w:firstRowFirstColumn="0" w:firstRowLastColumn="0" w:lastRowFirstColumn="0" w:lastRowLastColumn="0"/>
        </w:trPr>
        <w:tc>
          <w:tcPr>
            <w:tcW w:w="1916" w:type="dxa"/>
          </w:tcPr>
          <w:p w14:paraId="136EA151" w14:textId="77777777" w:rsidR="007E0C56" w:rsidRPr="00F80D6C" w:rsidRDefault="007E0C56" w:rsidP="00CE4A31">
            <w:pPr>
              <w:spacing w:line="240" w:lineRule="auto"/>
              <w:rPr>
                <w:rFonts w:cs="Arial"/>
                <w:szCs w:val="20"/>
              </w:rPr>
            </w:pPr>
            <w:r w:rsidRPr="00F80D6C">
              <w:rPr>
                <w:rFonts w:eastAsia="Calibri" w:cs="Arial"/>
                <w:b/>
                <w:bCs/>
                <w:szCs w:val="20"/>
                <w:lang w:val="en-GB"/>
              </w:rPr>
              <w:t>Land mobile service model</w:t>
            </w:r>
          </w:p>
        </w:tc>
        <w:tc>
          <w:tcPr>
            <w:tcW w:w="1916" w:type="dxa"/>
          </w:tcPr>
          <w:p w14:paraId="162F5447" w14:textId="77777777" w:rsidR="007E0C56" w:rsidRPr="00F80D6C" w:rsidRDefault="007E0C56" w:rsidP="00CE4A31">
            <w:pPr>
              <w:spacing w:line="240" w:lineRule="auto"/>
              <w:rPr>
                <w:rFonts w:cs="Arial"/>
                <w:szCs w:val="20"/>
              </w:rPr>
            </w:pPr>
            <w:r w:rsidRPr="00F80D6C">
              <w:rPr>
                <w:rFonts w:eastAsia="Calibri" w:cs="Arial"/>
                <w:b/>
                <w:bCs/>
                <w:szCs w:val="20"/>
                <w:lang w:val="en-GB"/>
              </w:rPr>
              <w:t xml:space="preserve">Notional service area radius (km) </w:t>
            </w:r>
          </w:p>
        </w:tc>
        <w:tc>
          <w:tcPr>
            <w:tcW w:w="1916" w:type="dxa"/>
          </w:tcPr>
          <w:p w14:paraId="30C0F5F2" w14:textId="77777777" w:rsidR="007E0C56" w:rsidRPr="00F80D6C" w:rsidRDefault="007E0C56" w:rsidP="00CE4A31">
            <w:pPr>
              <w:spacing w:line="240" w:lineRule="auto"/>
              <w:rPr>
                <w:rFonts w:cs="Arial"/>
                <w:szCs w:val="20"/>
              </w:rPr>
            </w:pPr>
            <w:r w:rsidRPr="00F80D6C">
              <w:rPr>
                <w:rFonts w:eastAsia="Calibri" w:cs="Arial"/>
                <w:b/>
                <w:bCs/>
                <w:szCs w:val="20"/>
                <w:lang w:val="en-GB"/>
              </w:rPr>
              <w:t>Reuse distance (km)</w:t>
            </w:r>
          </w:p>
        </w:tc>
        <w:tc>
          <w:tcPr>
            <w:tcW w:w="1916" w:type="dxa"/>
          </w:tcPr>
          <w:p w14:paraId="75A809B2" w14:textId="77777777" w:rsidR="007E0C56" w:rsidRPr="00F80D6C" w:rsidRDefault="007E0C56" w:rsidP="00CE4A31">
            <w:pPr>
              <w:spacing w:line="240" w:lineRule="auto"/>
              <w:rPr>
                <w:rFonts w:cs="Arial"/>
                <w:szCs w:val="20"/>
              </w:rPr>
            </w:pPr>
            <w:r w:rsidRPr="00F80D6C">
              <w:rPr>
                <w:rFonts w:eastAsia="Calibri" w:cs="Arial"/>
                <w:b/>
                <w:bCs/>
                <w:szCs w:val="20"/>
                <w:lang w:val="en-GB"/>
              </w:rPr>
              <w:t>Price factor</w:t>
            </w:r>
          </w:p>
        </w:tc>
      </w:tr>
      <w:tr w:rsidR="007E0C56" w14:paraId="77119145" w14:textId="77777777" w:rsidTr="00F80D6C">
        <w:tc>
          <w:tcPr>
            <w:tcW w:w="1916" w:type="dxa"/>
          </w:tcPr>
          <w:p w14:paraId="013DF436" w14:textId="734558A1" w:rsidR="007E0C56" w:rsidRPr="00F80D6C" w:rsidRDefault="0047202C" w:rsidP="00CE4A31">
            <w:pPr>
              <w:spacing w:line="240" w:lineRule="auto"/>
              <w:rPr>
                <w:rFonts w:cs="Arial"/>
                <w:szCs w:val="20"/>
              </w:rPr>
            </w:pPr>
            <w:r>
              <w:rPr>
                <w:rFonts w:eastAsia="Calibri" w:cs="Arial"/>
                <w:szCs w:val="20"/>
                <w:lang w:val="en-GB"/>
              </w:rPr>
              <w:t>L</w:t>
            </w:r>
            <w:r w:rsidR="007E0C56" w:rsidRPr="00F80D6C">
              <w:rPr>
                <w:rFonts w:eastAsia="Calibri" w:cs="Arial"/>
                <w:szCs w:val="20"/>
                <w:lang w:val="en-GB"/>
              </w:rPr>
              <w:t>and mobile radio systems (LMRS)</w:t>
            </w:r>
          </w:p>
        </w:tc>
        <w:tc>
          <w:tcPr>
            <w:tcW w:w="1916" w:type="dxa"/>
          </w:tcPr>
          <w:p w14:paraId="40CE7443" w14:textId="77777777" w:rsidR="007E0C56" w:rsidRPr="00F80D6C" w:rsidRDefault="007E0C56" w:rsidP="00CE4A31">
            <w:pPr>
              <w:spacing w:line="240" w:lineRule="auto"/>
              <w:rPr>
                <w:rFonts w:cs="Arial"/>
                <w:szCs w:val="20"/>
              </w:rPr>
            </w:pPr>
            <w:r w:rsidRPr="00F80D6C">
              <w:rPr>
                <w:rFonts w:eastAsia="Calibri" w:cs="Arial"/>
                <w:szCs w:val="20"/>
                <w:lang w:val="en-GB"/>
              </w:rPr>
              <w:t>40</w:t>
            </w:r>
          </w:p>
        </w:tc>
        <w:tc>
          <w:tcPr>
            <w:tcW w:w="1916" w:type="dxa"/>
          </w:tcPr>
          <w:p w14:paraId="4B4F1478" w14:textId="77777777" w:rsidR="007E0C56" w:rsidRPr="00F80D6C" w:rsidRDefault="007E0C56" w:rsidP="00CE4A31">
            <w:pPr>
              <w:spacing w:line="240" w:lineRule="auto"/>
              <w:rPr>
                <w:rFonts w:cs="Arial"/>
                <w:szCs w:val="20"/>
              </w:rPr>
            </w:pPr>
            <w:r w:rsidRPr="00F80D6C">
              <w:rPr>
                <w:rFonts w:eastAsia="Calibri" w:cs="Arial"/>
                <w:szCs w:val="20"/>
                <w:lang w:val="en-GB"/>
              </w:rPr>
              <w:t>~100</w:t>
            </w:r>
          </w:p>
        </w:tc>
        <w:tc>
          <w:tcPr>
            <w:tcW w:w="1916" w:type="dxa"/>
          </w:tcPr>
          <w:p w14:paraId="33D114A3" w14:textId="77777777" w:rsidR="007E0C56" w:rsidRPr="00F80D6C" w:rsidRDefault="007E0C56" w:rsidP="00CE4A31">
            <w:pPr>
              <w:spacing w:line="240" w:lineRule="auto"/>
              <w:rPr>
                <w:rFonts w:cs="Arial"/>
                <w:szCs w:val="20"/>
              </w:rPr>
            </w:pPr>
            <w:r w:rsidRPr="00F80D6C">
              <w:rPr>
                <w:rFonts w:eastAsia="Calibri" w:cs="Arial"/>
                <w:szCs w:val="20"/>
                <w:lang w:val="en-GB"/>
              </w:rPr>
              <w:t>1</w:t>
            </w:r>
          </w:p>
        </w:tc>
      </w:tr>
      <w:tr w:rsidR="007E0C56" w14:paraId="76F6644A" w14:textId="77777777" w:rsidTr="00F80D6C">
        <w:tc>
          <w:tcPr>
            <w:tcW w:w="1916" w:type="dxa"/>
            <w:shd w:val="clear" w:color="auto" w:fill="D9D9D9" w:themeFill="background1" w:themeFillShade="D9"/>
          </w:tcPr>
          <w:p w14:paraId="77FEFF05" w14:textId="32B4274C" w:rsidR="007E0C56" w:rsidRPr="00F80D6C" w:rsidRDefault="007E0C56" w:rsidP="00CE4A31">
            <w:pPr>
              <w:spacing w:line="240" w:lineRule="auto"/>
              <w:rPr>
                <w:rFonts w:cs="Arial"/>
                <w:szCs w:val="20"/>
              </w:rPr>
            </w:pPr>
            <w:r w:rsidRPr="00F80D6C">
              <w:rPr>
                <w:rFonts w:eastAsia="Calibri" w:cs="Arial"/>
                <w:szCs w:val="20"/>
                <w:lang w:val="en-GB"/>
              </w:rPr>
              <w:t>Low-power land mobile radio systems (LPMRS)</w:t>
            </w:r>
          </w:p>
        </w:tc>
        <w:tc>
          <w:tcPr>
            <w:tcW w:w="1916" w:type="dxa"/>
            <w:shd w:val="clear" w:color="auto" w:fill="D9D9D9" w:themeFill="background1" w:themeFillShade="D9"/>
          </w:tcPr>
          <w:p w14:paraId="0C8A65DF" w14:textId="77777777" w:rsidR="007E0C56" w:rsidRPr="00F80D6C" w:rsidRDefault="007E0C56" w:rsidP="00CE4A31">
            <w:pPr>
              <w:spacing w:line="240" w:lineRule="auto"/>
              <w:rPr>
                <w:rFonts w:cs="Arial"/>
                <w:szCs w:val="20"/>
              </w:rPr>
            </w:pPr>
            <w:r w:rsidRPr="00F80D6C">
              <w:rPr>
                <w:rFonts w:eastAsia="Calibri" w:cs="Arial"/>
                <w:szCs w:val="20"/>
                <w:lang w:val="en-GB"/>
              </w:rPr>
              <w:t>2</w:t>
            </w:r>
          </w:p>
        </w:tc>
        <w:tc>
          <w:tcPr>
            <w:tcW w:w="1916" w:type="dxa"/>
            <w:shd w:val="clear" w:color="auto" w:fill="D9D9D9" w:themeFill="background1" w:themeFillShade="D9"/>
          </w:tcPr>
          <w:p w14:paraId="3472C3A6" w14:textId="77777777" w:rsidR="007E0C56" w:rsidRPr="00F80D6C" w:rsidRDefault="007E0C56" w:rsidP="00CE4A31">
            <w:pPr>
              <w:spacing w:line="240" w:lineRule="auto"/>
              <w:rPr>
                <w:rFonts w:cs="Arial"/>
                <w:szCs w:val="20"/>
              </w:rPr>
            </w:pPr>
            <w:r w:rsidRPr="00F80D6C">
              <w:rPr>
                <w:rFonts w:eastAsia="Calibri" w:cs="Arial"/>
                <w:szCs w:val="20"/>
                <w:lang w:val="en-GB"/>
              </w:rPr>
              <w:t>10</w:t>
            </w:r>
          </w:p>
        </w:tc>
        <w:tc>
          <w:tcPr>
            <w:tcW w:w="1916" w:type="dxa"/>
            <w:shd w:val="clear" w:color="auto" w:fill="D9D9D9" w:themeFill="background1" w:themeFillShade="D9"/>
          </w:tcPr>
          <w:p w14:paraId="31C89484" w14:textId="77777777" w:rsidR="007E0C56" w:rsidRPr="00F80D6C" w:rsidRDefault="007E0C56" w:rsidP="00CE4A31">
            <w:pPr>
              <w:spacing w:line="240" w:lineRule="auto"/>
              <w:rPr>
                <w:rFonts w:cs="Arial"/>
                <w:szCs w:val="20"/>
              </w:rPr>
            </w:pPr>
            <w:r w:rsidRPr="00F80D6C">
              <w:rPr>
                <w:rFonts w:eastAsia="Calibri" w:cs="Arial"/>
                <w:szCs w:val="20"/>
                <w:lang w:val="en-GB"/>
              </w:rPr>
              <w:t>0.1</w:t>
            </w:r>
          </w:p>
        </w:tc>
      </w:tr>
      <w:tr w:rsidR="007E0C56" w14:paraId="483BCFD0" w14:textId="77777777" w:rsidTr="00F80D6C">
        <w:tc>
          <w:tcPr>
            <w:tcW w:w="1916" w:type="dxa"/>
          </w:tcPr>
          <w:p w14:paraId="65727101" w14:textId="141959CB" w:rsidR="007E0C56" w:rsidRPr="00F80D6C" w:rsidRDefault="007E0C56" w:rsidP="00CE4A31">
            <w:pPr>
              <w:spacing w:line="240" w:lineRule="auto"/>
              <w:rPr>
                <w:rFonts w:eastAsia="Calibri" w:cs="Arial"/>
                <w:szCs w:val="20"/>
                <w:lang w:val="en-GB"/>
              </w:rPr>
            </w:pPr>
            <w:r w:rsidRPr="00F80D6C">
              <w:rPr>
                <w:rFonts w:eastAsia="Calibri" w:cs="Arial"/>
                <w:szCs w:val="20"/>
                <w:lang w:val="en-GB"/>
              </w:rPr>
              <w:t>‘</w:t>
            </w:r>
            <w:r w:rsidR="0047202C">
              <w:rPr>
                <w:rFonts w:eastAsia="Calibri" w:cs="Arial"/>
                <w:szCs w:val="20"/>
                <w:lang w:val="en-GB"/>
              </w:rPr>
              <w:t>M</w:t>
            </w:r>
            <w:r w:rsidRPr="00F80D6C">
              <w:rPr>
                <w:rFonts w:eastAsia="Calibri" w:cs="Arial"/>
                <w:szCs w:val="20"/>
                <w:lang w:val="en-GB"/>
              </w:rPr>
              <w:t>icro’ model</w:t>
            </w:r>
          </w:p>
          <w:p w14:paraId="72661298" w14:textId="312B39C4" w:rsidR="007E0C56" w:rsidRPr="00F80D6C" w:rsidRDefault="007E0C56" w:rsidP="00CE4A31">
            <w:pPr>
              <w:spacing w:line="240" w:lineRule="auto"/>
              <w:rPr>
                <w:rFonts w:cs="Arial"/>
                <w:szCs w:val="20"/>
              </w:rPr>
            </w:pPr>
            <w:r w:rsidRPr="00F80D6C">
              <w:rPr>
                <w:rFonts w:eastAsia="Calibri" w:cs="Arial"/>
                <w:szCs w:val="20"/>
                <w:lang w:val="en-GB"/>
              </w:rPr>
              <w:t xml:space="preserve">(Enclosed and </w:t>
            </w:r>
            <w:r w:rsidR="0047202C">
              <w:rPr>
                <w:rFonts w:eastAsia="Calibri" w:cs="Arial"/>
                <w:szCs w:val="20"/>
                <w:lang w:val="en-GB"/>
              </w:rPr>
              <w:t>s</w:t>
            </w:r>
            <w:r w:rsidRPr="00F80D6C">
              <w:rPr>
                <w:rFonts w:eastAsia="Calibri" w:cs="Arial"/>
                <w:szCs w:val="20"/>
                <w:lang w:val="en-GB"/>
              </w:rPr>
              <w:t xml:space="preserve">hort-range </w:t>
            </w:r>
            <w:r w:rsidR="0047202C">
              <w:rPr>
                <w:rFonts w:eastAsia="Calibri" w:cs="Arial"/>
                <w:szCs w:val="20"/>
                <w:lang w:val="en-GB"/>
              </w:rPr>
              <w:t>d</w:t>
            </w:r>
            <w:r w:rsidRPr="00F80D6C">
              <w:rPr>
                <w:rFonts w:eastAsia="Calibri" w:cs="Arial"/>
                <w:szCs w:val="20"/>
                <w:lang w:val="en-GB"/>
              </w:rPr>
              <w:t xml:space="preserve">igital </w:t>
            </w:r>
            <w:r w:rsidR="0047202C">
              <w:rPr>
                <w:rFonts w:eastAsia="Calibri" w:cs="Arial"/>
                <w:szCs w:val="20"/>
                <w:lang w:val="en-GB"/>
              </w:rPr>
              <w:t>s</w:t>
            </w:r>
            <w:r w:rsidRPr="00F80D6C">
              <w:rPr>
                <w:rFonts w:eastAsia="Calibri" w:cs="Arial"/>
                <w:szCs w:val="20"/>
                <w:lang w:val="en-GB"/>
              </w:rPr>
              <w:t>ervice)</w:t>
            </w:r>
          </w:p>
        </w:tc>
        <w:tc>
          <w:tcPr>
            <w:tcW w:w="1916" w:type="dxa"/>
          </w:tcPr>
          <w:p w14:paraId="50E44C40" w14:textId="77777777" w:rsidR="007E0C56" w:rsidRPr="00F80D6C" w:rsidRDefault="007E0C56" w:rsidP="00CE4A31">
            <w:pPr>
              <w:spacing w:line="240" w:lineRule="auto"/>
              <w:rPr>
                <w:rFonts w:cs="Arial"/>
                <w:szCs w:val="20"/>
              </w:rPr>
            </w:pPr>
            <w:r w:rsidRPr="00F80D6C">
              <w:rPr>
                <w:rFonts w:eastAsia="Calibri" w:cs="Arial"/>
                <w:szCs w:val="20"/>
                <w:lang w:val="en-GB"/>
              </w:rPr>
              <w:t>0.2</w:t>
            </w:r>
          </w:p>
        </w:tc>
        <w:tc>
          <w:tcPr>
            <w:tcW w:w="1916" w:type="dxa"/>
          </w:tcPr>
          <w:p w14:paraId="614E16FA" w14:textId="77777777" w:rsidR="007E0C56" w:rsidRPr="00F80D6C" w:rsidRDefault="007E0C56" w:rsidP="00CE4A31">
            <w:pPr>
              <w:spacing w:line="240" w:lineRule="auto"/>
              <w:rPr>
                <w:rFonts w:cs="Arial"/>
                <w:szCs w:val="20"/>
              </w:rPr>
            </w:pPr>
            <w:r w:rsidRPr="00F80D6C">
              <w:rPr>
                <w:rFonts w:eastAsia="Calibri" w:cs="Arial"/>
                <w:szCs w:val="20"/>
                <w:lang w:val="en-GB"/>
              </w:rPr>
              <w:t>0.5</w:t>
            </w:r>
          </w:p>
        </w:tc>
        <w:tc>
          <w:tcPr>
            <w:tcW w:w="1916" w:type="dxa"/>
          </w:tcPr>
          <w:p w14:paraId="0BD46BF6" w14:textId="77777777" w:rsidR="007E0C56" w:rsidRPr="00F80D6C" w:rsidRDefault="007E0C56" w:rsidP="00CE4A31">
            <w:pPr>
              <w:spacing w:line="240" w:lineRule="auto"/>
              <w:rPr>
                <w:rFonts w:cs="Arial"/>
                <w:szCs w:val="20"/>
              </w:rPr>
            </w:pPr>
            <w:r w:rsidRPr="00F80D6C">
              <w:rPr>
                <w:rFonts w:eastAsia="Calibri" w:cs="Arial"/>
                <w:szCs w:val="20"/>
                <w:lang w:val="en-GB"/>
              </w:rPr>
              <w:t>0.1 (current)</w:t>
            </w:r>
          </w:p>
          <w:p w14:paraId="6F3E687F" w14:textId="77777777" w:rsidR="007E0C56" w:rsidRPr="00F80D6C" w:rsidRDefault="007E0C56" w:rsidP="00CE4A31">
            <w:pPr>
              <w:spacing w:line="240" w:lineRule="auto"/>
              <w:rPr>
                <w:rFonts w:cs="Arial"/>
                <w:szCs w:val="20"/>
                <w:highlight w:val="yellow"/>
              </w:rPr>
            </w:pPr>
            <w:r w:rsidRPr="00F80D6C">
              <w:rPr>
                <w:rFonts w:eastAsia="Calibri" w:cs="Arial"/>
                <w:szCs w:val="20"/>
                <w:lang w:val="en-GB"/>
              </w:rPr>
              <w:t>0.05 (proposed)</w:t>
            </w:r>
          </w:p>
        </w:tc>
      </w:tr>
      <w:bookmarkEnd w:id="76"/>
    </w:tbl>
    <w:p w14:paraId="39A04C2F" w14:textId="77777777" w:rsidR="007E0C56" w:rsidRDefault="007E0C56" w:rsidP="007E0C56">
      <w:pPr>
        <w:spacing w:line="240" w:lineRule="auto"/>
        <w:rPr>
          <w:rFonts w:ascii="Calibri" w:eastAsia="Calibri" w:hAnsi="Calibri" w:cs="Calibri"/>
          <w:sz w:val="22"/>
          <w:szCs w:val="22"/>
          <w:lang w:val="en-GB"/>
        </w:rPr>
      </w:pPr>
    </w:p>
    <w:p w14:paraId="46134676" w14:textId="75D5C594" w:rsidR="00842724" w:rsidRPr="00842724" w:rsidRDefault="00842724" w:rsidP="00F16AB6">
      <w:pPr>
        <w:pStyle w:val="Heading3"/>
      </w:pPr>
      <w:r w:rsidRPr="00F16AB6">
        <w:rPr>
          <w:lang w:val="en-GB"/>
        </w:rPr>
        <w:t xml:space="preserve">Systems price for </w:t>
      </w:r>
      <w:r w:rsidR="0061659C">
        <w:rPr>
          <w:lang w:val="en-GB"/>
        </w:rPr>
        <w:t>e</w:t>
      </w:r>
      <w:r w:rsidRPr="00F16AB6">
        <w:rPr>
          <w:lang w:val="en-GB"/>
        </w:rPr>
        <w:t>arth stations</w:t>
      </w:r>
    </w:p>
    <w:p w14:paraId="07B2598A" w14:textId="5B5A96A9" w:rsidR="00707DF2" w:rsidRDefault="00707DF2" w:rsidP="00707DF2">
      <w:pPr>
        <w:rPr>
          <w:rFonts w:ascii="Calibri" w:hAnsi="Calibri"/>
        </w:rPr>
      </w:pPr>
      <w:r>
        <w:t xml:space="preserve">The ACMA proposes a ‘systems' price for </w:t>
      </w:r>
      <w:r w:rsidR="0041601E">
        <w:t xml:space="preserve">apparatus licences </w:t>
      </w:r>
      <w:r>
        <w:t xml:space="preserve">with multiple co-located co-frequency earth stations </w:t>
      </w:r>
      <w:r w:rsidR="0032071B">
        <w:t xml:space="preserve">(GSO or NGSO) </w:t>
      </w:r>
      <w:r>
        <w:t xml:space="preserve">communicating with </w:t>
      </w:r>
      <w:r w:rsidR="3A3E9032">
        <w:t>related</w:t>
      </w:r>
      <w:r>
        <w:t xml:space="preserve"> ITU satellite filings, without additional licensing taxes. This means that the price for the earth station ‘system’ will be the same as a single earth station with the same technical characteristics. This proposal recognises that additional antennas to these sites do not significantly add to the spectrum denial. This aims to encourage efficient earth station deployment (much like the existing 30% </w:t>
      </w:r>
      <w:r w:rsidR="004E7975">
        <w:t>co-location</w:t>
      </w:r>
      <w:r>
        <w:t xml:space="preserve"> discount does). </w:t>
      </w:r>
      <w:r w:rsidR="00F4683F">
        <w:t>Figure 3</w:t>
      </w:r>
      <w:r w:rsidR="009D1FD3">
        <w:t xml:space="preserve"> provides an example of the systems approach for ant</w:t>
      </w:r>
      <w:r w:rsidR="00A878F5">
        <w:t>e</w:t>
      </w:r>
      <w:r w:rsidR="009D1FD3">
        <w:t>n</w:t>
      </w:r>
      <w:r w:rsidR="00DA0226">
        <w:t>na farms</w:t>
      </w:r>
      <w:r w:rsidR="00E66903">
        <w:t>.</w:t>
      </w:r>
    </w:p>
    <w:p w14:paraId="263DD275" w14:textId="77777777" w:rsidR="00842724" w:rsidRPr="00842724" w:rsidRDefault="00842724" w:rsidP="00842724">
      <w:pPr>
        <w:pStyle w:val="Caption"/>
        <w:numPr>
          <w:ilvl w:val="0"/>
          <w:numId w:val="0"/>
        </w:numPr>
        <w:ind w:left="964" w:hanging="964"/>
        <w:rPr>
          <w:b w:val="0"/>
          <w:bCs w:val="0"/>
          <w:color w:val="auto"/>
          <w:szCs w:val="24"/>
        </w:rPr>
      </w:pPr>
    </w:p>
    <w:p w14:paraId="4B76C1EB" w14:textId="1C17AC40" w:rsidR="00966B1E" w:rsidRPr="004274BB" w:rsidRDefault="00966B1E" w:rsidP="00CE14A6">
      <w:pPr>
        <w:pStyle w:val="Figureheading"/>
        <w:numPr>
          <w:ilvl w:val="0"/>
          <w:numId w:val="0"/>
        </w:numPr>
        <w:rPr>
          <w:rFonts w:eastAsia="Arial" w:cs="Arial"/>
          <w:lang w:val="en-GB"/>
        </w:rPr>
      </w:pPr>
      <w:r w:rsidRPr="004274BB">
        <w:rPr>
          <w:i/>
          <w:iCs/>
          <w:noProof/>
          <w:u w:val="single"/>
          <w:lang w:val="en-GB"/>
        </w:rPr>
        <mc:AlternateContent>
          <mc:Choice Requires="wps">
            <w:drawing>
              <wp:anchor distT="45720" distB="45720" distL="114300" distR="114300" simplePos="0" relativeHeight="251658240" behindDoc="0" locked="0" layoutInCell="1" allowOverlap="1" wp14:anchorId="098F4202" wp14:editId="43A90F91">
                <wp:simplePos x="0" y="0"/>
                <wp:positionH relativeFrom="margin">
                  <wp:align>left</wp:align>
                </wp:positionH>
                <wp:positionV relativeFrom="paragraph">
                  <wp:posOffset>283773</wp:posOffset>
                </wp:positionV>
                <wp:extent cx="4778375" cy="2178050"/>
                <wp:effectExtent l="0" t="0" r="22225" b="1270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2178050"/>
                        </a:xfrm>
                        <a:prstGeom prst="rect">
                          <a:avLst/>
                        </a:prstGeom>
                        <a:solidFill>
                          <a:srgbClr val="FFFFFF"/>
                        </a:solidFill>
                        <a:ln w="9525">
                          <a:solidFill>
                            <a:srgbClr val="000000"/>
                          </a:solidFill>
                          <a:miter lim="800000"/>
                          <a:headEnd/>
                          <a:tailEnd/>
                        </a:ln>
                      </wps:spPr>
                      <wps:txbx>
                        <w:txbxContent>
                          <w:p w14:paraId="2F8E0787" w14:textId="1F8C2D9F" w:rsidR="00E935FE" w:rsidRDefault="00E935FE" w:rsidP="00966B1E">
                            <w:pPr>
                              <w:rPr>
                                <w:lang w:val="en-GB"/>
                              </w:rPr>
                            </w:pPr>
                            <w:r w:rsidRPr="3A15D5BB">
                              <w:rPr>
                                <w:lang w:val="en-GB"/>
                              </w:rPr>
                              <w:t xml:space="preserve">A </w:t>
                            </w:r>
                            <w:r w:rsidRPr="027F0871">
                              <w:rPr>
                                <w:rFonts w:eastAsia="Arial" w:cs="Arial"/>
                                <w:lang w:val="en-GB"/>
                              </w:rPr>
                              <w:t xml:space="preserve">non-geostationary satellite orbit (NGSO) </w:t>
                            </w:r>
                            <w:r w:rsidRPr="3A15D5BB">
                              <w:rPr>
                                <w:lang w:val="en-GB"/>
                              </w:rPr>
                              <w:t>earth station transmitter located in Melbourne (</w:t>
                            </w:r>
                            <w:r>
                              <w:rPr>
                                <w:lang w:val="en-GB"/>
                              </w:rPr>
                              <w:t>a high-density area</w:t>
                            </w:r>
                            <w:r w:rsidRPr="3A15D5BB">
                              <w:rPr>
                                <w:lang w:val="en-GB"/>
                              </w:rPr>
                              <w:t xml:space="preserve">) using 500MHz in the 8.5-17.3 GHz range will pay an apparatus licence tax of $0.3780 x 500,000 = $189,000. </w:t>
                            </w:r>
                          </w:p>
                          <w:p w14:paraId="76C39E3B" w14:textId="5FBEE76E" w:rsidR="00E935FE" w:rsidRDefault="00E935FE" w:rsidP="00966B1E">
                            <w:pPr>
                              <w:rPr>
                                <w:lang w:val="en-GB"/>
                              </w:rPr>
                            </w:pPr>
                            <w:r w:rsidRPr="3A15D5BB">
                              <w:rPr>
                                <w:lang w:val="en-GB"/>
                              </w:rPr>
                              <w:t xml:space="preserve">If that same NGSO earth station </w:t>
                            </w:r>
                            <w:r>
                              <w:rPr>
                                <w:lang w:val="en-GB"/>
                              </w:rPr>
                              <w:t xml:space="preserve">was </w:t>
                            </w:r>
                            <w:r w:rsidRPr="3A15D5BB">
                              <w:rPr>
                                <w:lang w:val="en-GB"/>
                              </w:rPr>
                              <w:t xml:space="preserve">co-located </w:t>
                            </w:r>
                            <w:r>
                              <w:rPr>
                                <w:lang w:val="en-GB"/>
                              </w:rPr>
                              <w:t xml:space="preserve">with 9 other co-frequency earth stations </w:t>
                            </w:r>
                            <w:r w:rsidRPr="3A15D5BB">
                              <w:rPr>
                                <w:lang w:val="en-GB"/>
                              </w:rPr>
                              <w:t xml:space="preserve">with the same </w:t>
                            </w:r>
                            <w:r>
                              <w:rPr>
                                <w:lang w:val="en-GB"/>
                              </w:rPr>
                              <w:t>technical</w:t>
                            </w:r>
                            <w:r w:rsidRPr="3A15D5BB">
                              <w:rPr>
                                <w:lang w:val="en-GB"/>
                              </w:rPr>
                              <w:t xml:space="preserve"> spec</w:t>
                            </w:r>
                            <w:r>
                              <w:rPr>
                                <w:lang w:val="en-GB"/>
                              </w:rPr>
                              <w:t>ifications</w:t>
                            </w:r>
                            <w:r w:rsidRPr="3A15D5BB">
                              <w:rPr>
                                <w:lang w:val="en-GB"/>
                              </w:rPr>
                              <w:t xml:space="preserve"> as above, </w:t>
                            </w:r>
                            <w:r>
                              <w:rPr>
                                <w:lang w:val="en-GB"/>
                              </w:rPr>
                              <w:t xml:space="preserve">authorised </w:t>
                            </w:r>
                            <w:r w:rsidRPr="3A15D5BB">
                              <w:rPr>
                                <w:lang w:val="en-GB"/>
                              </w:rPr>
                              <w:t xml:space="preserve">under </w:t>
                            </w:r>
                            <w:r>
                              <w:rPr>
                                <w:lang w:val="en-GB"/>
                              </w:rPr>
                              <w:t xml:space="preserve">the same licence, </w:t>
                            </w:r>
                            <w:r w:rsidRPr="3A15D5BB">
                              <w:rPr>
                                <w:lang w:val="en-GB"/>
                              </w:rPr>
                              <w:t xml:space="preserve">current licensing/pricing arrangements </w:t>
                            </w:r>
                            <w:r>
                              <w:rPr>
                                <w:lang w:val="en-GB"/>
                              </w:rPr>
                              <w:t xml:space="preserve">allows a </w:t>
                            </w:r>
                            <w:r w:rsidRPr="3A15D5BB">
                              <w:rPr>
                                <w:lang w:val="en-GB"/>
                              </w:rPr>
                              <w:t xml:space="preserve">30% co location discount </w:t>
                            </w:r>
                            <w:r>
                              <w:rPr>
                                <w:lang w:val="en-GB"/>
                              </w:rPr>
                              <w:t xml:space="preserve">for </w:t>
                            </w:r>
                            <w:r w:rsidRPr="3A15D5BB">
                              <w:rPr>
                                <w:lang w:val="en-GB"/>
                              </w:rPr>
                              <w:t xml:space="preserve">each subsequent antenna and </w:t>
                            </w:r>
                            <w:r>
                              <w:rPr>
                                <w:lang w:val="en-GB"/>
                              </w:rPr>
                              <w:t xml:space="preserve">the licensee </w:t>
                            </w:r>
                            <w:r w:rsidRPr="3A15D5BB">
                              <w:rPr>
                                <w:lang w:val="en-GB"/>
                              </w:rPr>
                              <w:t xml:space="preserve">would be due to pay $189,000 + 189,000 x 8 x 0.7 = $1,247,400. Despite the </w:t>
                            </w:r>
                            <w:r>
                              <w:rPr>
                                <w:lang w:val="en-GB"/>
                              </w:rPr>
                              <w:t>co-location</w:t>
                            </w:r>
                            <w:r w:rsidRPr="3A15D5BB">
                              <w:rPr>
                                <w:lang w:val="en-GB"/>
                              </w:rPr>
                              <w:t xml:space="preserve"> discount, this is still a substantial </w:t>
                            </w:r>
                            <w:r>
                              <w:rPr>
                                <w:lang w:val="en-GB"/>
                              </w:rPr>
                              <w:t xml:space="preserve">additional </w:t>
                            </w:r>
                            <w:r w:rsidRPr="3A15D5BB">
                              <w:rPr>
                                <w:lang w:val="en-GB"/>
                              </w:rPr>
                              <w:t xml:space="preserve">cost given the efficient network configuration. </w:t>
                            </w:r>
                          </w:p>
                          <w:p w14:paraId="499A359E" w14:textId="57CA5C4A" w:rsidR="00E935FE" w:rsidRDefault="00E935FE" w:rsidP="00966B1E">
                            <w:pPr>
                              <w:rPr>
                                <w:lang w:val="en-GB"/>
                              </w:rPr>
                            </w:pPr>
                            <w:r w:rsidRPr="3A15D5BB">
                              <w:rPr>
                                <w:lang w:val="en-GB"/>
                              </w:rPr>
                              <w:t xml:space="preserve">Under the 'system' approach, all 9 </w:t>
                            </w:r>
                            <w:r>
                              <w:rPr>
                                <w:lang w:val="en-GB"/>
                              </w:rPr>
                              <w:t xml:space="preserve">earth stations </w:t>
                            </w:r>
                            <w:r w:rsidRPr="3A15D5BB">
                              <w:rPr>
                                <w:lang w:val="en-GB"/>
                              </w:rPr>
                              <w:t>would need to be registered as separate spectrum accesses, but the combined system price would be $189,000.</w:t>
                            </w:r>
                          </w:p>
                          <w:p w14:paraId="3C07D5BA" w14:textId="77777777" w:rsidR="00E935FE" w:rsidRDefault="00E935FE" w:rsidP="00966B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F4202" id="_x0000_t202" coordsize="21600,21600" o:spt="202" path="m,l,21600r21600,l21600,xe">
                <v:stroke joinstyle="miter"/>
                <v:path gradientshapeok="t" o:connecttype="rect"/>
              </v:shapetype>
              <v:shape id="Text Box 2" o:spid="_x0000_s1026" type="#_x0000_t202" alt="&quot;&quot;" style="position:absolute;margin-left:0;margin-top:22.35pt;width:376.25pt;height:17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">
                <v:textbox>
                  <w:txbxContent>
                    <w:p w14:paraId="2F8E0787" w14:textId="1F8C2D9F" w:rsidR="00E935FE" w:rsidRDefault="00E935FE" w:rsidP="00966B1E">
                      <w:pPr>
                        <w:rPr>
                          <w:lang w:val="en-GB"/>
                        </w:rPr>
                      </w:pPr>
                      <w:r w:rsidRPr="3A15D5BB">
                        <w:rPr>
                          <w:lang w:val="en-GB"/>
                        </w:rPr>
                        <w:t xml:space="preserve">A </w:t>
                      </w:r>
                      <w:r w:rsidRPr="027F0871">
                        <w:rPr>
                          <w:rFonts w:eastAsia="Arial" w:cs="Arial"/>
                          <w:lang w:val="en-GB"/>
                        </w:rPr>
                        <w:t xml:space="preserve">non-geostationary satellite orbit (NGSO) </w:t>
                      </w:r>
                      <w:r w:rsidRPr="3A15D5BB">
                        <w:rPr>
                          <w:lang w:val="en-GB"/>
                        </w:rPr>
                        <w:t>earth station transmitter located in Melbourne (</w:t>
                      </w:r>
                      <w:r>
                        <w:rPr>
                          <w:lang w:val="en-GB"/>
                        </w:rPr>
                        <w:t>a high-density area</w:t>
                      </w:r>
                      <w:r w:rsidRPr="3A15D5BB">
                        <w:rPr>
                          <w:lang w:val="en-GB"/>
                        </w:rPr>
                        <w:t xml:space="preserve">) using 500MHz in the 8.5-17.3 GHz range will pay an apparatus licence tax of $0.3780 x 500,000 = $189,000. </w:t>
                      </w:r>
                    </w:p>
                    <w:p w14:paraId="76C39E3B" w14:textId="5FBEE76E" w:rsidR="00E935FE" w:rsidRDefault="00E935FE" w:rsidP="00966B1E">
                      <w:pPr>
                        <w:rPr>
                          <w:lang w:val="en-GB"/>
                        </w:rPr>
                      </w:pPr>
                      <w:r w:rsidRPr="3A15D5BB">
                        <w:rPr>
                          <w:lang w:val="en-GB"/>
                        </w:rPr>
                        <w:t xml:space="preserve">If that same NGSO earth station </w:t>
                      </w:r>
                      <w:r>
                        <w:rPr>
                          <w:lang w:val="en-GB"/>
                        </w:rPr>
                        <w:t xml:space="preserve">was </w:t>
                      </w:r>
                      <w:r w:rsidRPr="3A15D5BB">
                        <w:rPr>
                          <w:lang w:val="en-GB"/>
                        </w:rPr>
                        <w:t xml:space="preserve">co-located </w:t>
                      </w:r>
                      <w:r>
                        <w:rPr>
                          <w:lang w:val="en-GB"/>
                        </w:rPr>
                        <w:t xml:space="preserve">with 9 other co-frequency earth stations </w:t>
                      </w:r>
                      <w:r w:rsidRPr="3A15D5BB">
                        <w:rPr>
                          <w:lang w:val="en-GB"/>
                        </w:rPr>
                        <w:t xml:space="preserve">with the same </w:t>
                      </w:r>
                      <w:r>
                        <w:rPr>
                          <w:lang w:val="en-GB"/>
                        </w:rPr>
                        <w:t>technical</w:t>
                      </w:r>
                      <w:r w:rsidRPr="3A15D5BB">
                        <w:rPr>
                          <w:lang w:val="en-GB"/>
                        </w:rPr>
                        <w:t xml:space="preserve"> spec</w:t>
                      </w:r>
                      <w:r>
                        <w:rPr>
                          <w:lang w:val="en-GB"/>
                        </w:rPr>
                        <w:t>ifications</w:t>
                      </w:r>
                      <w:r w:rsidRPr="3A15D5BB">
                        <w:rPr>
                          <w:lang w:val="en-GB"/>
                        </w:rPr>
                        <w:t xml:space="preserve"> as above, </w:t>
                      </w:r>
                      <w:r>
                        <w:rPr>
                          <w:lang w:val="en-GB"/>
                        </w:rPr>
                        <w:t xml:space="preserve">authorised </w:t>
                      </w:r>
                      <w:r w:rsidRPr="3A15D5BB">
                        <w:rPr>
                          <w:lang w:val="en-GB"/>
                        </w:rPr>
                        <w:t xml:space="preserve">under </w:t>
                      </w:r>
                      <w:r>
                        <w:rPr>
                          <w:lang w:val="en-GB"/>
                        </w:rPr>
                        <w:t xml:space="preserve">the same licence, </w:t>
                      </w:r>
                      <w:r w:rsidRPr="3A15D5BB">
                        <w:rPr>
                          <w:lang w:val="en-GB"/>
                        </w:rPr>
                        <w:t xml:space="preserve">current licensing/pricing arrangements </w:t>
                      </w:r>
                      <w:r>
                        <w:rPr>
                          <w:lang w:val="en-GB"/>
                        </w:rPr>
                        <w:t xml:space="preserve">allows a </w:t>
                      </w:r>
                      <w:r w:rsidRPr="3A15D5BB">
                        <w:rPr>
                          <w:lang w:val="en-GB"/>
                        </w:rPr>
                        <w:t xml:space="preserve">30% co location discount </w:t>
                      </w:r>
                      <w:r>
                        <w:rPr>
                          <w:lang w:val="en-GB"/>
                        </w:rPr>
                        <w:t xml:space="preserve">for </w:t>
                      </w:r>
                      <w:r w:rsidRPr="3A15D5BB">
                        <w:rPr>
                          <w:lang w:val="en-GB"/>
                        </w:rPr>
                        <w:t xml:space="preserve">each subsequent antenna and </w:t>
                      </w:r>
                      <w:r>
                        <w:rPr>
                          <w:lang w:val="en-GB"/>
                        </w:rPr>
                        <w:t xml:space="preserve">the licensee </w:t>
                      </w:r>
                      <w:r w:rsidRPr="3A15D5BB">
                        <w:rPr>
                          <w:lang w:val="en-GB"/>
                        </w:rPr>
                        <w:t xml:space="preserve">would be due to pay $189,000 + 189,000 x 8 x 0.7 = $1,247,400. Despite the </w:t>
                      </w:r>
                      <w:r>
                        <w:rPr>
                          <w:lang w:val="en-GB"/>
                        </w:rPr>
                        <w:t>co-location</w:t>
                      </w:r>
                      <w:r w:rsidRPr="3A15D5BB">
                        <w:rPr>
                          <w:lang w:val="en-GB"/>
                        </w:rPr>
                        <w:t xml:space="preserve"> discount, this is still a substantial </w:t>
                      </w:r>
                      <w:r>
                        <w:rPr>
                          <w:lang w:val="en-GB"/>
                        </w:rPr>
                        <w:t xml:space="preserve">additional </w:t>
                      </w:r>
                      <w:r w:rsidRPr="3A15D5BB">
                        <w:rPr>
                          <w:lang w:val="en-GB"/>
                        </w:rPr>
                        <w:t xml:space="preserve">cost given the efficient network configuration. </w:t>
                      </w:r>
                    </w:p>
                    <w:p w14:paraId="499A359E" w14:textId="57CA5C4A" w:rsidR="00E935FE" w:rsidRDefault="00E935FE" w:rsidP="00966B1E">
                      <w:pPr>
                        <w:rPr>
                          <w:lang w:val="en-GB"/>
                        </w:rPr>
                      </w:pPr>
                      <w:r w:rsidRPr="3A15D5BB">
                        <w:rPr>
                          <w:lang w:val="en-GB"/>
                        </w:rPr>
                        <w:t xml:space="preserve">Under the 'system' approach, all 9 </w:t>
                      </w:r>
                      <w:r>
                        <w:rPr>
                          <w:lang w:val="en-GB"/>
                        </w:rPr>
                        <w:t xml:space="preserve">earth stations </w:t>
                      </w:r>
                      <w:r w:rsidRPr="3A15D5BB">
                        <w:rPr>
                          <w:lang w:val="en-GB"/>
                        </w:rPr>
                        <w:t>would need to be registered as separate spectrum accesses, but the combined system price would be $189,000.</w:t>
                      </w:r>
                    </w:p>
                    <w:p w14:paraId="3C07D5BA" w14:textId="77777777" w:rsidR="00E935FE" w:rsidRDefault="00E935FE" w:rsidP="00966B1E"/>
                  </w:txbxContent>
                </v:textbox>
                <w10:wrap type="square" anchorx="margin"/>
              </v:shape>
            </w:pict>
          </mc:Fallback>
        </mc:AlternateContent>
      </w:r>
      <w:r w:rsidR="0061659C">
        <w:t xml:space="preserve">Figure 3: </w:t>
      </w:r>
      <w:r w:rsidR="0061659C">
        <w:tab/>
      </w:r>
      <w:r w:rsidRPr="004274BB">
        <w:t>Example of the systems approach for antenna farms</w:t>
      </w:r>
      <w:r w:rsidR="004F672D">
        <w:t xml:space="preserve"> </w:t>
      </w:r>
    </w:p>
    <w:p w14:paraId="25FA2CA3" w14:textId="3864E263" w:rsidR="00966B1E" w:rsidRDefault="00966B1E" w:rsidP="00EF69D8">
      <w:pPr>
        <w:spacing w:before="120"/>
      </w:pPr>
      <w:r>
        <w:t>The proposal above is a convenient pricing construct for co</w:t>
      </w:r>
      <w:r w:rsidR="00B7285A">
        <w:t>-</w:t>
      </w:r>
      <w:r>
        <w:t xml:space="preserve">location of multiple </w:t>
      </w:r>
      <w:r w:rsidR="005056E9">
        <w:t xml:space="preserve">earth stations </w:t>
      </w:r>
      <w:r>
        <w:t xml:space="preserve">operated </w:t>
      </w:r>
      <w:r w:rsidR="005056E9">
        <w:t xml:space="preserve">under a single </w:t>
      </w:r>
      <w:r w:rsidR="00787401">
        <w:t>licence but</w:t>
      </w:r>
      <w:r>
        <w:t xml:space="preserve"> is unlikely to be convenient for </w:t>
      </w:r>
      <w:r w:rsidR="004E7975">
        <w:t>co-location</w:t>
      </w:r>
      <w:r>
        <w:t xml:space="preserve"> of </w:t>
      </w:r>
      <w:r w:rsidR="003F49D5">
        <w:t xml:space="preserve">earth stations </w:t>
      </w:r>
      <w:r>
        <w:t xml:space="preserve">managed by different </w:t>
      </w:r>
      <w:r w:rsidR="003F49D5">
        <w:t xml:space="preserve">licensees </w:t>
      </w:r>
      <w:r>
        <w:t>due to administrative coordination costs. For these instances</w:t>
      </w:r>
      <w:r w:rsidR="0061659C">
        <w:t>,</w:t>
      </w:r>
      <w:r>
        <w:t xml:space="preserve"> the 30% co-location discount factor still applies. </w:t>
      </w:r>
    </w:p>
    <w:p w14:paraId="5BD8A73D" w14:textId="2194C5B3" w:rsidR="00701516" w:rsidRDefault="00701516">
      <w:pPr>
        <w:spacing w:after="0" w:line="240" w:lineRule="auto"/>
        <w:rPr>
          <w:rFonts w:cs="Arial"/>
        </w:rPr>
      </w:pPr>
      <w:r>
        <w:br w:type="page"/>
      </w:r>
    </w:p>
    <w:p w14:paraId="63712523" w14:textId="2710FE73" w:rsidR="005A3498" w:rsidRDefault="00701516" w:rsidP="00067EE6">
      <w:pPr>
        <w:pStyle w:val="Heading1"/>
      </w:pPr>
      <w:bookmarkStart w:id="78" w:name="_Appendix_C:_Proposed"/>
      <w:bookmarkStart w:id="79" w:name="_Toc59007950"/>
      <w:bookmarkEnd w:id="78"/>
      <w:r>
        <w:t xml:space="preserve">Appendix </w:t>
      </w:r>
      <w:r w:rsidR="00BD34E5">
        <w:t>C</w:t>
      </w:r>
      <w:r>
        <w:t>: Proposed apparatus licence tax</w:t>
      </w:r>
      <w:r w:rsidR="004E7975">
        <w:t xml:space="preserve"> rat</w:t>
      </w:r>
      <w:r>
        <w:t>es</w:t>
      </w:r>
      <w:bookmarkEnd w:id="79"/>
    </w:p>
    <w:p w14:paraId="40E842F2" w14:textId="77777777" w:rsidR="00067EE6" w:rsidRDefault="00067EE6" w:rsidP="00701516">
      <w:pPr>
        <w:pStyle w:val="Paragraph"/>
        <w:tabs>
          <w:tab w:val="left" w:pos="720"/>
        </w:tabs>
      </w:pPr>
    </w:p>
    <w:p w14:paraId="35FE063F" w14:textId="493240FE" w:rsidR="00A14A3A" w:rsidRDefault="00A14A3A" w:rsidP="00A14A3A">
      <w:pPr>
        <w:pStyle w:val="Paragraph"/>
        <w:tabs>
          <w:tab w:val="left" w:pos="720"/>
        </w:tabs>
      </w:pPr>
      <w:r w:rsidRPr="00F26AFA">
        <w:t xml:space="preserve">The ACMA allocates access to the radiofrequency spectrum through one of </w:t>
      </w:r>
      <w:r w:rsidR="0061659C">
        <w:t>3</w:t>
      </w:r>
      <w:r w:rsidR="0061659C" w:rsidRPr="00F26AFA">
        <w:t xml:space="preserve"> </w:t>
      </w:r>
      <w:r w:rsidRPr="00F26AFA">
        <w:t xml:space="preserve">licence types: spectrum, </w:t>
      </w:r>
      <w:proofErr w:type="gramStart"/>
      <w:r w:rsidRPr="00F26AFA">
        <w:t>apparatus</w:t>
      </w:r>
      <w:proofErr w:type="gramEnd"/>
      <w:r w:rsidRPr="00F26AFA">
        <w:t xml:space="preserve"> or class licences. </w:t>
      </w:r>
      <w:r>
        <w:t>The</w:t>
      </w:r>
      <w:r w:rsidR="00787401">
        <w:t xml:space="preserve"> A</w:t>
      </w:r>
      <w:r>
        <w:t xml:space="preserve">pparatus </w:t>
      </w:r>
      <w:r w:rsidR="00787401">
        <w:t>L</w:t>
      </w:r>
      <w:r>
        <w:t>icen</w:t>
      </w:r>
      <w:r w:rsidR="001A7D63">
        <w:t>c</w:t>
      </w:r>
      <w:r>
        <w:t xml:space="preserve">e </w:t>
      </w:r>
      <w:r w:rsidR="00787401">
        <w:t>F</w:t>
      </w:r>
      <w:r>
        <w:t xml:space="preserve">ee </w:t>
      </w:r>
      <w:r w:rsidR="00787401">
        <w:t>S</w:t>
      </w:r>
      <w:r>
        <w:t xml:space="preserve">chedule published by the ACMA describes the rationale for </w:t>
      </w:r>
      <w:r w:rsidRPr="004D064A">
        <w:t>apparatus licence fees and provides the necessary information for licensees to calculate their own fees.</w:t>
      </w:r>
      <w:r>
        <w:t xml:space="preserve"> The publication is intended as a guide only and is updated periodically</w:t>
      </w:r>
      <w:r w:rsidR="00311DC1">
        <w:t xml:space="preserve"> –</w:t>
      </w:r>
      <w:r>
        <w:t xml:space="preserve"> the latest version can be found on the </w:t>
      </w:r>
      <w:hyperlink r:id="rId44" w:history="1">
        <w:r w:rsidR="0061659C">
          <w:rPr>
            <w:rStyle w:val="Hyperlink"/>
          </w:rPr>
          <w:t>ACMA website</w:t>
        </w:r>
      </w:hyperlink>
      <w:r>
        <w:t>.</w:t>
      </w:r>
    </w:p>
    <w:p w14:paraId="3B1CF87B" w14:textId="21358A37" w:rsidR="00C13A05" w:rsidRDefault="00C33E6F" w:rsidP="00701516">
      <w:pPr>
        <w:pStyle w:val="Paragraph"/>
        <w:tabs>
          <w:tab w:val="left" w:pos="720"/>
        </w:tabs>
      </w:pPr>
      <w:r>
        <w:t>The</w:t>
      </w:r>
      <w:r w:rsidR="000C6D91">
        <w:t xml:space="preserve"> A</w:t>
      </w:r>
      <w:r w:rsidR="008F57A8">
        <w:t xml:space="preserve">pparatus </w:t>
      </w:r>
      <w:r w:rsidR="000C6D91">
        <w:t>L</w:t>
      </w:r>
      <w:r w:rsidR="008F57A8">
        <w:t xml:space="preserve">icence </w:t>
      </w:r>
      <w:r w:rsidR="000C6D91">
        <w:t>F</w:t>
      </w:r>
      <w:r w:rsidR="008F57A8">
        <w:t xml:space="preserve">ee </w:t>
      </w:r>
      <w:r w:rsidR="000C6D91">
        <w:t>S</w:t>
      </w:r>
      <w:r w:rsidR="008F57A8">
        <w:t>chedule</w:t>
      </w:r>
      <w:r>
        <w:t xml:space="preserve"> notes not only tax rates but charges as well.</w:t>
      </w:r>
      <w:r w:rsidR="00B837F2">
        <w:rPr>
          <w:rStyle w:val="FootnoteReference"/>
        </w:rPr>
        <w:footnoteReference w:id="8"/>
      </w:r>
      <w:r w:rsidR="004F672D">
        <w:t xml:space="preserve"> </w:t>
      </w:r>
      <w:r>
        <w:t>A</w:t>
      </w:r>
      <w:r w:rsidR="00C51DA0">
        <w:t>s</w:t>
      </w:r>
      <w:r w:rsidR="008262D4">
        <w:t xml:space="preserve"> this response to submissions paper</w:t>
      </w:r>
      <w:r w:rsidR="000F2DF0">
        <w:t xml:space="preserve"> focuses on changes to</w:t>
      </w:r>
      <w:r w:rsidR="00717772">
        <w:t xml:space="preserve"> </w:t>
      </w:r>
      <w:r w:rsidR="000C69B9">
        <w:t xml:space="preserve">apparatus licence </w:t>
      </w:r>
      <w:r w:rsidR="00717772">
        <w:t>tax rates</w:t>
      </w:r>
      <w:r w:rsidR="00AE1C6F">
        <w:t xml:space="preserve"> </w:t>
      </w:r>
      <w:r w:rsidR="00293291">
        <w:t>information about charges is not included in the following.</w:t>
      </w:r>
    </w:p>
    <w:p w14:paraId="0F5FD260" w14:textId="24CC8354" w:rsidR="003A77F1" w:rsidRPr="00046DA5" w:rsidRDefault="003A77F1" w:rsidP="003A77F1">
      <w:pPr>
        <w:pStyle w:val="Heading2"/>
        <w:keepLines/>
      </w:pPr>
      <w:bookmarkStart w:id="80" w:name="_Toc57045327"/>
      <w:bookmarkStart w:id="81" w:name="_Toc59007951"/>
      <w:r>
        <w:t>Proposed changes</w:t>
      </w:r>
      <w:bookmarkEnd w:id="80"/>
      <w:bookmarkEnd w:id="81"/>
    </w:p>
    <w:p w14:paraId="459C1F20" w14:textId="788E4332" w:rsidR="00A14A3A" w:rsidRDefault="00A14A3A" w:rsidP="00A14A3A">
      <w:pPr>
        <w:pStyle w:val="Paragraph"/>
        <w:tabs>
          <w:tab w:val="left" w:pos="720"/>
        </w:tabs>
      </w:pPr>
      <w:r>
        <w:t>Annual licen</w:t>
      </w:r>
      <w:r w:rsidR="00DB7C63">
        <w:t>c</w:t>
      </w:r>
      <w:r>
        <w:t>e taxes are generally calculated by a licen</w:t>
      </w:r>
      <w:r w:rsidR="00AC084D">
        <w:t>c</w:t>
      </w:r>
      <w:r>
        <w:t>e tax formula that will consider several variables including a normalisation factor, bandwidth, power, location weighting, and adjustment factor. More information regarding the licen</w:t>
      </w:r>
      <w:r w:rsidR="00583411">
        <w:t>c</w:t>
      </w:r>
      <w:r>
        <w:t>e tax formula is available in the Apparatus licen</w:t>
      </w:r>
      <w:r w:rsidR="00583411">
        <w:t>c</w:t>
      </w:r>
      <w:r>
        <w:t>e fee schedule.</w:t>
      </w:r>
    </w:p>
    <w:p w14:paraId="1162EFA9" w14:textId="6FA86593" w:rsidR="00A14A3A" w:rsidRDefault="00235060" w:rsidP="00A14A3A">
      <w:pPr>
        <w:pStyle w:val="Paragraph"/>
        <w:tabs>
          <w:tab w:val="left" w:pos="720"/>
        </w:tabs>
      </w:pPr>
      <w:r>
        <w:t xml:space="preserve">The tables in this appendix show the impact of the </w:t>
      </w:r>
      <w:r w:rsidR="00A14A3A">
        <w:t>propos</w:t>
      </w:r>
      <w:r>
        <w:t>ed</w:t>
      </w:r>
      <w:r w:rsidR="00A14A3A">
        <w:t xml:space="preserve"> changes to the normalisation factor and </w:t>
      </w:r>
      <w:r w:rsidR="001A45BB">
        <w:t xml:space="preserve">to </w:t>
      </w:r>
      <w:r w:rsidR="00A14A3A">
        <w:t>location weightings</w:t>
      </w:r>
      <w:r w:rsidR="00420CB6">
        <w:t xml:space="preserve"> </w:t>
      </w:r>
      <w:r w:rsidR="003F7CC1">
        <w:t xml:space="preserve">for services in </w:t>
      </w:r>
      <w:r w:rsidR="00D35BB5">
        <w:t xml:space="preserve">bands above 5 GHz </w:t>
      </w:r>
      <w:r w:rsidR="00420CB6">
        <w:t>as discussed in this response paper</w:t>
      </w:r>
      <w:r w:rsidR="00A14A3A">
        <w:t xml:space="preserve">. </w:t>
      </w:r>
    </w:p>
    <w:p w14:paraId="50A18AA8" w14:textId="6E2851F2" w:rsidR="00886633" w:rsidRDefault="009F392B" w:rsidP="00886633">
      <w:pPr>
        <w:pStyle w:val="Paragraph"/>
        <w:tabs>
          <w:tab w:val="left" w:pos="720"/>
        </w:tabs>
        <w:spacing w:after="80"/>
      </w:pPr>
      <w:r>
        <w:t>Table 34</w:t>
      </w:r>
      <w:r w:rsidR="00A65128">
        <w:t xml:space="preserve"> of the </w:t>
      </w:r>
      <w:r w:rsidR="000C6D91">
        <w:t>A</w:t>
      </w:r>
      <w:r w:rsidR="00A65128">
        <w:t xml:space="preserve">pparatus </w:t>
      </w:r>
      <w:r w:rsidR="000C6D91">
        <w:t>L</w:t>
      </w:r>
      <w:r w:rsidR="00A65128">
        <w:t xml:space="preserve">icence </w:t>
      </w:r>
      <w:r w:rsidR="000C6D91">
        <w:t>F</w:t>
      </w:r>
      <w:r w:rsidR="00A65128">
        <w:t xml:space="preserve">ee </w:t>
      </w:r>
      <w:r w:rsidR="000C6D91">
        <w:t>S</w:t>
      </w:r>
      <w:r w:rsidR="00A65128">
        <w:t>chedule</w:t>
      </w:r>
      <w:r w:rsidR="0061659C">
        <w:t xml:space="preserve"> below shows l</w:t>
      </w:r>
      <w:r w:rsidR="00886633">
        <w:t>ocation weighting</w:t>
      </w:r>
      <w:r w:rsidR="0061659C">
        <w:t xml:space="preserve">. </w:t>
      </w:r>
    </w:p>
    <w:tbl>
      <w:tblPr>
        <w:tblW w:w="8820" w:type="dxa"/>
        <w:tblLook w:val="04A0" w:firstRow="1" w:lastRow="0" w:firstColumn="1" w:lastColumn="0" w:noHBand="0" w:noVBand="1"/>
      </w:tblPr>
      <w:tblGrid>
        <w:gridCol w:w="1420"/>
        <w:gridCol w:w="655"/>
        <w:gridCol w:w="825"/>
        <w:gridCol w:w="655"/>
        <w:gridCol w:w="825"/>
        <w:gridCol w:w="655"/>
        <w:gridCol w:w="825"/>
        <w:gridCol w:w="655"/>
        <w:gridCol w:w="825"/>
        <w:gridCol w:w="655"/>
        <w:gridCol w:w="825"/>
      </w:tblGrid>
      <w:tr w:rsidR="00FD277A" w:rsidRPr="00FD277A" w14:paraId="44A93FF5" w14:textId="77777777" w:rsidTr="00CA6638">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auto" w:fill="404040" w:themeFill="text1" w:themeFillTint="BF"/>
            <w:noWrap/>
            <w:vAlign w:val="center"/>
            <w:hideMark/>
          </w:tcPr>
          <w:p w14:paraId="39FA0B05"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Spectrum location</w:t>
            </w:r>
          </w:p>
        </w:tc>
        <w:tc>
          <w:tcPr>
            <w:tcW w:w="7400" w:type="dxa"/>
            <w:gridSpan w:val="10"/>
            <w:tcBorders>
              <w:top w:val="nil"/>
              <w:left w:val="nil"/>
              <w:bottom w:val="nil"/>
              <w:right w:val="nil"/>
            </w:tcBorders>
            <w:shd w:val="clear" w:color="000000" w:fill="404040"/>
            <w:noWrap/>
            <w:vAlign w:val="bottom"/>
            <w:hideMark/>
          </w:tcPr>
          <w:p w14:paraId="488580C1"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Geographic location</w:t>
            </w:r>
          </w:p>
        </w:tc>
      </w:tr>
      <w:tr w:rsidR="00FD277A" w:rsidRPr="00FD277A" w14:paraId="3FC99677" w14:textId="77777777" w:rsidTr="00CA6638">
        <w:trPr>
          <w:trHeight w:val="158"/>
        </w:trPr>
        <w:tc>
          <w:tcPr>
            <w:tcW w:w="1420" w:type="dxa"/>
            <w:vMerge/>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14:paraId="2C077DA9" w14:textId="77777777" w:rsidR="00FD277A" w:rsidRPr="00FD277A" w:rsidRDefault="00FD277A" w:rsidP="00FD277A">
            <w:pPr>
              <w:spacing w:after="0" w:line="240" w:lineRule="auto"/>
              <w:rPr>
                <w:rFonts w:cs="Arial"/>
                <w:b/>
                <w:bCs/>
                <w:color w:val="FFFFFF"/>
                <w:sz w:val="12"/>
                <w:szCs w:val="12"/>
              </w:rPr>
            </w:pP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366C8633"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Australia-wide</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7C652924"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High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4FE84961"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Medium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1D53FF75"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Low density</w:t>
            </w:r>
          </w:p>
        </w:tc>
        <w:tc>
          <w:tcPr>
            <w:tcW w:w="1480" w:type="dxa"/>
            <w:gridSpan w:val="2"/>
            <w:tcBorders>
              <w:top w:val="nil"/>
              <w:left w:val="nil"/>
              <w:bottom w:val="nil"/>
              <w:right w:val="nil"/>
            </w:tcBorders>
            <w:shd w:val="clear" w:color="000000" w:fill="404040"/>
            <w:noWrap/>
            <w:vAlign w:val="bottom"/>
            <w:hideMark/>
          </w:tcPr>
          <w:p w14:paraId="3A7BF097"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Remote density</w:t>
            </w:r>
          </w:p>
        </w:tc>
      </w:tr>
      <w:tr w:rsidR="00FD277A" w:rsidRPr="00FD277A" w14:paraId="42582866" w14:textId="77777777" w:rsidTr="00CA6638">
        <w:trPr>
          <w:trHeight w:val="158"/>
        </w:trPr>
        <w:tc>
          <w:tcPr>
            <w:tcW w:w="1420" w:type="dxa"/>
            <w:vMerge/>
            <w:tcBorders>
              <w:top w:val="single" w:sz="4" w:space="0" w:color="auto"/>
              <w:left w:val="single" w:sz="4" w:space="0" w:color="auto"/>
              <w:bottom w:val="single" w:sz="4" w:space="0" w:color="000000"/>
              <w:right w:val="single" w:sz="4" w:space="0" w:color="auto"/>
            </w:tcBorders>
            <w:shd w:val="clear" w:color="auto" w:fill="404040" w:themeFill="text1" w:themeFillTint="BF"/>
            <w:vAlign w:val="center"/>
            <w:hideMark/>
          </w:tcPr>
          <w:p w14:paraId="339E2341" w14:textId="77777777" w:rsidR="00FD277A" w:rsidRPr="00FD277A" w:rsidRDefault="00FD277A" w:rsidP="00FD277A">
            <w:pPr>
              <w:spacing w:after="0" w:line="240" w:lineRule="auto"/>
              <w:rPr>
                <w:rFonts w:cs="Arial"/>
                <w:b/>
                <w:bCs/>
                <w:color w:val="FFFFFF"/>
                <w:sz w:val="12"/>
                <w:szCs w:val="12"/>
              </w:rPr>
            </w:pPr>
          </w:p>
        </w:tc>
        <w:tc>
          <w:tcPr>
            <w:tcW w:w="655" w:type="dxa"/>
            <w:tcBorders>
              <w:top w:val="nil"/>
              <w:left w:val="nil"/>
              <w:bottom w:val="single" w:sz="4" w:space="0" w:color="auto"/>
              <w:right w:val="single" w:sz="4" w:space="0" w:color="auto"/>
            </w:tcBorders>
            <w:shd w:val="clear" w:color="000000" w:fill="404040"/>
            <w:noWrap/>
            <w:vAlign w:val="bottom"/>
            <w:hideMark/>
          </w:tcPr>
          <w:p w14:paraId="54BB4E27"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0B20A55"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39432264"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5F8B230E"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77CCA9EC"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019FBAC6"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67CCF11B"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C4A74F9"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0F76436F"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4705BE09" w14:textId="77777777" w:rsidR="00FD277A" w:rsidRPr="00FD277A" w:rsidRDefault="00FD277A" w:rsidP="00FD277A">
            <w:pPr>
              <w:spacing w:after="0" w:line="240" w:lineRule="auto"/>
              <w:rPr>
                <w:rFonts w:cs="Arial"/>
                <w:b/>
                <w:bCs/>
                <w:color w:val="FFFFFF"/>
                <w:sz w:val="12"/>
                <w:szCs w:val="12"/>
              </w:rPr>
            </w:pPr>
            <w:r w:rsidRPr="00FD277A">
              <w:rPr>
                <w:rFonts w:cs="Arial"/>
                <w:b/>
                <w:bCs/>
                <w:color w:val="FFFFFF"/>
                <w:sz w:val="12"/>
                <w:szCs w:val="12"/>
              </w:rPr>
              <w:t>Proposed</w:t>
            </w:r>
          </w:p>
        </w:tc>
      </w:tr>
      <w:tr w:rsidR="00E665A8" w:rsidRPr="00FD277A" w14:paraId="6FD678F2"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B12B5A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 xml:space="preserve"> 0 to 30 MHz</w:t>
            </w:r>
          </w:p>
        </w:tc>
        <w:tc>
          <w:tcPr>
            <w:tcW w:w="655" w:type="dxa"/>
            <w:tcBorders>
              <w:top w:val="nil"/>
              <w:left w:val="nil"/>
              <w:bottom w:val="single" w:sz="4" w:space="0" w:color="auto"/>
              <w:right w:val="single" w:sz="4" w:space="0" w:color="auto"/>
            </w:tcBorders>
            <w:shd w:val="clear" w:color="auto" w:fill="auto"/>
            <w:noWrap/>
            <w:vAlign w:val="bottom"/>
            <w:hideMark/>
          </w:tcPr>
          <w:p w14:paraId="27D0D23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825" w:type="dxa"/>
            <w:tcBorders>
              <w:top w:val="nil"/>
              <w:left w:val="nil"/>
              <w:bottom w:val="single" w:sz="4" w:space="0" w:color="auto"/>
              <w:right w:val="single" w:sz="4" w:space="0" w:color="auto"/>
            </w:tcBorders>
            <w:shd w:val="clear" w:color="000000" w:fill="E7E6E6"/>
            <w:noWrap/>
            <w:vAlign w:val="bottom"/>
            <w:hideMark/>
          </w:tcPr>
          <w:p w14:paraId="111E5BE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655" w:type="dxa"/>
            <w:tcBorders>
              <w:top w:val="nil"/>
              <w:left w:val="nil"/>
              <w:bottom w:val="single" w:sz="4" w:space="0" w:color="auto"/>
              <w:right w:val="single" w:sz="4" w:space="0" w:color="auto"/>
            </w:tcBorders>
            <w:shd w:val="clear" w:color="auto" w:fill="auto"/>
            <w:noWrap/>
            <w:vAlign w:val="bottom"/>
            <w:hideMark/>
          </w:tcPr>
          <w:p w14:paraId="54B9974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825" w:type="dxa"/>
            <w:tcBorders>
              <w:top w:val="nil"/>
              <w:left w:val="nil"/>
              <w:bottom w:val="single" w:sz="4" w:space="0" w:color="auto"/>
              <w:right w:val="single" w:sz="4" w:space="0" w:color="auto"/>
            </w:tcBorders>
            <w:shd w:val="clear" w:color="000000" w:fill="E7E6E6"/>
            <w:noWrap/>
            <w:vAlign w:val="bottom"/>
            <w:hideMark/>
          </w:tcPr>
          <w:p w14:paraId="6EED1BC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655" w:type="dxa"/>
            <w:tcBorders>
              <w:top w:val="nil"/>
              <w:left w:val="nil"/>
              <w:bottom w:val="single" w:sz="4" w:space="0" w:color="auto"/>
              <w:right w:val="single" w:sz="4" w:space="0" w:color="auto"/>
            </w:tcBorders>
            <w:shd w:val="clear" w:color="auto" w:fill="auto"/>
            <w:noWrap/>
            <w:vAlign w:val="bottom"/>
            <w:hideMark/>
          </w:tcPr>
          <w:p w14:paraId="194FF98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825" w:type="dxa"/>
            <w:tcBorders>
              <w:top w:val="nil"/>
              <w:left w:val="nil"/>
              <w:bottom w:val="single" w:sz="4" w:space="0" w:color="auto"/>
              <w:right w:val="single" w:sz="4" w:space="0" w:color="auto"/>
            </w:tcBorders>
            <w:shd w:val="clear" w:color="000000" w:fill="E7E6E6"/>
            <w:noWrap/>
            <w:vAlign w:val="bottom"/>
            <w:hideMark/>
          </w:tcPr>
          <w:p w14:paraId="2C24DF0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655" w:type="dxa"/>
            <w:tcBorders>
              <w:top w:val="nil"/>
              <w:left w:val="nil"/>
              <w:bottom w:val="single" w:sz="4" w:space="0" w:color="auto"/>
              <w:right w:val="single" w:sz="4" w:space="0" w:color="auto"/>
            </w:tcBorders>
            <w:shd w:val="clear" w:color="auto" w:fill="auto"/>
            <w:noWrap/>
            <w:vAlign w:val="bottom"/>
            <w:hideMark/>
          </w:tcPr>
          <w:p w14:paraId="1D8BE1D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825" w:type="dxa"/>
            <w:tcBorders>
              <w:top w:val="nil"/>
              <w:left w:val="nil"/>
              <w:bottom w:val="single" w:sz="4" w:space="0" w:color="auto"/>
              <w:right w:val="single" w:sz="4" w:space="0" w:color="auto"/>
            </w:tcBorders>
            <w:shd w:val="clear" w:color="000000" w:fill="E7E6E6"/>
            <w:noWrap/>
            <w:vAlign w:val="bottom"/>
            <w:hideMark/>
          </w:tcPr>
          <w:p w14:paraId="1A648D1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655" w:type="dxa"/>
            <w:tcBorders>
              <w:top w:val="nil"/>
              <w:left w:val="nil"/>
              <w:bottom w:val="single" w:sz="4" w:space="0" w:color="auto"/>
              <w:right w:val="single" w:sz="4" w:space="0" w:color="auto"/>
            </w:tcBorders>
            <w:shd w:val="clear" w:color="auto" w:fill="auto"/>
            <w:noWrap/>
            <w:vAlign w:val="bottom"/>
            <w:hideMark/>
          </w:tcPr>
          <w:p w14:paraId="1E86635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c>
          <w:tcPr>
            <w:tcW w:w="825" w:type="dxa"/>
            <w:tcBorders>
              <w:top w:val="nil"/>
              <w:left w:val="nil"/>
              <w:bottom w:val="single" w:sz="4" w:space="0" w:color="auto"/>
              <w:right w:val="single" w:sz="4" w:space="0" w:color="auto"/>
            </w:tcBorders>
            <w:shd w:val="clear" w:color="000000" w:fill="E7E6E6"/>
            <w:noWrap/>
            <w:vAlign w:val="bottom"/>
            <w:hideMark/>
          </w:tcPr>
          <w:p w14:paraId="249E816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4.3150</w:t>
            </w:r>
          </w:p>
        </w:tc>
      </w:tr>
      <w:tr w:rsidR="00E665A8" w:rsidRPr="00FD277A" w14:paraId="26576309"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EACEC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&gt;30 to 70 MHz</w:t>
            </w:r>
          </w:p>
        </w:tc>
        <w:tc>
          <w:tcPr>
            <w:tcW w:w="655" w:type="dxa"/>
            <w:tcBorders>
              <w:top w:val="nil"/>
              <w:left w:val="nil"/>
              <w:bottom w:val="single" w:sz="4" w:space="0" w:color="auto"/>
              <w:right w:val="single" w:sz="4" w:space="0" w:color="auto"/>
            </w:tcBorders>
            <w:shd w:val="clear" w:color="auto" w:fill="auto"/>
            <w:noWrap/>
            <w:vAlign w:val="bottom"/>
            <w:hideMark/>
          </w:tcPr>
          <w:p w14:paraId="780B93A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9.7470</w:t>
            </w:r>
          </w:p>
        </w:tc>
        <w:tc>
          <w:tcPr>
            <w:tcW w:w="825" w:type="dxa"/>
            <w:tcBorders>
              <w:top w:val="nil"/>
              <w:left w:val="nil"/>
              <w:bottom w:val="single" w:sz="4" w:space="0" w:color="auto"/>
              <w:right w:val="single" w:sz="4" w:space="0" w:color="auto"/>
            </w:tcBorders>
            <w:shd w:val="clear" w:color="000000" w:fill="E7E6E6"/>
            <w:noWrap/>
            <w:vAlign w:val="bottom"/>
            <w:hideMark/>
          </w:tcPr>
          <w:p w14:paraId="6F2CC5C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9.7470</w:t>
            </w:r>
          </w:p>
        </w:tc>
        <w:tc>
          <w:tcPr>
            <w:tcW w:w="655" w:type="dxa"/>
            <w:tcBorders>
              <w:top w:val="nil"/>
              <w:left w:val="nil"/>
              <w:bottom w:val="single" w:sz="4" w:space="0" w:color="auto"/>
              <w:right w:val="single" w:sz="4" w:space="0" w:color="auto"/>
            </w:tcBorders>
            <w:shd w:val="clear" w:color="auto" w:fill="auto"/>
            <w:noWrap/>
            <w:vAlign w:val="bottom"/>
            <w:hideMark/>
          </w:tcPr>
          <w:p w14:paraId="23AB9DF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3.8070</w:t>
            </w:r>
          </w:p>
        </w:tc>
        <w:tc>
          <w:tcPr>
            <w:tcW w:w="825" w:type="dxa"/>
            <w:tcBorders>
              <w:top w:val="nil"/>
              <w:left w:val="nil"/>
              <w:bottom w:val="single" w:sz="4" w:space="0" w:color="auto"/>
              <w:right w:val="single" w:sz="4" w:space="0" w:color="auto"/>
            </w:tcBorders>
            <w:shd w:val="clear" w:color="000000" w:fill="E7E6E6"/>
            <w:noWrap/>
            <w:vAlign w:val="bottom"/>
            <w:hideMark/>
          </w:tcPr>
          <w:p w14:paraId="09D8A5C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3.8070</w:t>
            </w:r>
          </w:p>
        </w:tc>
        <w:tc>
          <w:tcPr>
            <w:tcW w:w="655" w:type="dxa"/>
            <w:tcBorders>
              <w:top w:val="nil"/>
              <w:left w:val="nil"/>
              <w:bottom w:val="single" w:sz="4" w:space="0" w:color="auto"/>
              <w:right w:val="single" w:sz="4" w:space="0" w:color="auto"/>
            </w:tcBorders>
            <w:shd w:val="clear" w:color="auto" w:fill="auto"/>
            <w:noWrap/>
            <w:vAlign w:val="bottom"/>
            <w:hideMark/>
          </w:tcPr>
          <w:p w14:paraId="575CF6A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2.0250</w:t>
            </w:r>
          </w:p>
        </w:tc>
        <w:tc>
          <w:tcPr>
            <w:tcW w:w="825" w:type="dxa"/>
            <w:tcBorders>
              <w:top w:val="nil"/>
              <w:left w:val="nil"/>
              <w:bottom w:val="single" w:sz="4" w:space="0" w:color="auto"/>
              <w:right w:val="single" w:sz="4" w:space="0" w:color="auto"/>
            </w:tcBorders>
            <w:shd w:val="clear" w:color="000000" w:fill="E7E6E6"/>
            <w:noWrap/>
            <w:vAlign w:val="bottom"/>
            <w:hideMark/>
          </w:tcPr>
          <w:p w14:paraId="246FF87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2.0250</w:t>
            </w:r>
          </w:p>
        </w:tc>
        <w:tc>
          <w:tcPr>
            <w:tcW w:w="655" w:type="dxa"/>
            <w:tcBorders>
              <w:top w:val="nil"/>
              <w:left w:val="nil"/>
              <w:bottom w:val="single" w:sz="4" w:space="0" w:color="auto"/>
              <w:right w:val="single" w:sz="4" w:space="0" w:color="auto"/>
            </w:tcBorders>
            <w:shd w:val="clear" w:color="auto" w:fill="auto"/>
            <w:noWrap/>
            <w:vAlign w:val="bottom"/>
            <w:hideMark/>
          </w:tcPr>
          <w:p w14:paraId="769C51E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825" w:type="dxa"/>
            <w:tcBorders>
              <w:top w:val="nil"/>
              <w:left w:val="nil"/>
              <w:bottom w:val="single" w:sz="4" w:space="0" w:color="auto"/>
              <w:right w:val="single" w:sz="4" w:space="0" w:color="auto"/>
            </w:tcBorders>
            <w:shd w:val="clear" w:color="000000" w:fill="E7E6E6"/>
            <w:noWrap/>
            <w:vAlign w:val="bottom"/>
            <w:hideMark/>
          </w:tcPr>
          <w:p w14:paraId="65FF3F9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655" w:type="dxa"/>
            <w:tcBorders>
              <w:top w:val="nil"/>
              <w:left w:val="nil"/>
              <w:bottom w:val="single" w:sz="4" w:space="0" w:color="auto"/>
              <w:right w:val="single" w:sz="4" w:space="0" w:color="auto"/>
            </w:tcBorders>
            <w:shd w:val="clear" w:color="auto" w:fill="auto"/>
            <w:noWrap/>
            <w:vAlign w:val="bottom"/>
            <w:hideMark/>
          </w:tcPr>
          <w:p w14:paraId="0C369B7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c>
          <w:tcPr>
            <w:tcW w:w="825" w:type="dxa"/>
            <w:tcBorders>
              <w:top w:val="nil"/>
              <w:left w:val="nil"/>
              <w:bottom w:val="single" w:sz="4" w:space="0" w:color="auto"/>
              <w:right w:val="single" w:sz="4" w:space="0" w:color="auto"/>
            </w:tcBorders>
            <w:shd w:val="clear" w:color="000000" w:fill="E7E6E6"/>
            <w:noWrap/>
            <w:vAlign w:val="bottom"/>
            <w:hideMark/>
          </w:tcPr>
          <w:p w14:paraId="25F7968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r>
      <w:tr w:rsidR="00E665A8" w:rsidRPr="00FD277A" w14:paraId="52E79773"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7F128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&gt;70 to 399.9 MHz</w:t>
            </w:r>
          </w:p>
        </w:tc>
        <w:tc>
          <w:tcPr>
            <w:tcW w:w="655" w:type="dxa"/>
            <w:tcBorders>
              <w:top w:val="nil"/>
              <w:left w:val="nil"/>
              <w:bottom w:val="single" w:sz="4" w:space="0" w:color="auto"/>
              <w:right w:val="single" w:sz="4" w:space="0" w:color="auto"/>
            </w:tcBorders>
            <w:shd w:val="clear" w:color="auto" w:fill="auto"/>
            <w:noWrap/>
            <w:vAlign w:val="bottom"/>
            <w:hideMark/>
          </w:tcPr>
          <w:p w14:paraId="02F5CE96"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825" w:type="dxa"/>
            <w:tcBorders>
              <w:top w:val="nil"/>
              <w:left w:val="nil"/>
              <w:bottom w:val="single" w:sz="4" w:space="0" w:color="auto"/>
              <w:right w:val="single" w:sz="4" w:space="0" w:color="auto"/>
            </w:tcBorders>
            <w:shd w:val="clear" w:color="000000" w:fill="E7E6E6"/>
            <w:noWrap/>
            <w:vAlign w:val="bottom"/>
            <w:hideMark/>
          </w:tcPr>
          <w:p w14:paraId="2B02FD4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655" w:type="dxa"/>
            <w:tcBorders>
              <w:top w:val="nil"/>
              <w:left w:val="nil"/>
              <w:bottom w:val="single" w:sz="4" w:space="0" w:color="auto"/>
              <w:right w:val="single" w:sz="4" w:space="0" w:color="auto"/>
            </w:tcBorders>
            <w:shd w:val="clear" w:color="auto" w:fill="auto"/>
            <w:noWrap/>
            <w:vAlign w:val="bottom"/>
            <w:hideMark/>
          </w:tcPr>
          <w:p w14:paraId="2CBC49C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4.1040</w:t>
            </w:r>
          </w:p>
        </w:tc>
        <w:tc>
          <w:tcPr>
            <w:tcW w:w="825" w:type="dxa"/>
            <w:tcBorders>
              <w:top w:val="nil"/>
              <w:left w:val="nil"/>
              <w:bottom w:val="single" w:sz="4" w:space="0" w:color="auto"/>
              <w:right w:val="single" w:sz="4" w:space="0" w:color="auto"/>
            </w:tcBorders>
            <w:shd w:val="clear" w:color="000000" w:fill="E7E6E6"/>
            <w:noWrap/>
            <w:vAlign w:val="bottom"/>
            <w:hideMark/>
          </w:tcPr>
          <w:p w14:paraId="4E67177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4.1040</w:t>
            </w:r>
          </w:p>
        </w:tc>
        <w:tc>
          <w:tcPr>
            <w:tcW w:w="655" w:type="dxa"/>
            <w:tcBorders>
              <w:top w:val="nil"/>
              <w:left w:val="nil"/>
              <w:bottom w:val="single" w:sz="4" w:space="0" w:color="auto"/>
              <w:right w:val="single" w:sz="4" w:space="0" w:color="auto"/>
            </w:tcBorders>
            <w:shd w:val="clear" w:color="auto" w:fill="auto"/>
            <w:noWrap/>
            <w:vAlign w:val="bottom"/>
            <w:hideMark/>
          </w:tcPr>
          <w:p w14:paraId="63FC335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1.8780</w:t>
            </w:r>
          </w:p>
        </w:tc>
        <w:tc>
          <w:tcPr>
            <w:tcW w:w="825" w:type="dxa"/>
            <w:tcBorders>
              <w:top w:val="nil"/>
              <w:left w:val="nil"/>
              <w:bottom w:val="single" w:sz="4" w:space="0" w:color="auto"/>
              <w:right w:val="single" w:sz="4" w:space="0" w:color="auto"/>
            </w:tcBorders>
            <w:shd w:val="clear" w:color="000000" w:fill="E7E6E6"/>
            <w:noWrap/>
            <w:vAlign w:val="bottom"/>
            <w:hideMark/>
          </w:tcPr>
          <w:p w14:paraId="5D498EF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1.8780</w:t>
            </w:r>
          </w:p>
        </w:tc>
        <w:tc>
          <w:tcPr>
            <w:tcW w:w="655" w:type="dxa"/>
            <w:tcBorders>
              <w:top w:val="nil"/>
              <w:left w:val="nil"/>
              <w:bottom w:val="single" w:sz="4" w:space="0" w:color="auto"/>
              <w:right w:val="single" w:sz="4" w:space="0" w:color="auto"/>
            </w:tcBorders>
            <w:shd w:val="clear" w:color="auto" w:fill="auto"/>
            <w:noWrap/>
            <w:vAlign w:val="bottom"/>
            <w:hideMark/>
          </w:tcPr>
          <w:p w14:paraId="69FF03E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0.4210</w:t>
            </w:r>
          </w:p>
        </w:tc>
        <w:tc>
          <w:tcPr>
            <w:tcW w:w="825" w:type="dxa"/>
            <w:tcBorders>
              <w:top w:val="nil"/>
              <w:left w:val="nil"/>
              <w:bottom w:val="single" w:sz="4" w:space="0" w:color="auto"/>
              <w:right w:val="single" w:sz="4" w:space="0" w:color="auto"/>
            </w:tcBorders>
            <w:shd w:val="clear" w:color="000000" w:fill="E7E6E6"/>
            <w:noWrap/>
            <w:vAlign w:val="bottom"/>
            <w:hideMark/>
          </w:tcPr>
          <w:p w14:paraId="7744C0A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0.4210</w:t>
            </w:r>
          </w:p>
        </w:tc>
        <w:tc>
          <w:tcPr>
            <w:tcW w:w="655" w:type="dxa"/>
            <w:tcBorders>
              <w:top w:val="nil"/>
              <w:left w:val="nil"/>
              <w:bottom w:val="single" w:sz="4" w:space="0" w:color="auto"/>
              <w:right w:val="single" w:sz="4" w:space="0" w:color="auto"/>
            </w:tcBorders>
            <w:shd w:val="clear" w:color="auto" w:fill="auto"/>
            <w:noWrap/>
            <w:vAlign w:val="bottom"/>
            <w:hideMark/>
          </w:tcPr>
          <w:p w14:paraId="239EBDE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0.2100</w:t>
            </w:r>
          </w:p>
        </w:tc>
        <w:tc>
          <w:tcPr>
            <w:tcW w:w="825" w:type="dxa"/>
            <w:tcBorders>
              <w:top w:val="nil"/>
              <w:left w:val="nil"/>
              <w:bottom w:val="single" w:sz="4" w:space="0" w:color="auto"/>
              <w:right w:val="single" w:sz="4" w:space="0" w:color="auto"/>
            </w:tcBorders>
            <w:shd w:val="clear" w:color="000000" w:fill="E7E6E6"/>
            <w:noWrap/>
            <w:vAlign w:val="bottom"/>
            <w:hideMark/>
          </w:tcPr>
          <w:p w14:paraId="1BE8F40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0.2100</w:t>
            </w:r>
          </w:p>
        </w:tc>
      </w:tr>
      <w:tr w:rsidR="00E665A8" w:rsidRPr="00FD277A" w14:paraId="043412C7"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9A9F2D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&gt;399.9 to 403 MHz</w:t>
            </w:r>
          </w:p>
        </w:tc>
        <w:tc>
          <w:tcPr>
            <w:tcW w:w="655" w:type="dxa"/>
            <w:tcBorders>
              <w:top w:val="nil"/>
              <w:left w:val="nil"/>
              <w:bottom w:val="single" w:sz="4" w:space="0" w:color="auto"/>
              <w:right w:val="single" w:sz="4" w:space="0" w:color="auto"/>
            </w:tcBorders>
            <w:shd w:val="clear" w:color="auto" w:fill="auto"/>
            <w:noWrap/>
            <w:vAlign w:val="bottom"/>
            <w:hideMark/>
          </w:tcPr>
          <w:p w14:paraId="27D6EB3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825" w:type="dxa"/>
            <w:tcBorders>
              <w:top w:val="nil"/>
              <w:left w:val="nil"/>
              <w:bottom w:val="single" w:sz="4" w:space="0" w:color="auto"/>
              <w:right w:val="single" w:sz="4" w:space="0" w:color="auto"/>
            </w:tcBorders>
            <w:shd w:val="clear" w:color="000000" w:fill="E7E6E6"/>
            <w:noWrap/>
            <w:vAlign w:val="bottom"/>
            <w:hideMark/>
          </w:tcPr>
          <w:p w14:paraId="7B0987A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655" w:type="dxa"/>
            <w:tcBorders>
              <w:top w:val="nil"/>
              <w:left w:val="nil"/>
              <w:bottom w:val="single" w:sz="4" w:space="0" w:color="auto"/>
              <w:right w:val="single" w:sz="4" w:space="0" w:color="auto"/>
            </w:tcBorders>
            <w:shd w:val="clear" w:color="auto" w:fill="auto"/>
            <w:noWrap/>
            <w:vAlign w:val="bottom"/>
            <w:hideMark/>
          </w:tcPr>
          <w:p w14:paraId="37A5C4C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5.6000</w:t>
            </w:r>
          </w:p>
        </w:tc>
        <w:tc>
          <w:tcPr>
            <w:tcW w:w="825" w:type="dxa"/>
            <w:tcBorders>
              <w:top w:val="nil"/>
              <w:left w:val="nil"/>
              <w:bottom w:val="single" w:sz="4" w:space="0" w:color="auto"/>
              <w:right w:val="single" w:sz="4" w:space="0" w:color="auto"/>
            </w:tcBorders>
            <w:shd w:val="clear" w:color="000000" w:fill="E7E6E6"/>
            <w:noWrap/>
            <w:vAlign w:val="bottom"/>
            <w:hideMark/>
          </w:tcPr>
          <w:p w14:paraId="6D7A8EE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5.6000</w:t>
            </w:r>
          </w:p>
        </w:tc>
        <w:tc>
          <w:tcPr>
            <w:tcW w:w="655" w:type="dxa"/>
            <w:tcBorders>
              <w:top w:val="nil"/>
              <w:left w:val="nil"/>
              <w:bottom w:val="single" w:sz="4" w:space="0" w:color="auto"/>
              <w:right w:val="single" w:sz="4" w:space="0" w:color="auto"/>
            </w:tcBorders>
            <w:shd w:val="clear" w:color="auto" w:fill="auto"/>
            <w:noWrap/>
            <w:vAlign w:val="bottom"/>
            <w:hideMark/>
          </w:tcPr>
          <w:p w14:paraId="11C9563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825" w:type="dxa"/>
            <w:tcBorders>
              <w:top w:val="nil"/>
              <w:left w:val="nil"/>
              <w:bottom w:val="single" w:sz="4" w:space="0" w:color="auto"/>
              <w:right w:val="single" w:sz="4" w:space="0" w:color="auto"/>
            </w:tcBorders>
            <w:shd w:val="clear" w:color="000000" w:fill="E7E6E6"/>
            <w:noWrap/>
            <w:vAlign w:val="bottom"/>
            <w:hideMark/>
          </w:tcPr>
          <w:p w14:paraId="73FD403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655" w:type="dxa"/>
            <w:tcBorders>
              <w:top w:val="nil"/>
              <w:left w:val="nil"/>
              <w:bottom w:val="single" w:sz="4" w:space="0" w:color="auto"/>
              <w:right w:val="single" w:sz="4" w:space="0" w:color="auto"/>
            </w:tcBorders>
            <w:shd w:val="clear" w:color="auto" w:fill="auto"/>
            <w:noWrap/>
            <w:vAlign w:val="bottom"/>
            <w:hideMark/>
          </w:tcPr>
          <w:p w14:paraId="5596503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825" w:type="dxa"/>
            <w:tcBorders>
              <w:top w:val="nil"/>
              <w:left w:val="nil"/>
              <w:bottom w:val="single" w:sz="4" w:space="0" w:color="auto"/>
              <w:right w:val="single" w:sz="4" w:space="0" w:color="auto"/>
            </w:tcBorders>
            <w:shd w:val="clear" w:color="000000" w:fill="E7E6E6"/>
            <w:noWrap/>
            <w:vAlign w:val="bottom"/>
            <w:hideMark/>
          </w:tcPr>
          <w:p w14:paraId="028FD866"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655" w:type="dxa"/>
            <w:tcBorders>
              <w:top w:val="nil"/>
              <w:left w:val="nil"/>
              <w:bottom w:val="single" w:sz="4" w:space="0" w:color="auto"/>
              <w:right w:val="single" w:sz="4" w:space="0" w:color="auto"/>
            </w:tcBorders>
            <w:shd w:val="clear" w:color="auto" w:fill="auto"/>
            <w:noWrap/>
            <w:vAlign w:val="bottom"/>
            <w:hideMark/>
          </w:tcPr>
          <w:p w14:paraId="636D7E0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c>
          <w:tcPr>
            <w:tcW w:w="825" w:type="dxa"/>
            <w:tcBorders>
              <w:top w:val="nil"/>
              <w:left w:val="nil"/>
              <w:bottom w:val="single" w:sz="4" w:space="0" w:color="auto"/>
              <w:right w:val="single" w:sz="4" w:space="0" w:color="auto"/>
            </w:tcBorders>
            <w:shd w:val="clear" w:color="000000" w:fill="E7E6E6"/>
            <w:noWrap/>
            <w:vAlign w:val="bottom"/>
            <w:hideMark/>
          </w:tcPr>
          <w:p w14:paraId="7A8966A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r>
      <w:tr w:rsidR="00E665A8" w:rsidRPr="00FD277A" w14:paraId="4B06B431"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C1046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 403 to 520 MHz</w:t>
            </w:r>
          </w:p>
        </w:tc>
        <w:tc>
          <w:tcPr>
            <w:tcW w:w="655" w:type="dxa"/>
            <w:tcBorders>
              <w:top w:val="nil"/>
              <w:left w:val="nil"/>
              <w:bottom w:val="single" w:sz="4" w:space="0" w:color="auto"/>
              <w:right w:val="single" w:sz="4" w:space="0" w:color="auto"/>
            </w:tcBorders>
            <w:shd w:val="clear" w:color="auto" w:fill="auto"/>
            <w:noWrap/>
            <w:vAlign w:val="bottom"/>
            <w:hideMark/>
          </w:tcPr>
          <w:p w14:paraId="73D1DDE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825" w:type="dxa"/>
            <w:tcBorders>
              <w:top w:val="nil"/>
              <w:left w:val="nil"/>
              <w:bottom w:val="single" w:sz="4" w:space="0" w:color="auto"/>
              <w:right w:val="single" w:sz="4" w:space="0" w:color="auto"/>
            </w:tcBorders>
            <w:shd w:val="clear" w:color="000000" w:fill="E7E6E6"/>
            <w:noWrap/>
            <w:vAlign w:val="bottom"/>
            <w:hideMark/>
          </w:tcPr>
          <w:p w14:paraId="553A802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655" w:type="dxa"/>
            <w:tcBorders>
              <w:top w:val="nil"/>
              <w:left w:val="nil"/>
              <w:bottom w:val="single" w:sz="4" w:space="0" w:color="auto"/>
              <w:right w:val="single" w:sz="4" w:space="0" w:color="auto"/>
            </w:tcBorders>
            <w:shd w:val="clear" w:color="auto" w:fill="auto"/>
            <w:noWrap/>
            <w:vAlign w:val="bottom"/>
            <w:hideMark/>
          </w:tcPr>
          <w:p w14:paraId="4053D3B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7.4114</w:t>
            </w:r>
          </w:p>
        </w:tc>
        <w:tc>
          <w:tcPr>
            <w:tcW w:w="825" w:type="dxa"/>
            <w:tcBorders>
              <w:top w:val="nil"/>
              <w:left w:val="nil"/>
              <w:bottom w:val="single" w:sz="4" w:space="0" w:color="auto"/>
              <w:right w:val="single" w:sz="4" w:space="0" w:color="auto"/>
            </w:tcBorders>
            <w:shd w:val="clear" w:color="000000" w:fill="E7E6E6"/>
            <w:noWrap/>
            <w:vAlign w:val="bottom"/>
            <w:hideMark/>
          </w:tcPr>
          <w:p w14:paraId="6AED715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7.4110</w:t>
            </w:r>
          </w:p>
        </w:tc>
        <w:tc>
          <w:tcPr>
            <w:tcW w:w="655" w:type="dxa"/>
            <w:tcBorders>
              <w:top w:val="nil"/>
              <w:left w:val="nil"/>
              <w:bottom w:val="single" w:sz="4" w:space="0" w:color="auto"/>
              <w:right w:val="single" w:sz="4" w:space="0" w:color="auto"/>
            </w:tcBorders>
            <w:shd w:val="clear" w:color="auto" w:fill="auto"/>
            <w:noWrap/>
            <w:vAlign w:val="bottom"/>
            <w:hideMark/>
          </w:tcPr>
          <w:p w14:paraId="3220EA7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825" w:type="dxa"/>
            <w:tcBorders>
              <w:top w:val="nil"/>
              <w:left w:val="nil"/>
              <w:bottom w:val="single" w:sz="4" w:space="0" w:color="auto"/>
              <w:right w:val="single" w:sz="4" w:space="0" w:color="auto"/>
            </w:tcBorders>
            <w:shd w:val="clear" w:color="000000" w:fill="E7E6E6"/>
            <w:noWrap/>
            <w:vAlign w:val="bottom"/>
            <w:hideMark/>
          </w:tcPr>
          <w:p w14:paraId="33D0DB4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655" w:type="dxa"/>
            <w:tcBorders>
              <w:top w:val="nil"/>
              <w:left w:val="nil"/>
              <w:bottom w:val="single" w:sz="4" w:space="0" w:color="auto"/>
              <w:right w:val="single" w:sz="4" w:space="0" w:color="auto"/>
            </w:tcBorders>
            <w:shd w:val="clear" w:color="auto" w:fill="auto"/>
            <w:noWrap/>
            <w:vAlign w:val="bottom"/>
            <w:hideMark/>
          </w:tcPr>
          <w:p w14:paraId="6E794E7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825" w:type="dxa"/>
            <w:tcBorders>
              <w:top w:val="nil"/>
              <w:left w:val="nil"/>
              <w:bottom w:val="single" w:sz="4" w:space="0" w:color="auto"/>
              <w:right w:val="single" w:sz="4" w:space="0" w:color="auto"/>
            </w:tcBorders>
            <w:shd w:val="clear" w:color="000000" w:fill="E7E6E6"/>
            <w:noWrap/>
            <w:vAlign w:val="bottom"/>
            <w:hideMark/>
          </w:tcPr>
          <w:p w14:paraId="3EC522D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655" w:type="dxa"/>
            <w:tcBorders>
              <w:top w:val="nil"/>
              <w:left w:val="nil"/>
              <w:bottom w:val="single" w:sz="4" w:space="0" w:color="auto"/>
              <w:right w:val="single" w:sz="4" w:space="0" w:color="auto"/>
            </w:tcBorders>
            <w:shd w:val="clear" w:color="auto" w:fill="auto"/>
            <w:noWrap/>
            <w:vAlign w:val="bottom"/>
            <w:hideMark/>
          </w:tcPr>
          <w:p w14:paraId="2BD6A80A" w14:textId="77777777" w:rsidR="00FD277A" w:rsidRPr="00FD277A" w:rsidRDefault="00FD277A" w:rsidP="00FD277A">
            <w:pPr>
              <w:spacing w:after="0" w:line="240" w:lineRule="auto"/>
              <w:rPr>
                <w:rFonts w:cs="Arial"/>
                <w:sz w:val="12"/>
                <w:szCs w:val="12"/>
              </w:rPr>
            </w:pPr>
            <w:r w:rsidRPr="00FD277A">
              <w:rPr>
                <w:rFonts w:cs="Arial"/>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64F94CD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0.0000</w:t>
            </w:r>
          </w:p>
        </w:tc>
      </w:tr>
      <w:tr w:rsidR="00E665A8" w:rsidRPr="00FD277A" w14:paraId="5CD377F0"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3BA9F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 520 to 960 MHz</w:t>
            </w:r>
          </w:p>
        </w:tc>
        <w:tc>
          <w:tcPr>
            <w:tcW w:w="655" w:type="dxa"/>
            <w:tcBorders>
              <w:top w:val="nil"/>
              <w:left w:val="nil"/>
              <w:bottom w:val="single" w:sz="4" w:space="0" w:color="auto"/>
              <w:right w:val="single" w:sz="4" w:space="0" w:color="auto"/>
            </w:tcBorders>
            <w:shd w:val="clear" w:color="auto" w:fill="auto"/>
            <w:noWrap/>
            <w:vAlign w:val="bottom"/>
            <w:hideMark/>
          </w:tcPr>
          <w:p w14:paraId="1AF3833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825" w:type="dxa"/>
            <w:tcBorders>
              <w:top w:val="nil"/>
              <w:left w:val="nil"/>
              <w:bottom w:val="single" w:sz="4" w:space="0" w:color="auto"/>
              <w:right w:val="single" w:sz="4" w:space="0" w:color="auto"/>
            </w:tcBorders>
            <w:shd w:val="clear" w:color="000000" w:fill="E7E6E6"/>
            <w:noWrap/>
            <w:vAlign w:val="bottom"/>
            <w:hideMark/>
          </w:tcPr>
          <w:p w14:paraId="0AFD370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10.0000</w:t>
            </w:r>
          </w:p>
        </w:tc>
        <w:tc>
          <w:tcPr>
            <w:tcW w:w="655" w:type="dxa"/>
            <w:tcBorders>
              <w:top w:val="nil"/>
              <w:left w:val="nil"/>
              <w:bottom w:val="single" w:sz="4" w:space="0" w:color="auto"/>
              <w:right w:val="single" w:sz="4" w:space="0" w:color="auto"/>
            </w:tcBorders>
            <w:shd w:val="clear" w:color="auto" w:fill="auto"/>
            <w:noWrap/>
            <w:vAlign w:val="bottom"/>
            <w:hideMark/>
          </w:tcPr>
          <w:p w14:paraId="2F342EC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5.6000</w:t>
            </w:r>
          </w:p>
        </w:tc>
        <w:tc>
          <w:tcPr>
            <w:tcW w:w="825" w:type="dxa"/>
            <w:tcBorders>
              <w:top w:val="nil"/>
              <w:left w:val="nil"/>
              <w:bottom w:val="single" w:sz="4" w:space="0" w:color="auto"/>
              <w:right w:val="single" w:sz="4" w:space="0" w:color="auto"/>
            </w:tcBorders>
            <w:shd w:val="clear" w:color="000000" w:fill="E7E6E6"/>
            <w:noWrap/>
            <w:vAlign w:val="bottom"/>
            <w:hideMark/>
          </w:tcPr>
          <w:p w14:paraId="7FF2729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5.6000</w:t>
            </w:r>
          </w:p>
        </w:tc>
        <w:tc>
          <w:tcPr>
            <w:tcW w:w="655" w:type="dxa"/>
            <w:tcBorders>
              <w:top w:val="nil"/>
              <w:left w:val="nil"/>
              <w:bottom w:val="single" w:sz="4" w:space="0" w:color="auto"/>
              <w:right w:val="single" w:sz="4" w:space="0" w:color="auto"/>
            </w:tcBorders>
            <w:shd w:val="clear" w:color="auto" w:fill="auto"/>
            <w:noWrap/>
            <w:vAlign w:val="bottom"/>
            <w:hideMark/>
          </w:tcPr>
          <w:p w14:paraId="1322C17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825" w:type="dxa"/>
            <w:tcBorders>
              <w:top w:val="nil"/>
              <w:left w:val="nil"/>
              <w:bottom w:val="single" w:sz="4" w:space="0" w:color="auto"/>
              <w:right w:val="single" w:sz="4" w:space="0" w:color="auto"/>
            </w:tcBorders>
            <w:shd w:val="clear" w:color="000000" w:fill="E7E6E6"/>
            <w:noWrap/>
            <w:vAlign w:val="bottom"/>
            <w:hideMark/>
          </w:tcPr>
          <w:p w14:paraId="37654F3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2.5620</w:t>
            </w:r>
          </w:p>
        </w:tc>
        <w:tc>
          <w:tcPr>
            <w:tcW w:w="655" w:type="dxa"/>
            <w:tcBorders>
              <w:top w:val="nil"/>
              <w:left w:val="nil"/>
              <w:bottom w:val="single" w:sz="4" w:space="0" w:color="auto"/>
              <w:right w:val="single" w:sz="4" w:space="0" w:color="auto"/>
            </w:tcBorders>
            <w:shd w:val="clear" w:color="auto" w:fill="auto"/>
            <w:noWrap/>
            <w:vAlign w:val="bottom"/>
            <w:hideMark/>
          </w:tcPr>
          <w:p w14:paraId="449BFDE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825" w:type="dxa"/>
            <w:tcBorders>
              <w:top w:val="nil"/>
              <w:left w:val="nil"/>
              <w:bottom w:val="single" w:sz="4" w:space="0" w:color="auto"/>
              <w:right w:val="single" w:sz="4" w:space="0" w:color="auto"/>
            </w:tcBorders>
            <w:shd w:val="clear" w:color="000000" w:fill="E7E6E6"/>
            <w:noWrap/>
            <w:vAlign w:val="bottom"/>
            <w:hideMark/>
          </w:tcPr>
          <w:p w14:paraId="2F67EDA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0.4370</w:t>
            </w:r>
          </w:p>
        </w:tc>
        <w:tc>
          <w:tcPr>
            <w:tcW w:w="655" w:type="dxa"/>
            <w:tcBorders>
              <w:top w:val="nil"/>
              <w:left w:val="nil"/>
              <w:bottom w:val="single" w:sz="4" w:space="0" w:color="auto"/>
              <w:right w:val="single" w:sz="4" w:space="0" w:color="auto"/>
            </w:tcBorders>
            <w:shd w:val="clear" w:color="auto" w:fill="auto"/>
            <w:noWrap/>
            <w:vAlign w:val="bottom"/>
            <w:hideMark/>
          </w:tcPr>
          <w:p w14:paraId="41158AC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c>
          <w:tcPr>
            <w:tcW w:w="825" w:type="dxa"/>
            <w:tcBorders>
              <w:top w:val="nil"/>
              <w:left w:val="nil"/>
              <w:bottom w:val="single" w:sz="4" w:space="0" w:color="auto"/>
              <w:right w:val="single" w:sz="4" w:space="0" w:color="auto"/>
            </w:tcBorders>
            <w:shd w:val="clear" w:color="000000" w:fill="E7E6E6"/>
            <w:noWrap/>
            <w:vAlign w:val="bottom"/>
            <w:hideMark/>
          </w:tcPr>
          <w:p w14:paraId="727A672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0.2180</w:t>
            </w:r>
          </w:p>
        </w:tc>
      </w:tr>
      <w:tr w:rsidR="00E665A8" w:rsidRPr="00FD277A" w14:paraId="3031FA0D"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D244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&gt;960 to 2,690 MHz</w:t>
            </w:r>
          </w:p>
        </w:tc>
        <w:tc>
          <w:tcPr>
            <w:tcW w:w="655" w:type="dxa"/>
            <w:tcBorders>
              <w:top w:val="nil"/>
              <w:left w:val="nil"/>
              <w:bottom w:val="single" w:sz="4" w:space="0" w:color="auto"/>
              <w:right w:val="single" w:sz="4" w:space="0" w:color="auto"/>
            </w:tcBorders>
            <w:shd w:val="clear" w:color="auto" w:fill="auto"/>
            <w:noWrap/>
            <w:vAlign w:val="bottom"/>
            <w:hideMark/>
          </w:tcPr>
          <w:p w14:paraId="0856905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9.9850</w:t>
            </w:r>
          </w:p>
        </w:tc>
        <w:tc>
          <w:tcPr>
            <w:tcW w:w="825" w:type="dxa"/>
            <w:tcBorders>
              <w:top w:val="nil"/>
              <w:left w:val="nil"/>
              <w:bottom w:val="single" w:sz="4" w:space="0" w:color="auto"/>
              <w:right w:val="single" w:sz="4" w:space="0" w:color="auto"/>
            </w:tcBorders>
            <w:shd w:val="clear" w:color="000000" w:fill="E7E6E6"/>
            <w:noWrap/>
            <w:vAlign w:val="bottom"/>
            <w:hideMark/>
          </w:tcPr>
          <w:p w14:paraId="7BEB2DF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9.9850</w:t>
            </w:r>
          </w:p>
        </w:tc>
        <w:tc>
          <w:tcPr>
            <w:tcW w:w="655" w:type="dxa"/>
            <w:tcBorders>
              <w:top w:val="nil"/>
              <w:left w:val="nil"/>
              <w:bottom w:val="single" w:sz="4" w:space="0" w:color="auto"/>
              <w:right w:val="single" w:sz="4" w:space="0" w:color="auto"/>
            </w:tcBorders>
            <w:shd w:val="clear" w:color="auto" w:fill="auto"/>
            <w:noWrap/>
            <w:vAlign w:val="bottom"/>
            <w:hideMark/>
          </w:tcPr>
          <w:p w14:paraId="084E717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2.2410</w:t>
            </w:r>
          </w:p>
        </w:tc>
        <w:tc>
          <w:tcPr>
            <w:tcW w:w="825" w:type="dxa"/>
            <w:tcBorders>
              <w:top w:val="nil"/>
              <w:left w:val="nil"/>
              <w:bottom w:val="single" w:sz="4" w:space="0" w:color="auto"/>
              <w:right w:val="single" w:sz="4" w:space="0" w:color="auto"/>
            </w:tcBorders>
            <w:shd w:val="clear" w:color="000000" w:fill="E7E6E6"/>
            <w:noWrap/>
            <w:vAlign w:val="bottom"/>
            <w:hideMark/>
          </w:tcPr>
          <w:p w14:paraId="446284F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2.2410</w:t>
            </w:r>
          </w:p>
        </w:tc>
        <w:tc>
          <w:tcPr>
            <w:tcW w:w="655" w:type="dxa"/>
            <w:tcBorders>
              <w:top w:val="nil"/>
              <w:left w:val="nil"/>
              <w:bottom w:val="single" w:sz="4" w:space="0" w:color="auto"/>
              <w:right w:val="single" w:sz="4" w:space="0" w:color="auto"/>
            </w:tcBorders>
            <w:shd w:val="clear" w:color="auto" w:fill="auto"/>
            <w:noWrap/>
            <w:vAlign w:val="bottom"/>
            <w:hideMark/>
          </w:tcPr>
          <w:p w14:paraId="1293E92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1.0360</w:t>
            </w:r>
          </w:p>
        </w:tc>
        <w:tc>
          <w:tcPr>
            <w:tcW w:w="825" w:type="dxa"/>
            <w:tcBorders>
              <w:top w:val="nil"/>
              <w:left w:val="nil"/>
              <w:bottom w:val="single" w:sz="4" w:space="0" w:color="auto"/>
              <w:right w:val="single" w:sz="4" w:space="0" w:color="auto"/>
            </w:tcBorders>
            <w:shd w:val="clear" w:color="000000" w:fill="E7E6E6"/>
            <w:noWrap/>
            <w:vAlign w:val="bottom"/>
            <w:hideMark/>
          </w:tcPr>
          <w:p w14:paraId="4F6516F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1.0360</w:t>
            </w:r>
          </w:p>
        </w:tc>
        <w:tc>
          <w:tcPr>
            <w:tcW w:w="655" w:type="dxa"/>
            <w:tcBorders>
              <w:top w:val="nil"/>
              <w:left w:val="nil"/>
              <w:bottom w:val="single" w:sz="4" w:space="0" w:color="auto"/>
              <w:right w:val="single" w:sz="4" w:space="0" w:color="auto"/>
            </w:tcBorders>
            <w:shd w:val="clear" w:color="auto" w:fill="auto"/>
            <w:noWrap/>
            <w:vAlign w:val="bottom"/>
            <w:hideMark/>
          </w:tcPr>
          <w:p w14:paraId="742F2E1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0.5210</w:t>
            </w:r>
          </w:p>
        </w:tc>
        <w:tc>
          <w:tcPr>
            <w:tcW w:w="825" w:type="dxa"/>
            <w:tcBorders>
              <w:top w:val="nil"/>
              <w:left w:val="nil"/>
              <w:bottom w:val="single" w:sz="4" w:space="0" w:color="auto"/>
              <w:right w:val="single" w:sz="4" w:space="0" w:color="auto"/>
            </w:tcBorders>
            <w:shd w:val="clear" w:color="000000" w:fill="E7E6E6"/>
            <w:noWrap/>
            <w:vAlign w:val="bottom"/>
            <w:hideMark/>
          </w:tcPr>
          <w:p w14:paraId="5107135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0.5210</w:t>
            </w:r>
          </w:p>
        </w:tc>
        <w:tc>
          <w:tcPr>
            <w:tcW w:w="655" w:type="dxa"/>
            <w:tcBorders>
              <w:top w:val="nil"/>
              <w:left w:val="nil"/>
              <w:bottom w:val="single" w:sz="4" w:space="0" w:color="auto"/>
              <w:right w:val="single" w:sz="4" w:space="0" w:color="auto"/>
            </w:tcBorders>
            <w:shd w:val="clear" w:color="auto" w:fill="auto"/>
            <w:noWrap/>
            <w:vAlign w:val="bottom"/>
            <w:hideMark/>
          </w:tcPr>
          <w:p w14:paraId="177D263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0.2600</w:t>
            </w:r>
          </w:p>
        </w:tc>
        <w:tc>
          <w:tcPr>
            <w:tcW w:w="825" w:type="dxa"/>
            <w:tcBorders>
              <w:top w:val="nil"/>
              <w:left w:val="nil"/>
              <w:bottom w:val="single" w:sz="4" w:space="0" w:color="auto"/>
              <w:right w:val="single" w:sz="4" w:space="0" w:color="auto"/>
            </w:tcBorders>
            <w:shd w:val="clear" w:color="000000" w:fill="E7E6E6"/>
            <w:noWrap/>
            <w:vAlign w:val="bottom"/>
            <w:hideMark/>
          </w:tcPr>
          <w:p w14:paraId="372F649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0.2600</w:t>
            </w:r>
          </w:p>
        </w:tc>
      </w:tr>
      <w:tr w:rsidR="00E665A8" w:rsidRPr="00FD277A" w14:paraId="0708E285"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52835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&gt;2.69 to 5.0 GHz</w:t>
            </w:r>
          </w:p>
        </w:tc>
        <w:tc>
          <w:tcPr>
            <w:tcW w:w="655" w:type="dxa"/>
            <w:tcBorders>
              <w:top w:val="nil"/>
              <w:left w:val="nil"/>
              <w:bottom w:val="single" w:sz="4" w:space="0" w:color="auto"/>
              <w:right w:val="single" w:sz="4" w:space="0" w:color="auto"/>
            </w:tcBorders>
            <w:shd w:val="clear" w:color="auto" w:fill="auto"/>
            <w:noWrap/>
            <w:vAlign w:val="bottom"/>
            <w:hideMark/>
          </w:tcPr>
          <w:p w14:paraId="60865AE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9.9740</w:t>
            </w:r>
          </w:p>
        </w:tc>
        <w:tc>
          <w:tcPr>
            <w:tcW w:w="825" w:type="dxa"/>
            <w:tcBorders>
              <w:top w:val="nil"/>
              <w:left w:val="nil"/>
              <w:bottom w:val="single" w:sz="4" w:space="0" w:color="auto"/>
              <w:right w:val="single" w:sz="4" w:space="0" w:color="auto"/>
            </w:tcBorders>
            <w:shd w:val="clear" w:color="000000" w:fill="E7E6E6"/>
            <w:noWrap/>
            <w:vAlign w:val="bottom"/>
            <w:hideMark/>
          </w:tcPr>
          <w:p w14:paraId="1D5B35A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9.9740</w:t>
            </w:r>
          </w:p>
        </w:tc>
        <w:tc>
          <w:tcPr>
            <w:tcW w:w="655" w:type="dxa"/>
            <w:tcBorders>
              <w:top w:val="nil"/>
              <w:left w:val="nil"/>
              <w:bottom w:val="single" w:sz="4" w:space="0" w:color="auto"/>
              <w:right w:val="single" w:sz="4" w:space="0" w:color="auto"/>
            </w:tcBorders>
            <w:shd w:val="clear" w:color="auto" w:fill="auto"/>
            <w:noWrap/>
            <w:vAlign w:val="bottom"/>
            <w:hideMark/>
          </w:tcPr>
          <w:p w14:paraId="4F251AC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1.8530</w:t>
            </w:r>
          </w:p>
        </w:tc>
        <w:tc>
          <w:tcPr>
            <w:tcW w:w="825" w:type="dxa"/>
            <w:tcBorders>
              <w:top w:val="nil"/>
              <w:left w:val="nil"/>
              <w:bottom w:val="single" w:sz="4" w:space="0" w:color="auto"/>
              <w:right w:val="single" w:sz="4" w:space="0" w:color="auto"/>
            </w:tcBorders>
            <w:shd w:val="clear" w:color="000000" w:fill="E7E6E6"/>
            <w:noWrap/>
            <w:vAlign w:val="bottom"/>
            <w:hideMark/>
          </w:tcPr>
          <w:p w14:paraId="5D824F5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1.8530</w:t>
            </w:r>
          </w:p>
        </w:tc>
        <w:tc>
          <w:tcPr>
            <w:tcW w:w="655" w:type="dxa"/>
            <w:tcBorders>
              <w:top w:val="nil"/>
              <w:left w:val="nil"/>
              <w:bottom w:val="single" w:sz="4" w:space="0" w:color="auto"/>
              <w:right w:val="single" w:sz="4" w:space="0" w:color="auto"/>
            </w:tcBorders>
            <w:shd w:val="clear" w:color="auto" w:fill="auto"/>
            <w:noWrap/>
            <w:vAlign w:val="bottom"/>
            <w:hideMark/>
          </w:tcPr>
          <w:p w14:paraId="6B29A14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0.7510</w:t>
            </w:r>
          </w:p>
        </w:tc>
        <w:tc>
          <w:tcPr>
            <w:tcW w:w="825" w:type="dxa"/>
            <w:tcBorders>
              <w:top w:val="nil"/>
              <w:left w:val="nil"/>
              <w:bottom w:val="single" w:sz="4" w:space="0" w:color="auto"/>
              <w:right w:val="single" w:sz="4" w:space="0" w:color="auto"/>
            </w:tcBorders>
            <w:shd w:val="clear" w:color="000000" w:fill="E7E6E6"/>
            <w:noWrap/>
            <w:vAlign w:val="bottom"/>
            <w:hideMark/>
          </w:tcPr>
          <w:p w14:paraId="371D0C3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0.7510</w:t>
            </w:r>
          </w:p>
        </w:tc>
        <w:tc>
          <w:tcPr>
            <w:tcW w:w="655" w:type="dxa"/>
            <w:tcBorders>
              <w:top w:val="nil"/>
              <w:left w:val="nil"/>
              <w:bottom w:val="single" w:sz="4" w:space="0" w:color="auto"/>
              <w:right w:val="single" w:sz="4" w:space="0" w:color="auto"/>
            </w:tcBorders>
            <w:shd w:val="clear" w:color="auto" w:fill="auto"/>
            <w:noWrap/>
            <w:vAlign w:val="bottom"/>
            <w:hideMark/>
          </w:tcPr>
          <w:p w14:paraId="706B6C4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0.6220</w:t>
            </w:r>
          </w:p>
        </w:tc>
        <w:tc>
          <w:tcPr>
            <w:tcW w:w="825" w:type="dxa"/>
            <w:tcBorders>
              <w:top w:val="nil"/>
              <w:left w:val="nil"/>
              <w:bottom w:val="single" w:sz="4" w:space="0" w:color="auto"/>
              <w:right w:val="single" w:sz="4" w:space="0" w:color="auto"/>
            </w:tcBorders>
            <w:shd w:val="clear" w:color="000000" w:fill="E7E6E6"/>
            <w:noWrap/>
            <w:vAlign w:val="bottom"/>
            <w:hideMark/>
          </w:tcPr>
          <w:p w14:paraId="6425E41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0.6220</w:t>
            </w:r>
          </w:p>
        </w:tc>
        <w:tc>
          <w:tcPr>
            <w:tcW w:w="655" w:type="dxa"/>
            <w:tcBorders>
              <w:top w:val="nil"/>
              <w:left w:val="nil"/>
              <w:bottom w:val="single" w:sz="4" w:space="0" w:color="auto"/>
              <w:right w:val="single" w:sz="4" w:space="0" w:color="auto"/>
            </w:tcBorders>
            <w:shd w:val="clear" w:color="auto" w:fill="auto"/>
            <w:noWrap/>
            <w:vAlign w:val="bottom"/>
            <w:hideMark/>
          </w:tcPr>
          <w:p w14:paraId="1CAD245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0.3110</w:t>
            </w:r>
          </w:p>
        </w:tc>
        <w:tc>
          <w:tcPr>
            <w:tcW w:w="825" w:type="dxa"/>
            <w:tcBorders>
              <w:top w:val="nil"/>
              <w:left w:val="nil"/>
              <w:bottom w:val="single" w:sz="4" w:space="0" w:color="auto"/>
              <w:right w:val="single" w:sz="4" w:space="0" w:color="auto"/>
            </w:tcBorders>
            <w:shd w:val="clear" w:color="000000" w:fill="E7E6E6"/>
            <w:noWrap/>
            <w:vAlign w:val="bottom"/>
            <w:hideMark/>
          </w:tcPr>
          <w:p w14:paraId="39582ED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0.3110</w:t>
            </w:r>
          </w:p>
        </w:tc>
      </w:tr>
      <w:tr w:rsidR="00E665A8" w:rsidRPr="00FD277A" w14:paraId="04B3CF90"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E6AC9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&gt;5.0 to 8.5 GHz</w:t>
            </w:r>
          </w:p>
        </w:tc>
        <w:tc>
          <w:tcPr>
            <w:tcW w:w="655" w:type="dxa"/>
            <w:tcBorders>
              <w:top w:val="nil"/>
              <w:left w:val="nil"/>
              <w:bottom w:val="single" w:sz="4" w:space="0" w:color="auto"/>
              <w:right w:val="single" w:sz="4" w:space="0" w:color="auto"/>
            </w:tcBorders>
            <w:shd w:val="clear" w:color="auto" w:fill="auto"/>
            <w:noWrap/>
            <w:vAlign w:val="bottom"/>
            <w:hideMark/>
          </w:tcPr>
          <w:p w14:paraId="7E77A6A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8.4210</w:t>
            </w:r>
          </w:p>
        </w:tc>
        <w:tc>
          <w:tcPr>
            <w:tcW w:w="825" w:type="dxa"/>
            <w:tcBorders>
              <w:top w:val="nil"/>
              <w:left w:val="nil"/>
              <w:bottom w:val="single" w:sz="4" w:space="0" w:color="auto"/>
              <w:right w:val="single" w:sz="4" w:space="0" w:color="auto"/>
            </w:tcBorders>
            <w:shd w:val="clear" w:color="000000" w:fill="E7E6E6"/>
            <w:noWrap/>
            <w:vAlign w:val="bottom"/>
            <w:hideMark/>
          </w:tcPr>
          <w:p w14:paraId="4F41E68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6.3158</w:t>
            </w:r>
          </w:p>
        </w:tc>
        <w:tc>
          <w:tcPr>
            <w:tcW w:w="655" w:type="dxa"/>
            <w:tcBorders>
              <w:top w:val="nil"/>
              <w:left w:val="nil"/>
              <w:bottom w:val="single" w:sz="4" w:space="0" w:color="auto"/>
              <w:right w:val="single" w:sz="4" w:space="0" w:color="auto"/>
            </w:tcBorders>
            <w:shd w:val="clear" w:color="auto" w:fill="auto"/>
            <w:noWrap/>
            <w:vAlign w:val="bottom"/>
            <w:hideMark/>
          </w:tcPr>
          <w:p w14:paraId="2E35C55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1.5570</w:t>
            </w:r>
          </w:p>
        </w:tc>
        <w:tc>
          <w:tcPr>
            <w:tcW w:w="825" w:type="dxa"/>
            <w:tcBorders>
              <w:top w:val="nil"/>
              <w:left w:val="nil"/>
              <w:bottom w:val="single" w:sz="4" w:space="0" w:color="auto"/>
              <w:right w:val="single" w:sz="4" w:space="0" w:color="auto"/>
            </w:tcBorders>
            <w:shd w:val="clear" w:color="000000" w:fill="E7E6E6"/>
            <w:noWrap/>
            <w:vAlign w:val="bottom"/>
            <w:hideMark/>
          </w:tcPr>
          <w:p w14:paraId="5FE0CE4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1.1678</w:t>
            </w:r>
          </w:p>
        </w:tc>
        <w:tc>
          <w:tcPr>
            <w:tcW w:w="655" w:type="dxa"/>
            <w:tcBorders>
              <w:top w:val="nil"/>
              <w:left w:val="nil"/>
              <w:bottom w:val="single" w:sz="4" w:space="0" w:color="auto"/>
              <w:right w:val="single" w:sz="4" w:space="0" w:color="auto"/>
            </w:tcBorders>
            <w:shd w:val="clear" w:color="auto" w:fill="auto"/>
            <w:noWrap/>
            <w:vAlign w:val="bottom"/>
            <w:hideMark/>
          </w:tcPr>
          <w:p w14:paraId="4E569006"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0.7250</w:t>
            </w:r>
          </w:p>
        </w:tc>
        <w:tc>
          <w:tcPr>
            <w:tcW w:w="825" w:type="dxa"/>
            <w:tcBorders>
              <w:top w:val="nil"/>
              <w:left w:val="nil"/>
              <w:bottom w:val="single" w:sz="4" w:space="0" w:color="auto"/>
              <w:right w:val="single" w:sz="4" w:space="0" w:color="auto"/>
            </w:tcBorders>
            <w:shd w:val="clear" w:color="000000" w:fill="E7E6E6"/>
            <w:noWrap/>
            <w:vAlign w:val="bottom"/>
            <w:hideMark/>
          </w:tcPr>
          <w:p w14:paraId="69E0174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0.5438</w:t>
            </w:r>
          </w:p>
        </w:tc>
        <w:tc>
          <w:tcPr>
            <w:tcW w:w="655" w:type="dxa"/>
            <w:tcBorders>
              <w:top w:val="nil"/>
              <w:left w:val="nil"/>
              <w:bottom w:val="single" w:sz="4" w:space="0" w:color="auto"/>
              <w:right w:val="single" w:sz="4" w:space="0" w:color="auto"/>
            </w:tcBorders>
            <w:shd w:val="clear" w:color="auto" w:fill="auto"/>
            <w:noWrap/>
            <w:vAlign w:val="bottom"/>
            <w:hideMark/>
          </w:tcPr>
          <w:p w14:paraId="54EA34F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0.3300</w:t>
            </w:r>
          </w:p>
        </w:tc>
        <w:tc>
          <w:tcPr>
            <w:tcW w:w="825" w:type="dxa"/>
            <w:tcBorders>
              <w:top w:val="nil"/>
              <w:left w:val="nil"/>
              <w:bottom w:val="single" w:sz="4" w:space="0" w:color="auto"/>
              <w:right w:val="single" w:sz="4" w:space="0" w:color="auto"/>
            </w:tcBorders>
            <w:shd w:val="clear" w:color="000000" w:fill="E7E6E6"/>
            <w:noWrap/>
            <w:vAlign w:val="bottom"/>
            <w:hideMark/>
          </w:tcPr>
          <w:p w14:paraId="37FDF13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0.2475</w:t>
            </w:r>
          </w:p>
        </w:tc>
        <w:tc>
          <w:tcPr>
            <w:tcW w:w="655" w:type="dxa"/>
            <w:tcBorders>
              <w:top w:val="nil"/>
              <w:left w:val="nil"/>
              <w:bottom w:val="single" w:sz="4" w:space="0" w:color="auto"/>
              <w:right w:val="single" w:sz="4" w:space="0" w:color="auto"/>
            </w:tcBorders>
            <w:shd w:val="clear" w:color="auto" w:fill="auto"/>
            <w:noWrap/>
            <w:vAlign w:val="bottom"/>
            <w:hideMark/>
          </w:tcPr>
          <w:p w14:paraId="241AD75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0.1600</w:t>
            </w:r>
          </w:p>
        </w:tc>
        <w:tc>
          <w:tcPr>
            <w:tcW w:w="825" w:type="dxa"/>
            <w:tcBorders>
              <w:top w:val="nil"/>
              <w:left w:val="nil"/>
              <w:bottom w:val="single" w:sz="4" w:space="0" w:color="auto"/>
              <w:right w:val="single" w:sz="4" w:space="0" w:color="auto"/>
            </w:tcBorders>
            <w:shd w:val="clear" w:color="000000" w:fill="E7E6E6"/>
            <w:noWrap/>
            <w:vAlign w:val="bottom"/>
            <w:hideMark/>
          </w:tcPr>
          <w:p w14:paraId="34C5009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0.1200</w:t>
            </w:r>
          </w:p>
        </w:tc>
      </w:tr>
      <w:tr w:rsidR="00E665A8" w:rsidRPr="00FD277A" w14:paraId="268C9454"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12E77B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&gt;8.5 to 14.5 GHz</w:t>
            </w:r>
          </w:p>
        </w:tc>
        <w:tc>
          <w:tcPr>
            <w:tcW w:w="655" w:type="dxa"/>
            <w:tcBorders>
              <w:top w:val="nil"/>
              <w:left w:val="nil"/>
              <w:bottom w:val="single" w:sz="4" w:space="0" w:color="auto"/>
              <w:right w:val="single" w:sz="4" w:space="0" w:color="auto"/>
            </w:tcBorders>
            <w:shd w:val="clear" w:color="auto" w:fill="auto"/>
            <w:noWrap/>
            <w:vAlign w:val="bottom"/>
            <w:hideMark/>
          </w:tcPr>
          <w:p w14:paraId="6EB38E5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3.7110</w:t>
            </w:r>
          </w:p>
        </w:tc>
        <w:tc>
          <w:tcPr>
            <w:tcW w:w="825" w:type="dxa"/>
            <w:tcBorders>
              <w:top w:val="nil"/>
              <w:left w:val="nil"/>
              <w:bottom w:val="single" w:sz="4" w:space="0" w:color="auto"/>
              <w:right w:val="single" w:sz="4" w:space="0" w:color="auto"/>
            </w:tcBorders>
            <w:shd w:val="clear" w:color="000000" w:fill="E7E6E6"/>
            <w:noWrap/>
            <w:vAlign w:val="bottom"/>
            <w:hideMark/>
          </w:tcPr>
          <w:p w14:paraId="796921F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1.8555</w:t>
            </w:r>
          </w:p>
        </w:tc>
        <w:tc>
          <w:tcPr>
            <w:tcW w:w="655" w:type="dxa"/>
            <w:tcBorders>
              <w:top w:val="nil"/>
              <w:left w:val="nil"/>
              <w:bottom w:val="single" w:sz="4" w:space="0" w:color="auto"/>
              <w:right w:val="single" w:sz="4" w:space="0" w:color="auto"/>
            </w:tcBorders>
            <w:shd w:val="clear" w:color="auto" w:fill="auto"/>
            <w:noWrap/>
            <w:vAlign w:val="bottom"/>
            <w:hideMark/>
          </w:tcPr>
          <w:p w14:paraId="5148A4C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1.3360</w:t>
            </w:r>
          </w:p>
        </w:tc>
        <w:tc>
          <w:tcPr>
            <w:tcW w:w="825" w:type="dxa"/>
            <w:tcBorders>
              <w:top w:val="nil"/>
              <w:left w:val="nil"/>
              <w:bottom w:val="single" w:sz="4" w:space="0" w:color="auto"/>
              <w:right w:val="single" w:sz="4" w:space="0" w:color="auto"/>
            </w:tcBorders>
            <w:shd w:val="clear" w:color="000000" w:fill="E7E6E6"/>
            <w:noWrap/>
            <w:vAlign w:val="bottom"/>
            <w:hideMark/>
          </w:tcPr>
          <w:p w14:paraId="6AE601A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0.6680</w:t>
            </w:r>
          </w:p>
        </w:tc>
        <w:tc>
          <w:tcPr>
            <w:tcW w:w="655" w:type="dxa"/>
            <w:tcBorders>
              <w:top w:val="nil"/>
              <w:left w:val="nil"/>
              <w:bottom w:val="single" w:sz="4" w:space="0" w:color="auto"/>
              <w:right w:val="single" w:sz="4" w:space="0" w:color="auto"/>
            </w:tcBorders>
            <w:shd w:val="clear" w:color="auto" w:fill="auto"/>
            <w:noWrap/>
            <w:vAlign w:val="bottom"/>
            <w:hideMark/>
          </w:tcPr>
          <w:p w14:paraId="14D9D5E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0.3160</w:t>
            </w:r>
          </w:p>
        </w:tc>
        <w:tc>
          <w:tcPr>
            <w:tcW w:w="825" w:type="dxa"/>
            <w:tcBorders>
              <w:top w:val="nil"/>
              <w:left w:val="nil"/>
              <w:bottom w:val="single" w:sz="4" w:space="0" w:color="auto"/>
              <w:right w:val="single" w:sz="4" w:space="0" w:color="auto"/>
            </w:tcBorders>
            <w:shd w:val="clear" w:color="000000" w:fill="E7E6E6"/>
            <w:noWrap/>
            <w:vAlign w:val="bottom"/>
            <w:hideMark/>
          </w:tcPr>
          <w:p w14:paraId="03EF08C3"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0.1580</w:t>
            </w:r>
          </w:p>
        </w:tc>
        <w:tc>
          <w:tcPr>
            <w:tcW w:w="655" w:type="dxa"/>
            <w:tcBorders>
              <w:top w:val="nil"/>
              <w:left w:val="nil"/>
              <w:bottom w:val="single" w:sz="4" w:space="0" w:color="auto"/>
              <w:right w:val="single" w:sz="4" w:space="0" w:color="auto"/>
            </w:tcBorders>
            <w:shd w:val="clear" w:color="auto" w:fill="auto"/>
            <w:noWrap/>
            <w:vAlign w:val="bottom"/>
            <w:hideMark/>
          </w:tcPr>
          <w:p w14:paraId="042FC32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0.0230</w:t>
            </w:r>
          </w:p>
        </w:tc>
        <w:tc>
          <w:tcPr>
            <w:tcW w:w="825" w:type="dxa"/>
            <w:tcBorders>
              <w:top w:val="nil"/>
              <w:left w:val="nil"/>
              <w:bottom w:val="single" w:sz="4" w:space="0" w:color="auto"/>
              <w:right w:val="single" w:sz="4" w:space="0" w:color="auto"/>
            </w:tcBorders>
            <w:shd w:val="clear" w:color="000000" w:fill="E7E6E6"/>
            <w:noWrap/>
            <w:vAlign w:val="bottom"/>
            <w:hideMark/>
          </w:tcPr>
          <w:p w14:paraId="375EB6B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0.0115</w:t>
            </w:r>
          </w:p>
        </w:tc>
        <w:tc>
          <w:tcPr>
            <w:tcW w:w="655" w:type="dxa"/>
            <w:tcBorders>
              <w:top w:val="nil"/>
              <w:left w:val="nil"/>
              <w:bottom w:val="single" w:sz="4" w:space="0" w:color="auto"/>
              <w:right w:val="single" w:sz="4" w:space="0" w:color="auto"/>
            </w:tcBorders>
            <w:shd w:val="clear" w:color="auto" w:fill="auto"/>
            <w:noWrap/>
            <w:vAlign w:val="bottom"/>
            <w:hideMark/>
          </w:tcPr>
          <w:p w14:paraId="4794548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0.0110</w:t>
            </w:r>
          </w:p>
        </w:tc>
        <w:tc>
          <w:tcPr>
            <w:tcW w:w="825" w:type="dxa"/>
            <w:tcBorders>
              <w:top w:val="nil"/>
              <w:left w:val="nil"/>
              <w:bottom w:val="single" w:sz="4" w:space="0" w:color="auto"/>
              <w:right w:val="single" w:sz="4" w:space="0" w:color="auto"/>
            </w:tcBorders>
            <w:shd w:val="clear" w:color="000000" w:fill="E7E6E6"/>
            <w:noWrap/>
            <w:vAlign w:val="bottom"/>
            <w:hideMark/>
          </w:tcPr>
          <w:p w14:paraId="207AEAC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0.0055</w:t>
            </w:r>
          </w:p>
        </w:tc>
      </w:tr>
      <w:tr w:rsidR="00E665A8" w:rsidRPr="00FD277A" w14:paraId="55AB2A0A"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A23266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&gt;14.5 to 31.3 GHz</w:t>
            </w:r>
          </w:p>
        </w:tc>
        <w:tc>
          <w:tcPr>
            <w:tcW w:w="655" w:type="dxa"/>
            <w:tcBorders>
              <w:top w:val="nil"/>
              <w:left w:val="nil"/>
              <w:bottom w:val="single" w:sz="4" w:space="0" w:color="auto"/>
              <w:right w:val="single" w:sz="4" w:space="0" w:color="auto"/>
            </w:tcBorders>
            <w:shd w:val="clear" w:color="auto" w:fill="auto"/>
            <w:noWrap/>
            <w:vAlign w:val="bottom"/>
            <w:hideMark/>
          </w:tcPr>
          <w:p w14:paraId="3185B0C9"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3.7110</w:t>
            </w:r>
          </w:p>
        </w:tc>
        <w:tc>
          <w:tcPr>
            <w:tcW w:w="825" w:type="dxa"/>
            <w:tcBorders>
              <w:top w:val="nil"/>
              <w:left w:val="nil"/>
              <w:bottom w:val="single" w:sz="4" w:space="0" w:color="auto"/>
              <w:right w:val="single" w:sz="4" w:space="0" w:color="auto"/>
            </w:tcBorders>
            <w:shd w:val="clear" w:color="000000" w:fill="E7E6E6"/>
            <w:noWrap/>
            <w:vAlign w:val="bottom"/>
            <w:hideMark/>
          </w:tcPr>
          <w:p w14:paraId="70DBE7A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0.3711</w:t>
            </w:r>
          </w:p>
        </w:tc>
        <w:tc>
          <w:tcPr>
            <w:tcW w:w="655" w:type="dxa"/>
            <w:tcBorders>
              <w:top w:val="nil"/>
              <w:left w:val="nil"/>
              <w:bottom w:val="single" w:sz="4" w:space="0" w:color="auto"/>
              <w:right w:val="single" w:sz="4" w:space="0" w:color="auto"/>
            </w:tcBorders>
            <w:shd w:val="clear" w:color="auto" w:fill="auto"/>
            <w:noWrap/>
            <w:vAlign w:val="bottom"/>
            <w:hideMark/>
          </w:tcPr>
          <w:p w14:paraId="3F5313A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0.9880</w:t>
            </w:r>
          </w:p>
        </w:tc>
        <w:tc>
          <w:tcPr>
            <w:tcW w:w="825" w:type="dxa"/>
            <w:tcBorders>
              <w:top w:val="nil"/>
              <w:left w:val="nil"/>
              <w:bottom w:val="single" w:sz="4" w:space="0" w:color="auto"/>
              <w:right w:val="single" w:sz="4" w:space="0" w:color="auto"/>
            </w:tcBorders>
            <w:shd w:val="clear" w:color="000000" w:fill="E7E6E6"/>
            <w:noWrap/>
            <w:vAlign w:val="bottom"/>
            <w:hideMark/>
          </w:tcPr>
          <w:p w14:paraId="71262F8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0.0988</w:t>
            </w:r>
          </w:p>
        </w:tc>
        <w:tc>
          <w:tcPr>
            <w:tcW w:w="655" w:type="dxa"/>
            <w:tcBorders>
              <w:top w:val="nil"/>
              <w:left w:val="nil"/>
              <w:bottom w:val="single" w:sz="4" w:space="0" w:color="auto"/>
              <w:right w:val="single" w:sz="4" w:space="0" w:color="auto"/>
            </w:tcBorders>
            <w:shd w:val="clear" w:color="auto" w:fill="auto"/>
            <w:noWrap/>
            <w:vAlign w:val="bottom"/>
            <w:hideMark/>
          </w:tcPr>
          <w:p w14:paraId="60F9646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0.2170</w:t>
            </w:r>
          </w:p>
        </w:tc>
        <w:tc>
          <w:tcPr>
            <w:tcW w:w="825" w:type="dxa"/>
            <w:tcBorders>
              <w:top w:val="nil"/>
              <w:left w:val="nil"/>
              <w:bottom w:val="single" w:sz="4" w:space="0" w:color="auto"/>
              <w:right w:val="single" w:sz="4" w:space="0" w:color="auto"/>
            </w:tcBorders>
            <w:shd w:val="clear" w:color="000000" w:fill="E7E6E6"/>
            <w:noWrap/>
            <w:vAlign w:val="bottom"/>
            <w:hideMark/>
          </w:tcPr>
          <w:p w14:paraId="5A8D4C5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0.0217</w:t>
            </w:r>
          </w:p>
        </w:tc>
        <w:tc>
          <w:tcPr>
            <w:tcW w:w="655" w:type="dxa"/>
            <w:tcBorders>
              <w:top w:val="nil"/>
              <w:left w:val="nil"/>
              <w:bottom w:val="single" w:sz="4" w:space="0" w:color="auto"/>
              <w:right w:val="single" w:sz="4" w:space="0" w:color="auto"/>
            </w:tcBorders>
            <w:shd w:val="clear" w:color="auto" w:fill="auto"/>
            <w:noWrap/>
            <w:vAlign w:val="bottom"/>
            <w:hideMark/>
          </w:tcPr>
          <w:p w14:paraId="79B64A5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0.0230</w:t>
            </w:r>
          </w:p>
        </w:tc>
        <w:tc>
          <w:tcPr>
            <w:tcW w:w="825" w:type="dxa"/>
            <w:tcBorders>
              <w:top w:val="nil"/>
              <w:left w:val="nil"/>
              <w:bottom w:val="single" w:sz="4" w:space="0" w:color="auto"/>
              <w:right w:val="single" w:sz="4" w:space="0" w:color="auto"/>
            </w:tcBorders>
            <w:shd w:val="clear" w:color="000000" w:fill="E7E6E6"/>
            <w:noWrap/>
            <w:vAlign w:val="bottom"/>
            <w:hideMark/>
          </w:tcPr>
          <w:p w14:paraId="614E05C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0.0023</w:t>
            </w:r>
          </w:p>
        </w:tc>
        <w:tc>
          <w:tcPr>
            <w:tcW w:w="655" w:type="dxa"/>
            <w:tcBorders>
              <w:top w:val="nil"/>
              <w:left w:val="nil"/>
              <w:bottom w:val="single" w:sz="4" w:space="0" w:color="auto"/>
              <w:right w:val="single" w:sz="4" w:space="0" w:color="auto"/>
            </w:tcBorders>
            <w:shd w:val="clear" w:color="auto" w:fill="auto"/>
            <w:noWrap/>
            <w:vAlign w:val="bottom"/>
            <w:hideMark/>
          </w:tcPr>
          <w:p w14:paraId="094082F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0.0110</w:t>
            </w:r>
          </w:p>
        </w:tc>
        <w:tc>
          <w:tcPr>
            <w:tcW w:w="825" w:type="dxa"/>
            <w:tcBorders>
              <w:top w:val="nil"/>
              <w:left w:val="nil"/>
              <w:bottom w:val="single" w:sz="4" w:space="0" w:color="auto"/>
              <w:right w:val="single" w:sz="4" w:space="0" w:color="auto"/>
            </w:tcBorders>
            <w:shd w:val="clear" w:color="000000" w:fill="E7E6E6"/>
            <w:noWrap/>
            <w:vAlign w:val="bottom"/>
            <w:hideMark/>
          </w:tcPr>
          <w:p w14:paraId="0AED88F1"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0.0011</w:t>
            </w:r>
          </w:p>
        </w:tc>
      </w:tr>
      <w:tr w:rsidR="00E665A8" w:rsidRPr="00FD277A" w14:paraId="7444FC44"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278AD15"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&gt;31.3 to 51.4 GHz</w:t>
            </w:r>
          </w:p>
        </w:tc>
        <w:tc>
          <w:tcPr>
            <w:tcW w:w="655" w:type="dxa"/>
            <w:tcBorders>
              <w:top w:val="nil"/>
              <w:left w:val="nil"/>
              <w:bottom w:val="single" w:sz="4" w:space="0" w:color="auto"/>
              <w:right w:val="single" w:sz="4" w:space="0" w:color="auto"/>
            </w:tcBorders>
            <w:shd w:val="clear" w:color="auto" w:fill="auto"/>
            <w:noWrap/>
            <w:vAlign w:val="bottom"/>
            <w:hideMark/>
          </w:tcPr>
          <w:p w14:paraId="0A94C43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1.0120</w:t>
            </w:r>
          </w:p>
        </w:tc>
        <w:tc>
          <w:tcPr>
            <w:tcW w:w="825" w:type="dxa"/>
            <w:tcBorders>
              <w:top w:val="nil"/>
              <w:left w:val="nil"/>
              <w:bottom w:val="single" w:sz="4" w:space="0" w:color="auto"/>
              <w:right w:val="single" w:sz="4" w:space="0" w:color="auto"/>
            </w:tcBorders>
            <w:shd w:val="clear" w:color="000000" w:fill="E7E6E6"/>
            <w:noWrap/>
            <w:vAlign w:val="bottom"/>
            <w:hideMark/>
          </w:tcPr>
          <w:p w14:paraId="08392830"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0.1012</w:t>
            </w:r>
          </w:p>
        </w:tc>
        <w:tc>
          <w:tcPr>
            <w:tcW w:w="655" w:type="dxa"/>
            <w:tcBorders>
              <w:top w:val="nil"/>
              <w:left w:val="nil"/>
              <w:bottom w:val="single" w:sz="4" w:space="0" w:color="auto"/>
              <w:right w:val="single" w:sz="4" w:space="0" w:color="auto"/>
            </w:tcBorders>
            <w:shd w:val="clear" w:color="auto" w:fill="auto"/>
            <w:noWrap/>
            <w:vAlign w:val="bottom"/>
            <w:hideMark/>
          </w:tcPr>
          <w:p w14:paraId="13C76C9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0.5390</w:t>
            </w:r>
          </w:p>
        </w:tc>
        <w:tc>
          <w:tcPr>
            <w:tcW w:w="825" w:type="dxa"/>
            <w:tcBorders>
              <w:top w:val="nil"/>
              <w:left w:val="nil"/>
              <w:bottom w:val="single" w:sz="4" w:space="0" w:color="auto"/>
              <w:right w:val="single" w:sz="4" w:space="0" w:color="auto"/>
            </w:tcBorders>
            <w:shd w:val="clear" w:color="000000" w:fill="E7E6E6"/>
            <w:noWrap/>
            <w:vAlign w:val="bottom"/>
            <w:hideMark/>
          </w:tcPr>
          <w:p w14:paraId="649E9F3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0.0539</w:t>
            </w:r>
          </w:p>
        </w:tc>
        <w:tc>
          <w:tcPr>
            <w:tcW w:w="655" w:type="dxa"/>
            <w:tcBorders>
              <w:top w:val="nil"/>
              <w:left w:val="nil"/>
              <w:bottom w:val="single" w:sz="4" w:space="0" w:color="auto"/>
              <w:right w:val="single" w:sz="4" w:space="0" w:color="auto"/>
            </w:tcBorders>
            <w:shd w:val="clear" w:color="auto" w:fill="auto"/>
            <w:noWrap/>
            <w:vAlign w:val="bottom"/>
            <w:hideMark/>
          </w:tcPr>
          <w:p w14:paraId="344E2B0A"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0.1170</w:t>
            </w:r>
          </w:p>
        </w:tc>
        <w:tc>
          <w:tcPr>
            <w:tcW w:w="825" w:type="dxa"/>
            <w:tcBorders>
              <w:top w:val="nil"/>
              <w:left w:val="nil"/>
              <w:bottom w:val="single" w:sz="4" w:space="0" w:color="auto"/>
              <w:right w:val="single" w:sz="4" w:space="0" w:color="auto"/>
            </w:tcBorders>
            <w:shd w:val="clear" w:color="000000" w:fill="E7E6E6"/>
            <w:noWrap/>
            <w:vAlign w:val="bottom"/>
            <w:hideMark/>
          </w:tcPr>
          <w:p w14:paraId="35D5EB5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0.0117</w:t>
            </w:r>
          </w:p>
        </w:tc>
        <w:tc>
          <w:tcPr>
            <w:tcW w:w="655" w:type="dxa"/>
            <w:tcBorders>
              <w:top w:val="nil"/>
              <w:left w:val="nil"/>
              <w:bottom w:val="single" w:sz="4" w:space="0" w:color="auto"/>
              <w:right w:val="single" w:sz="4" w:space="0" w:color="auto"/>
            </w:tcBorders>
            <w:shd w:val="clear" w:color="auto" w:fill="auto"/>
            <w:noWrap/>
            <w:vAlign w:val="bottom"/>
            <w:hideMark/>
          </w:tcPr>
          <w:p w14:paraId="6AB3024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0.0040</w:t>
            </w:r>
          </w:p>
        </w:tc>
        <w:tc>
          <w:tcPr>
            <w:tcW w:w="825" w:type="dxa"/>
            <w:tcBorders>
              <w:top w:val="nil"/>
              <w:left w:val="nil"/>
              <w:bottom w:val="single" w:sz="4" w:space="0" w:color="auto"/>
              <w:right w:val="single" w:sz="4" w:space="0" w:color="auto"/>
            </w:tcBorders>
            <w:shd w:val="clear" w:color="000000" w:fill="E7E6E6"/>
            <w:noWrap/>
            <w:vAlign w:val="bottom"/>
            <w:hideMark/>
          </w:tcPr>
          <w:p w14:paraId="706A960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0.0004</w:t>
            </w:r>
          </w:p>
        </w:tc>
        <w:tc>
          <w:tcPr>
            <w:tcW w:w="655" w:type="dxa"/>
            <w:tcBorders>
              <w:top w:val="nil"/>
              <w:left w:val="nil"/>
              <w:bottom w:val="single" w:sz="4" w:space="0" w:color="auto"/>
              <w:right w:val="single" w:sz="4" w:space="0" w:color="auto"/>
            </w:tcBorders>
            <w:shd w:val="clear" w:color="auto" w:fill="auto"/>
            <w:noWrap/>
            <w:vAlign w:val="bottom"/>
            <w:hideMark/>
          </w:tcPr>
          <w:p w14:paraId="4409CA7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0.0020</w:t>
            </w:r>
          </w:p>
        </w:tc>
        <w:tc>
          <w:tcPr>
            <w:tcW w:w="825" w:type="dxa"/>
            <w:tcBorders>
              <w:top w:val="nil"/>
              <w:left w:val="nil"/>
              <w:bottom w:val="single" w:sz="4" w:space="0" w:color="auto"/>
              <w:right w:val="single" w:sz="4" w:space="0" w:color="auto"/>
            </w:tcBorders>
            <w:shd w:val="clear" w:color="000000" w:fill="E7E6E6"/>
            <w:noWrap/>
            <w:vAlign w:val="bottom"/>
            <w:hideMark/>
          </w:tcPr>
          <w:p w14:paraId="46A99EF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0.0002</w:t>
            </w:r>
          </w:p>
        </w:tc>
      </w:tr>
      <w:tr w:rsidR="00E665A8" w:rsidRPr="00FD277A" w14:paraId="2A1DF5BF" w14:textId="77777777" w:rsidTr="00F87B21">
        <w:trPr>
          <w:trHeight w:val="150"/>
        </w:trPr>
        <w:tc>
          <w:tcPr>
            <w:tcW w:w="14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58EAAE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&gt;51.4 GHz</w:t>
            </w:r>
          </w:p>
        </w:tc>
        <w:tc>
          <w:tcPr>
            <w:tcW w:w="655" w:type="dxa"/>
            <w:tcBorders>
              <w:top w:val="nil"/>
              <w:left w:val="nil"/>
              <w:bottom w:val="single" w:sz="4" w:space="0" w:color="auto"/>
              <w:right w:val="single" w:sz="4" w:space="0" w:color="auto"/>
            </w:tcBorders>
            <w:shd w:val="clear" w:color="auto" w:fill="auto"/>
            <w:noWrap/>
            <w:vAlign w:val="bottom"/>
            <w:hideMark/>
          </w:tcPr>
          <w:p w14:paraId="1D400112"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0.1000</w:t>
            </w:r>
          </w:p>
        </w:tc>
        <w:tc>
          <w:tcPr>
            <w:tcW w:w="825" w:type="dxa"/>
            <w:tcBorders>
              <w:top w:val="nil"/>
              <w:left w:val="nil"/>
              <w:bottom w:val="single" w:sz="4" w:space="0" w:color="auto"/>
              <w:right w:val="single" w:sz="4" w:space="0" w:color="auto"/>
            </w:tcBorders>
            <w:shd w:val="clear" w:color="000000" w:fill="E7E6E6"/>
            <w:noWrap/>
            <w:vAlign w:val="bottom"/>
            <w:hideMark/>
          </w:tcPr>
          <w:p w14:paraId="3B75C124"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0.0100</w:t>
            </w:r>
          </w:p>
        </w:tc>
        <w:tc>
          <w:tcPr>
            <w:tcW w:w="655" w:type="dxa"/>
            <w:tcBorders>
              <w:top w:val="nil"/>
              <w:left w:val="nil"/>
              <w:bottom w:val="single" w:sz="4" w:space="0" w:color="auto"/>
              <w:right w:val="single" w:sz="4" w:space="0" w:color="auto"/>
            </w:tcBorders>
            <w:shd w:val="clear" w:color="auto" w:fill="auto"/>
            <w:noWrap/>
            <w:vAlign w:val="bottom"/>
            <w:hideMark/>
          </w:tcPr>
          <w:p w14:paraId="2F7F655C"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0.0100</w:t>
            </w:r>
          </w:p>
        </w:tc>
        <w:tc>
          <w:tcPr>
            <w:tcW w:w="825" w:type="dxa"/>
            <w:tcBorders>
              <w:top w:val="nil"/>
              <w:left w:val="nil"/>
              <w:bottom w:val="single" w:sz="4" w:space="0" w:color="auto"/>
              <w:right w:val="single" w:sz="4" w:space="0" w:color="auto"/>
            </w:tcBorders>
            <w:shd w:val="clear" w:color="000000" w:fill="E7E6E6"/>
            <w:noWrap/>
            <w:vAlign w:val="bottom"/>
            <w:hideMark/>
          </w:tcPr>
          <w:p w14:paraId="456047B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0.0010</w:t>
            </w:r>
          </w:p>
        </w:tc>
        <w:tc>
          <w:tcPr>
            <w:tcW w:w="655" w:type="dxa"/>
            <w:tcBorders>
              <w:top w:val="nil"/>
              <w:left w:val="nil"/>
              <w:bottom w:val="single" w:sz="4" w:space="0" w:color="auto"/>
              <w:right w:val="single" w:sz="4" w:space="0" w:color="auto"/>
            </w:tcBorders>
            <w:shd w:val="clear" w:color="auto" w:fill="auto"/>
            <w:noWrap/>
            <w:vAlign w:val="bottom"/>
            <w:hideMark/>
          </w:tcPr>
          <w:p w14:paraId="19AD559D"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0.0100</w:t>
            </w:r>
          </w:p>
        </w:tc>
        <w:tc>
          <w:tcPr>
            <w:tcW w:w="825" w:type="dxa"/>
            <w:tcBorders>
              <w:top w:val="nil"/>
              <w:left w:val="nil"/>
              <w:bottom w:val="single" w:sz="4" w:space="0" w:color="auto"/>
              <w:right w:val="single" w:sz="4" w:space="0" w:color="auto"/>
            </w:tcBorders>
            <w:shd w:val="clear" w:color="000000" w:fill="E7E6E6"/>
            <w:noWrap/>
            <w:vAlign w:val="bottom"/>
            <w:hideMark/>
          </w:tcPr>
          <w:p w14:paraId="29BA18BE"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0.0010</w:t>
            </w:r>
          </w:p>
        </w:tc>
        <w:tc>
          <w:tcPr>
            <w:tcW w:w="655" w:type="dxa"/>
            <w:tcBorders>
              <w:top w:val="nil"/>
              <w:left w:val="nil"/>
              <w:bottom w:val="single" w:sz="4" w:space="0" w:color="auto"/>
              <w:right w:val="single" w:sz="4" w:space="0" w:color="auto"/>
            </w:tcBorders>
            <w:shd w:val="clear" w:color="auto" w:fill="auto"/>
            <w:noWrap/>
            <w:vAlign w:val="bottom"/>
            <w:hideMark/>
          </w:tcPr>
          <w:p w14:paraId="6353E70B"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0.0010</w:t>
            </w:r>
          </w:p>
        </w:tc>
        <w:tc>
          <w:tcPr>
            <w:tcW w:w="825" w:type="dxa"/>
            <w:tcBorders>
              <w:top w:val="nil"/>
              <w:left w:val="nil"/>
              <w:bottom w:val="single" w:sz="4" w:space="0" w:color="auto"/>
              <w:right w:val="single" w:sz="4" w:space="0" w:color="auto"/>
            </w:tcBorders>
            <w:shd w:val="clear" w:color="000000" w:fill="E7E6E6"/>
            <w:noWrap/>
            <w:vAlign w:val="bottom"/>
            <w:hideMark/>
          </w:tcPr>
          <w:p w14:paraId="24D38FC7"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633F85A8"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0.0010</w:t>
            </w:r>
          </w:p>
        </w:tc>
        <w:tc>
          <w:tcPr>
            <w:tcW w:w="825" w:type="dxa"/>
            <w:tcBorders>
              <w:top w:val="nil"/>
              <w:left w:val="nil"/>
              <w:bottom w:val="single" w:sz="4" w:space="0" w:color="auto"/>
              <w:right w:val="single" w:sz="4" w:space="0" w:color="auto"/>
            </w:tcBorders>
            <w:shd w:val="clear" w:color="000000" w:fill="E7E6E6"/>
            <w:noWrap/>
            <w:vAlign w:val="bottom"/>
            <w:hideMark/>
          </w:tcPr>
          <w:p w14:paraId="16F758FF" w14:textId="77777777" w:rsidR="00FD277A" w:rsidRPr="00FD277A" w:rsidRDefault="00FD277A" w:rsidP="00FD277A">
            <w:pPr>
              <w:spacing w:after="0" w:line="240" w:lineRule="auto"/>
              <w:rPr>
                <w:rFonts w:cs="Arial"/>
                <w:color w:val="000000"/>
                <w:sz w:val="12"/>
                <w:szCs w:val="12"/>
              </w:rPr>
            </w:pPr>
            <w:r w:rsidRPr="00FD277A">
              <w:rPr>
                <w:rFonts w:cs="Arial"/>
                <w:color w:val="000000"/>
                <w:sz w:val="12"/>
                <w:szCs w:val="12"/>
              </w:rPr>
              <w:t>0.0001</w:t>
            </w:r>
          </w:p>
        </w:tc>
      </w:tr>
    </w:tbl>
    <w:p w14:paraId="2C1677AF" w14:textId="7F3EE96E" w:rsidR="007B3D18" w:rsidRPr="00046DA5" w:rsidRDefault="00065028">
      <w:pPr>
        <w:pStyle w:val="Heading2"/>
        <w:keepLines/>
      </w:pPr>
      <w:bookmarkStart w:id="82" w:name="_Toc57045328"/>
      <w:bookmarkStart w:id="83" w:name="_Toc59007952"/>
      <w:r>
        <w:t>Effect on licen</w:t>
      </w:r>
      <w:r w:rsidR="005926A0">
        <w:t>c</w:t>
      </w:r>
      <w:r>
        <w:t>e taxes</w:t>
      </w:r>
      <w:bookmarkEnd w:id="82"/>
      <w:bookmarkEnd w:id="83"/>
    </w:p>
    <w:p w14:paraId="37A73EB3" w14:textId="7AF11B70" w:rsidR="00A14A3A" w:rsidRDefault="00A14A3A" w:rsidP="00793A49">
      <w:pPr>
        <w:pStyle w:val="Paragraph"/>
        <w:keepNext/>
        <w:keepLines/>
        <w:tabs>
          <w:tab w:val="left" w:pos="720"/>
        </w:tabs>
      </w:pPr>
      <w:r>
        <w:t>As a result of the ACMA’s proposed changes to the table of location weightings, the annual licen</w:t>
      </w:r>
      <w:r w:rsidR="00FD5FCD">
        <w:t>c</w:t>
      </w:r>
      <w:r>
        <w:t>e tax for a range of spectrum uses will also be subject to change. These changes are detailed in the tables below with table number references mirroring those currently set out in the Apparatus licen</w:t>
      </w:r>
      <w:r w:rsidR="00FD5FCD">
        <w:t>c</w:t>
      </w:r>
      <w:r>
        <w:t>e fee schedule</w:t>
      </w:r>
      <w:r w:rsidR="00E50533">
        <w:t xml:space="preserve"> and the tax determinations</w:t>
      </w:r>
      <w:r w:rsidR="00FC7F24">
        <w:t xml:space="preserve">, </w:t>
      </w:r>
      <w:proofErr w:type="gramStart"/>
      <w:r w:rsidR="00FC7F24">
        <w:t>taking into account</w:t>
      </w:r>
      <w:proofErr w:type="gramEnd"/>
      <w:r w:rsidR="000577CE">
        <w:t xml:space="preserve"> adjustments for inflation of </w:t>
      </w:r>
      <w:r w:rsidR="0047202C">
        <w:br/>
        <w:t>-</w:t>
      </w:r>
      <w:r w:rsidR="000577CE">
        <w:t>0.3</w:t>
      </w:r>
      <w:r w:rsidR="005575A1">
        <w:t>%</w:t>
      </w:r>
      <w:r>
        <w:t>.</w:t>
      </w:r>
      <w:r w:rsidR="00860749">
        <w:t xml:space="preserve"> There may be marginal differences in the taxe</w:t>
      </w:r>
      <w:r w:rsidR="007F07C0">
        <w:t>s</w:t>
      </w:r>
      <w:r w:rsidR="00860749">
        <w:t xml:space="preserve"> determined</w:t>
      </w:r>
      <w:r w:rsidR="002D28B7">
        <w:t xml:space="preserve"> due to rounding.</w:t>
      </w:r>
    </w:p>
    <w:p w14:paraId="31CE1242" w14:textId="0EB6980B" w:rsidR="00B97FA5" w:rsidRPr="00046DA5" w:rsidRDefault="00B97FA5" w:rsidP="00F16AB6">
      <w:pPr>
        <w:pStyle w:val="Heading3"/>
        <w:spacing w:after="80"/>
      </w:pPr>
      <w:r>
        <w:t>Division 1</w:t>
      </w:r>
      <w:r w:rsidR="005926A0">
        <w:t xml:space="preserve"> of the </w:t>
      </w:r>
      <w:r w:rsidR="000C6D91">
        <w:t>Apparatus Licence Fee Schedule –</w:t>
      </w:r>
      <w:r>
        <w:t xml:space="preserve"> </w:t>
      </w:r>
      <w:r w:rsidR="000C6D91">
        <w:t>g</w:t>
      </w:r>
      <w:r>
        <w:t>enerally assigned licen</w:t>
      </w:r>
      <w:r w:rsidR="00FD5FCD">
        <w:t>c</w:t>
      </w:r>
      <w:r>
        <w:t>es</w:t>
      </w:r>
    </w:p>
    <w:p w14:paraId="190EEC1B" w14:textId="7E311EA8" w:rsidR="00436956" w:rsidRDefault="00436956" w:rsidP="00CD2215">
      <w:pPr>
        <w:pStyle w:val="Paragraph"/>
        <w:tabs>
          <w:tab w:val="left" w:pos="720"/>
        </w:tabs>
        <w:spacing w:after="80"/>
      </w:pPr>
      <w:r>
        <w:t>Table 3</w:t>
      </w:r>
      <w:r w:rsidR="00A65128">
        <w:t xml:space="preserve"> of the </w:t>
      </w:r>
      <w:r w:rsidR="000C6D91">
        <w:t>Apparatus Licence Fee Schedule</w:t>
      </w:r>
      <w:r>
        <w:t xml:space="preserve">. </w:t>
      </w:r>
      <w:r w:rsidR="0076055B">
        <w:t>Annual licen</w:t>
      </w:r>
      <w:r w:rsidR="00B837F2">
        <w:t>c</w:t>
      </w:r>
      <w:r w:rsidR="0076055B">
        <w:t>e tax ($ per kHz</w:t>
      </w:r>
      <w:proofErr w:type="gramStart"/>
      <w:r w:rsidR="0076055B">
        <w:t>)</w:t>
      </w:r>
      <w:r w:rsidR="000C6D91">
        <w:t>.</w:t>
      </w:r>
      <w:r w:rsidR="009024D7">
        <w:t>*</w:t>
      </w:r>
      <w:proofErr w:type="gramEnd"/>
    </w:p>
    <w:tbl>
      <w:tblPr>
        <w:tblW w:w="8820" w:type="dxa"/>
        <w:tblLook w:val="04A0" w:firstRow="1" w:lastRow="0" w:firstColumn="1" w:lastColumn="0" w:noHBand="0" w:noVBand="1"/>
      </w:tblPr>
      <w:tblGrid>
        <w:gridCol w:w="1420"/>
        <w:gridCol w:w="655"/>
        <w:gridCol w:w="825"/>
        <w:gridCol w:w="655"/>
        <w:gridCol w:w="825"/>
        <w:gridCol w:w="655"/>
        <w:gridCol w:w="825"/>
        <w:gridCol w:w="655"/>
        <w:gridCol w:w="825"/>
        <w:gridCol w:w="655"/>
        <w:gridCol w:w="825"/>
      </w:tblGrid>
      <w:tr w:rsidR="00F14F39" w:rsidRPr="00F14F39" w14:paraId="747F0282" w14:textId="77777777" w:rsidTr="00F14F39">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153BF6B9"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Spectrum location</w:t>
            </w:r>
          </w:p>
        </w:tc>
        <w:tc>
          <w:tcPr>
            <w:tcW w:w="7400" w:type="dxa"/>
            <w:gridSpan w:val="10"/>
            <w:tcBorders>
              <w:top w:val="nil"/>
              <w:left w:val="nil"/>
              <w:bottom w:val="nil"/>
              <w:right w:val="nil"/>
            </w:tcBorders>
            <w:shd w:val="clear" w:color="000000" w:fill="404040"/>
            <w:noWrap/>
            <w:vAlign w:val="bottom"/>
            <w:hideMark/>
          </w:tcPr>
          <w:p w14:paraId="3874D0E7"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Geographic location</w:t>
            </w:r>
          </w:p>
        </w:tc>
      </w:tr>
      <w:tr w:rsidR="00F14F39" w:rsidRPr="00F14F39" w14:paraId="46E86223" w14:textId="77777777" w:rsidTr="00F14F39">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47903833" w14:textId="77777777" w:rsidR="00F14F39" w:rsidRPr="00F14F39" w:rsidRDefault="00F14F39" w:rsidP="00F14F39">
            <w:pPr>
              <w:spacing w:after="0" w:line="240" w:lineRule="auto"/>
              <w:rPr>
                <w:rFonts w:cs="Arial"/>
                <w:b/>
                <w:bCs/>
                <w:color w:val="FFFFFF"/>
                <w:sz w:val="12"/>
                <w:szCs w:val="12"/>
              </w:rPr>
            </w:pP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02C8E9DA"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Australia-wide</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70C00431"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High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116DCE42"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Medium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3C8E6729"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Low density</w:t>
            </w:r>
          </w:p>
        </w:tc>
        <w:tc>
          <w:tcPr>
            <w:tcW w:w="1480" w:type="dxa"/>
            <w:gridSpan w:val="2"/>
            <w:tcBorders>
              <w:top w:val="nil"/>
              <w:left w:val="nil"/>
              <w:bottom w:val="nil"/>
              <w:right w:val="nil"/>
            </w:tcBorders>
            <w:shd w:val="clear" w:color="000000" w:fill="404040"/>
            <w:noWrap/>
            <w:vAlign w:val="bottom"/>
            <w:hideMark/>
          </w:tcPr>
          <w:p w14:paraId="3E1857AD"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Remote density</w:t>
            </w:r>
          </w:p>
        </w:tc>
      </w:tr>
      <w:tr w:rsidR="00F14F39" w:rsidRPr="00F14F39" w14:paraId="31950148" w14:textId="77777777" w:rsidTr="00F14F39">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5C09ADD5" w14:textId="77777777" w:rsidR="00F14F39" w:rsidRPr="00F14F39" w:rsidRDefault="00F14F39" w:rsidP="00F14F39">
            <w:pPr>
              <w:spacing w:after="0" w:line="240" w:lineRule="auto"/>
              <w:rPr>
                <w:rFonts w:cs="Arial"/>
                <w:b/>
                <w:bCs/>
                <w:color w:val="FFFFFF"/>
                <w:sz w:val="12"/>
                <w:szCs w:val="12"/>
              </w:rPr>
            </w:pPr>
          </w:p>
        </w:tc>
        <w:tc>
          <w:tcPr>
            <w:tcW w:w="655" w:type="dxa"/>
            <w:tcBorders>
              <w:top w:val="nil"/>
              <w:left w:val="nil"/>
              <w:bottom w:val="single" w:sz="4" w:space="0" w:color="auto"/>
              <w:right w:val="single" w:sz="4" w:space="0" w:color="auto"/>
            </w:tcBorders>
            <w:shd w:val="clear" w:color="000000" w:fill="404040"/>
            <w:noWrap/>
            <w:vAlign w:val="bottom"/>
            <w:hideMark/>
          </w:tcPr>
          <w:p w14:paraId="7A5EAB67"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1CE28542"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391EEBC0"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7246F61F"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275CE725"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21C2EDD"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7E3EA581"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4460422B"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3BD752A6"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4E8A7AC7" w14:textId="77777777" w:rsidR="00F14F39" w:rsidRPr="00F14F39" w:rsidRDefault="00F14F39" w:rsidP="00F14F39">
            <w:pPr>
              <w:spacing w:after="0" w:line="240" w:lineRule="auto"/>
              <w:rPr>
                <w:rFonts w:cs="Arial"/>
                <w:b/>
                <w:bCs/>
                <w:color w:val="FFFFFF"/>
                <w:sz w:val="12"/>
                <w:szCs w:val="12"/>
              </w:rPr>
            </w:pPr>
            <w:r w:rsidRPr="00F14F39">
              <w:rPr>
                <w:rFonts w:cs="Arial"/>
                <w:b/>
                <w:bCs/>
                <w:color w:val="FFFFFF"/>
                <w:sz w:val="12"/>
                <w:szCs w:val="12"/>
              </w:rPr>
              <w:t>Proposed</w:t>
            </w:r>
          </w:p>
        </w:tc>
      </w:tr>
      <w:tr w:rsidR="002C1D80" w:rsidRPr="00F14F39" w14:paraId="73247E3F"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C5EEA9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 xml:space="preserve"> 0 to 30 MHz</w:t>
            </w:r>
          </w:p>
        </w:tc>
        <w:tc>
          <w:tcPr>
            <w:tcW w:w="655" w:type="dxa"/>
            <w:tcBorders>
              <w:top w:val="nil"/>
              <w:left w:val="nil"/>
              <w:bottom w:val="single" w:sz="4" w:space="0" w:color="auto"/>
              <w:right w:val="single" w:sz="4" w:space="0" w:color="auto"/>
            </w:tcBorders>
            <w:shd w:val="clear" w:color="auto" w:fill="auto"/>
            <w:noWrap/>
            <w:vAlign w:val="bottom"/>
            <w:hideMark/>
          </w:tcPr>
          <w:p w14:paraId="205A8EF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1.2209</w:t>
            </w:r>
          </w:p>
        </w:tc>
        <w:tc>
          <w:tcPr>
            <w:tcW w:w="825" w:type="dxa"/>
            <w:tcBorders>
              <w:top w:val="nil"/>
              <w:left w:val="nil"/>
              <w:bottom w:val="single" w:sz="4" w:space="0" w:color="auto"/>
              <w:right w:val="single" w:sz="4" w:space="0" w:color="auto"/>
            </w:tcBorders>
            <w:shd w:val="clear" w:color="000000" w:fill="E7E6E6"/>
            <w:noWrap/>
            <w:vAlign w:val="bottom"/>
            <w:hideMark/>
          </w:tcPr>
          <w:p w14:paraId="4D2BEAC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1.2172</w:t>
            </w:r>
          </w:p>
        </w:tc>
        <w:tc>
          <w:tcPr>
            <w:tcW w:w="655" w:type="dxa"/>
            <w:tcBorders>
              <w:top w:val="nil"/>
              <w:left w:val="nil"/>
              <w:bottom w:val="single" w:sz="4" w:space="0" w:color="auto"/>
              <w:right w:val="single" w:sz="4" w:space="0" w:color="auto"/>
            </w:tcBorders>
            <w:shd w:val="clear" w:color="auto" w:fill="auto"/>
            <w:noWrap/>
            <w:vAlign w:val="bottom"/>
            <w:hideMark/>
          </w:tcPr>
          <w:p w14:paraId="28DACBF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1.2209</w:t>
            </w:r>
          </w:p>
        </w:tc>
        <w:tc>
          <w:tcPr>
            <w:tcW w:w="825" w:type="dxa"/>
            <w:tcBorders>
              <w:top w:val="nil"/>
              <w:left w:val="nil"/>
              <w:bottom w:val="single" w:sz="4" w:space="0" w:color="auto"/>
              <w:right w:val="single" w:sz="4" w:space="0" w:color="auto"/>
            </w:tcBorders>
            <w:shd w:val="clear" w:color="000000" w:fill="E7E6E6"/>
            <w:noWrap/>
            <w:vAlign w:val="bottom"/>
            <w:hideMark/>
          </w:tcPr>
          <w:p w14:paraId="6CCF2C8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1.2172</w:t>
            </w:r>
          </w:p>
        </w:tc>
        <w:tc>
          <w:tcPr>
            <w:tcW w:w="655" w:type="dxa"/>
            <w:tcBorders>
              <w:top w:val="nil"/>
              <w:left w:val="nil"/>
              <w:bottom w:val="single" w:sz="4" w:space="0" w:color="auto"/>
              <w:right w:val="single" w:sz="4" w:space="0" w:color="auto"/>
            </w:tcBorders>
            <w:shd w:val="clear" w:color="auto" w:fill="auto"/>
            <w:noWrap/>
            <w:vAlign w:val="bottom"/>
            <w:hideMark/>
          </w:tcPr>
          <w:p w14:paraId="62ED000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1.2209</w:t>
            </w:r>
          </w:p>
        </w:tc>
        <w:tc>
          <w:tcPr>
            <w:tcW w:w="825" w:type="dxa"/>
            <w:tcBorders>
              <w:top w:val="nil"/>
              <w:left w:val="nil"/>
              <w:bottom w:val="single" w:sz="4" w:space="0" w:color="auto"/>
              <w:right w:val="single" w:sz="4" w:space="0" w:color="auto"/>
            </w:tcBorders>
            <w:shd w:val="clear" w:color="000000" w:fill="E7E6E6"/>
            <w:noWrap/>
            <w:vAlign w:val="bottom"/>
            <w:hideMark/>
          </w:tcPr>
          <w:p w14:paraId="3927E30A"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1.2172</w:t>
            </w:r>
          </w:p>
        </w:tc>
        <w:tc>
          <w:tcPr>
            <w:tcW w:w="655" w:type="dxa"/>
            <w:tcBorders>
              <w:top w:val="nil"/>
              <w:left w:val="nil"/>
              <w:bottom w:val="single" w:sz="4" w:space="0" w:color="auto"/>
              <w:right w:val="single" w:sz="4" w:space="0" w:color="auto"/>
            </w:tcBorders>
            <w:shd w:val="clear" w:color="auto" w:fill="auto"/>
            <w:noWrap/>
            <w:vAlign w:val="bottom"/>
            <w:hideMark/>
          </w:tcPr>
          <w:p w14:paraId="4A3DDB3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1.2209</w:t>
            </w:r>
          </w:p>
        </w:tc>
        <w:tc>
          <w:tcPr>
            <w:tcW w:w="825" w:type="dxa"/>
            <w:tcBorders>
              <w:top w:val="nil"/>
              <w:left w:val="nil"/>
              <w:bottom w:val="single" w:sz="4" w:space="0" w:color="auto"/>
              <w:right w:val="single" w:sz="4" w:space="0" w:color="auto"/>
            </w:tcBorders>
            <w:shd w:val="clear" w:color="000000" w:fill="E7E6E6"/>
            <w:noWrap/>
            <w:vAlign w:val="bottom"/>
            <w:hideMark/>
          </w:tcPr>
          <w:p w14:paraId="420E912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1.2172</w:t>
            </w:r>
          </w:p>
        </w:tc>
        <w:tc>
          <w:tcPr>
            <w:tcW w:w="655" w:type="dxa"/>
            <w:tcBorders>
              <w:top w:val="nil"/>
              <w:left w:val="nil"/>
              <w:bottom w:val="single" w:sz="4" w:space="0" w:color="auto"/>
              <w:right w:val="single" w:sz="4" w:space="0" w:color="auto"/>
            </w:tcBorders>
            <w:shd w:val="clear" w:color="auto" w:fill="auto"/>
            <w:noWrap/>
            <w:vAlign w:val="bottom"/>
            <w:hideMark/>
          </w:tcPr>
          <w:p w14:paraId="43E2B73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1.2209</w:t>
            </w:r>
          </w:p>
        </w:tc>
        <w:tc>
          <w:tcPr>
            <w:tcW w:w="825" w:type="dxa"/>
            <w:tcBorders>
              <w:top w:val="nil"/>
              <w:left w:val="nil"/>
              <w:bottom w:val="single" w:sz="4" w:space="0" w:color="auto"/>
              <w:right w:val="single" w:sz="4" w:space="0" w:color="auto"/>
            </w:tcBorders>
            <w:shd w:val="clear" w:color="000000" w:fill="E7E6E6"/>
            <w:noWrap/>
            <w:vAlign w:val="bottom"/>
            <w:hideMark/>
          </w:tcPr>
          <w:p w14:paraId="6B9CA2F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1.2172</w:t>
            </w:r>
          </w:p>
        </w:tc>
      </w:tr>
      <w:tr w:rsidR="002C1D80" w:rsidRPr="00F14F39" w14:paraId="5CEC6903"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A0C30C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&gt;30 to 70 MHz</w:t>
            </w:r>
          </w:p>
        </w:tc>
        <w:tc>
          <w:tcPr>
            <w:tcW w:w="655" w:type="dxa"/>
            <w:tcBorders>
              <w:top w:val="nil"/>
              <w:left w:val="nil"/>
              <w:bottom w:val="single" w:sz="4" w:space="0" w:color="auto"/>
              <w:right w:val="single" w:sz="4" w:space="0" w:color="auto"/>
            </w:tcBorders>
            <w:shd w:val="clear" w:color="auto" w:fill="auto"/>
            <w:noWrap/>
            <w:vAlign w:val="bottom"/>
            <w:hideMark/>
          </w:tcPr>
          <w:p w14:paraId="20B8C9F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2.7579</w:t>
            </w:r>
          </w:p>
        </w:tc>
        <w:tc>
          <w:tcPr>
            <w:tcW w:w="825" w:type="dxa"/>
            <w:tcBorders>
              <w:top w:val="nil"/>
              <w:left w:val="nil"/>
              <w:bottom w:val="single" w:sz="4" w:space="0" w:color="auto"/>
              <w:right w:val="single" w:sz="4" w:space="0" w:color="auto"/>
            </w:tcBorders>
            <w:shd w:val="clear" w:color="000000" w:fill="E7E6E6"/>
            <w:noWrap/>
            <w:vAlign w:val="bottom"/>
            <w:hideMark/>
          </w:tcPr>
          <w:p w14:paraId="6C28E9F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2.7496</w:t>
            </w:r>
          </w:p>
        </w:tc>
        <w:tc>
          <w:tcPr>
            <w:tcW w:w="655" w:type="dxa"/>
            <w:tcBorders>
              <w:top w:val="nil"/>
              <w:left w:val="nil"/>
              <w:bottom w:val="single" w:sz="4" w:space="0" w:color="auto"/>
              <w:right w:val="single" w:sz="4" w:space="0" w:color="auto"/>
            </w:tcBorders>
            <w:shd w:val="clear" w:color="auto" w:fill="auto"/>
            <w:noWrap/>
            <w:vAlign w:val="bottom"/>
            <w:hideMark/>
          </w:tcPr>
          <w:p w14:paraId="78A55FE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1.0772</w:t>
            </w:r>
          </w:p>
        </w:tc>
        <w:tc>
          <w:tcPr>
            <w:tcW w:w="825" w:type="dxa"/>
            <w:tcBorders>
              <w:top w:val="nil"/>
              <w:left w:val="nil"/>
              <w:bottom w:val="single" w:sz="4" w:space="0" w:color="auto"/>
              <w:right w:val="single" w:sz="4" w:space="0" w:color="auto"/>
            </w:tcBorders>
            <w:shd w:val="clear" w:color="000000" w:fill="E7E6E6"/>
            <w:noWrap/>
            <w:vAlign w:val="bottom"/>
            <w:hideMark/>
          </w:tcPr>
          <w:p w14:paraId="7B5D2EC1"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1.0739</w:t>
            </w:r>
          </w:p>
        </w:tc>
        <w:tc>
          <w:tcPr>
            <w:tcW w:w="655" w:type="dxa"/>
            <w:tcBorders>
              <w:top w:val="nil"/>
              <w:left w:val="nil"/>
              <w:bottom w:val="single" w:sz="4" w:space="0" w:color="auto"/>
              <w:right w:val="single" w:sz="4" w:space="0" w:color="auto"/>
            </w:tcBorders>
            <w:shd w:val="clear" w:color="auto" w:fill="auto"/>
            <w:noWrap/>
            <w:vAlign w:val="bottom"/>
            <w:hideMark/>
          </w:tcPr>
          <w:p w14:paraId="40D79C7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0.5730</w:t>
            </w:r>
          </w:p>
        </w:tc>
        <w:tc>
          <w:tcPr>
            <w:tcW w:w="825" w:type="dxa"/>
            <w:tcBorders>
              <w:top w:val="nil"/>
              <w:left w:val="nil"/>
              <w:bottom w:val="single" w:sz="4" w:space="0" w:color="auto"/>
              <w:right w:val="single" w:sz="4" w:space="0" w:color="auto"/>
            </w:tcBorders>
            <w:shd w:val="clear" w:color="000000" w:fill="E7E6E6"/>
            <w:noWrap/>
            <w:vAlign w:val="bottom"/>
            <w:hideMark/>
          </w:tcPr>
          <w:p w14:paraId="2A9A994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0.5712</w:t>
            </w:r>
          </w:p>
        </w:tc>
        <w:tc>
          <w:tcPr>
            <w:tcW w:w="655" w:type="dxa"/>
            <w:tcBorders>
              <w:top w:val="nil"/>
              <w:left w:val="nil"/>
              <w:bottom w:val="single" w:sz="4" w:space="0" w:color="auto"/>
              <w:right w:val="single" w:sz="4" w:space="0" w:color="auto"/>
            </w:tcBorders>
            <w:shd w:val="clear" w:color="auto" w:fill="auto"/>
            <w:noWrap/>
            <w:vAlign w:val="bottom"/>
            <w:hideMark/>
          </w:tcPr>
          <w:p w14:paraId="07F667E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0.1236</w:t>
            </w:r>
          </w:p>
        </w:tc>
        <w:tc>
          <w:tcPr>
            <w:tcW w:w="825" w:type="dxa"/>
            <w:tcBorders>
              <w:top w:val="nil"/>
              <w:left w:val="nil"/>
              <w:bottom w:val="single" w:sz="4" w:space="0" w:color="auto"/>
              <w:right w:val="single" w:sz="4" w:space="0" w:color="auto"/>
            </w:tcBorders>
            <w:shd w:val="clear" w:color="000000" w:fill="E7E6E6"/>
            <w:noWrap/>
            <w:vAlign w:val="bottom"/>
            <w:hideMark/>
          </w:tcPr>
          <w:p w14:paraId="12FBA94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0.1233</w:t>
            </w:r>
          </w:p>
        </w:tc>
        <w:tc>
          <w:tcPr>
            <w:tcW w:w="655" w:type="dxa"/>
            <w:tcBorders>
              <w:top w:val="nil"/>
              <w:left w:val="nil"/>
              <w:bottom w:val="single" w:sz="4" w:space="0" w:color="auto"/>
              <w:right w:val="single" w:sz="4" w:space="0" w:color="auto"/>
            </w:tcBorders>
            <w:shd w:val="clear" w:color="auto" w:fill="auto"/>
            <w:noWrap/>
            <w:vAlign w:val="bottom"/>
            <w:hideMark/>
          </w:tcPr>
          <w:p w14:paraId="5B991B3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0.0617</w:t>
            </w:r>
          </w:p>
        </w:tc>
        <w:tc>
          <w:tcPr>
            <w:tcW w:w="825" w:type="dxa"/>
            <w:tcBorders>
              <w:top w:val="nil"/>
              <w:left w:val="nil"/>
              <w:bottom w:val="single" w:sz="4" w:space="0" w:color="auto"/>
              <w:right w:val="single" w:sz="4" w:space="0" w:color="auto"/>
            </w:tcBorders>
            <w:shd w:val="clear" w:color="000000" w:fill="E7E6E6"/>
            <w:noWrap/>
            <w:vAlign w:val="bottom"/>
            <w:hideMark/>
          </w:tcPr>
          <w:p w14:paraId="1BB72AA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0.0615</w:t>
            </w:r>
          </w:p>
        </w:tc>
      </w:tr>
      <w:tr w:rsidR="002C1D80" w:rsidRPr="00F14F39" w14:paraId="339EB714"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4858D3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&gt;70 to 399.9 MHz</w:t>
            </w:r>
          </w:p>
        </w:tc>
        <w:tc>
          <w:tcPr>
            <w:tcW w:w="655" w:type="dxa"/>
            <w:tcBorders>
              <w:top w:val="nil"/>
              <w:left w:val="nil"/>
              <w:bottom w:val="single" w:sz="4" w:space="0" w:color="auto"/>
              <w:right w:val="single" w:sz="4" w:space="0" w:color="auto"/>
            </w:tcBorders>
            <w:shd w:val="clear" w:color="auto" w:fill="auto"/>
            <w:noWrap/>
            <w:vAlign w:val="bottom"/>
            <w:hideMark/>
          </w:tcPr>
          <w:p w14:paraId="4286DA0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2.8295</w:t>
            </w:r>
          </w:p>
        </w:tc>
        <w:tc>
          <w:tcPr>
            <w:tcW w:w="825" w:type="dxa"/>
            <w:tcBorders>
              <w:top w:val="nil"/>
              <w:left w:val="nil"/>
              <w:bottom w:val="single" w:sz="4" w:space="0" w:color="auto"/>
              <w:right w:val="single" w:sz="4" w:space="0" w:color="auto"/>
            </w:tcBorders>
            <w:shd w:val="clear" w:color="000000" w:fill="E7E6E6"/>
            <w:noWrap/>
            <w:vAlign w:val="bottom"/>
            <w:hideMark/>
          </w:tcPr>
          <w:p w14:paraId="4A68471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2.8210</w:t>
            </w:r>
          </w:p>
        </w:tc>
        <w:tc>
          <w:tcPr>
            <w:tcW w:w="655" w:type="dxa"/>
            <w:tcBorders>
              <w:top w:val="nil"/>
              <w:left w:val="nil"/>
              <w:bottom w:val="single" w:sz="4" w:space="0" w:color="auto"/>
              <w:right w:val="single" w:sz="4" w:space="0" w:color="auto"/>
            </w:tcBorders>
            <w:shd w:val="clear" w:color="auto" w:fill="auto"/>
            <w:noWrap/>
            <w:vAlign w:val="bottom"/>
            <w:hideMark/>
          </w:tcPr>
          <w:p w14:paraId="1D7C2EC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1.1612</w:t>
            </w:r>
          </w:p>
        </w:tc>
        <w:tc>
          <w:tcPr>
            <w:tcW w:w="825" w:type="dxa"/>
            <w:tcBorders>
              <w:top w:val="nil"/>
              <w:left w:val="nil"/>
              <w:bottom w:val="single" w:sz="4" w:space="0" w:color="auto"/>
              <w:right w:val="single" w:sz="4" w:space="0" w:color="auto"/>
            </w:tcBorders>
            <w:shd w:val="clear" w:color="000000" w:fill="E7E6E6"/>
            <w:noWrap/>
            <w:vAlign w:val="bottom"/>
            <w:hideMark/>
          </w:tcPr>
          <w:p w14:paraId="401C221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1.1577</w:t>
            </w:r>
          </w:p>
        </w:tc>
        <w:tc>
          <w:tcPr>
            <w:tcW w:w="655" w:type="dxa"/>
            <w:tcBorders>
              <w:top w:val="nil"/>
              <w:left w:val="nil"/>
              <w:bottom w:val="single" w:sz="4" w:space="0" w:color="auto"/>
              <w:right w:val="single" w:sz="4" w:space="0" w:color="auto"/>
            </w:tcBorders>
            <w:shd w:val="clear" w:color="auto" w:fill="auto"/>
            <w:noWrap/>
            <w:vAlign w:val="bottom"/>
            <w:hideMark/>
          </w:tcPr>
          <w:p w14:paraId="1254F8B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0.5314</w:t>
            </w:r>
          </w:p>
        </w:tc>
        <w:tc>
          <w:tcPr>
            <w:tcW w:w="825" w:type="dxa"/>
            <w:tcBorders>
              <w:top w:val="nil"/>
              <w:left w:val="nil"/>
              <w:bottom w:val="single" w:sz="4" w:space="0" w:color="auto"/>
              <w:right w:val="single" w:sz="4" w:space="0" w:color="auto"/>
            </w:tcBorders>
            <w:shd w:val="clear" w:color="000000" w:fill="E7E6E6"/>
            <w:noWrap/>
            <w:vAlign w:val="bottom"/>
            <w:hideMark/>
          </w:tcPr>
          <w:p w14:paraId="60D56F7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0.5298</w:t>
            </w:r>
          </w:p>
        </w:tc>
        <w:tc>
          <w:tcPr>
            <w:tcW w:w="655" w:type="dxa"/>
            <w:tcBorders>
              <w:top w:val="nil"/>
              <w:left w:val="nil"/>
              <w:bottom w:val="single" w:sz="4" w:space="0" w:color="auto"/>
              <w:right w:val="single" w:sz="4" w:space="0" w:color="auto"/>
            </w:tcBorders>
            <w:shd w:val="clear" w:color="auto" w:fill="auto"/>
            <w:noWrap/>
            <w:vAlign w:val="bottom"/>
            <w:hideMark/>
          </w:tcPr>
          <w:p w14:paraId="77215DC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0.1191</w:t>
            </w:r>
          </w:p>
        </w:tc>
        <w:tc>
          <w:tcPr>
            <w:tcW w:w="825" w:type="dxa"/>
            <w:tcBorders>
              <w:top w:val="nil"/>
              <w:left w:val="nil"/>
              <w:bottom w:val="single" w:sz="4" w:space="0" w:color="auto"/>
              <w:right w:val="single" w:sz="4" w:space="0" w:color="auto"/>
            </w:tcBorders>
            <w:shd w:val="clear" w:color="000000" w:fill="E7E6E6"/>
            <w:noWrap/>
            <w:vAlign w:val="bottom"/>
            <w:hideMark/>
          </w:tcPr>
          <w:p w14:paraId="561679D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0.1188</w:t>
            </w:r>
          </w:p>
        </w:tc>
        <w:tc>
          <w:tcPr>
            <w:tcW w:w="655" w:type="dxa"/>
            <w:tcBorders>
              <w:top w:val="nil"/>
              <w:left w:val="nil"/>
              <w:bottom w:val="single" w:sz="4" w:space="0" w:color="auto"/>
              <w:right w:val="single" w:sz="4" w:space="0" w:color="auto"/>
            </w:tcBorders>
            <w:shd w:val="clear" w:color="auto" w:fill="auto"/>
            <w:noWrap/>
            <w:vAlign w:val="bottom"/>
            <w:hideMark/>
          </w:tcPr>
          <w:p w14:paraId="374C5CD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0.0594</w:t>
            </w:r>
          </w:p>
        </w:tc>
        <w:tc>
          <w:tcPr>
            <w:tcW w:w="825" w:type="dxa"/>
            <w:tcBorders>
              <w:top w:val="nil"/>
              <w:left w:val="nil"/>
              <w:bottom w:val="single" w:sz="4" w:space="0" w:color="auto"/>
              <w:right w:val="single" w:sz="4" w:space="0" w:color="auto"/>
            </w:tcBorders>
            <w:shd w:val="clear" w:color="000000" w:fill="E7E6E6"/>
            <w:noWrap/>
            <w:vAlign w:val="bottom"/>
            <w:hideMark/>
          </w:tcPr>
          <w:p w14:paraId="0793292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0.0592</w:t>
            </w:r>
          </w:p>
        </w:tc>
      </w:tr>
      <w:tr w:rsidR="002C1D80" w:rsidRPr="00F14F39" w14:paraId="7B7FB54E"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AE2420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&gt;399.9 to 403 MHz</w:t>
            </w:r>
          </w:p>
        </w:tc>
        <w:tc>
          <w:tcPr>
            <w:tcW w:w="655" w:type="dxa"/>
            <w:tcBorders>
              <w:top w:val="nil"/>
              <w:left w:val="nil"/>
              <w:bottom w:val="single" w:sz="4" w:space="0" w:color="auto"/>
              <w:right w:val="single" w:sz="4" w:space="0" w:color="auto"/>
            </w:tcBorders>
            <w:shd w:val="clear" w:color="auto" w:fill="auto"/>
            <w:noWrap/>
            <w:vAlign w:val="bottom"/>
            <w:hideMark/>
          </w:tcPr>
          <w:p w14:paraId="050CA0A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2.8295</w:t>
            </w:r>
          </w:p>
        </w:tc>
        <w:tc>
          <w:tcPr>
            <w:tcW w:w="825" w:type="dxa"/>
            <w:tcBorders>
              <w:top w:val="nil"/>
              <w:left w:val="nil"/>
              <w:bottom w:val="single" w:sz="4" w:space="0" w:color="auto"/>
              <w:right w:val="single" w:sz="4" w:space="0" w:color="auto"/>
            </w:tcBorders>
            <w:shd w:val="clear" w:color="000000" w:fill="E7E6E6"/>
            <w:noWrap/>
            <w:vAlign w:val="bottom"/>
            <w:hideMark/>
          </w:tcPr>
          <w:p w14:paraId="507BD57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2.8210</w:t>
            </w:r>
          </w:p>
        </w:tc>
        <w:tc>
          <w:tcPr>
            <w:tcW w:w="655" w:type="dxa"/>
            <w:tcBorders>
              <w:top w:val="nil"/>
              <w:left w:val="nil"/>
              <w:bottom w:val="single" w:sz="4" w:space="0" w:color="auto"/>
              <w:right w:val="single" w:sz="4" w:space="0" w:color="auto"/>
            </w:tcBorders>
            <w:shd w:val="clear" w:color="auto" w:fill="auto"/>
            <w:noWrap/>
            <w:vAlign w:val="bottom"/>
            <w:hideMark/>
          </w:tcPr>
          <w:p w14:paraId="39BA572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1.5845</w:t>
            </w:r>
          </w:p>
        </w:tc>
        <w:tc>
          <w:tcPr>
            <w:tcW w:w="825" w:type="dxa"/>
            <w:tcBorders>
              <w:top w:val="nil"/>
              <w:left w:val="nil"/>
              <w:bottom w:val="single" w:sz="4" w:space="0" w:color="auto"/>
              <w:right w:val="single" w:sz="4" w:space="0" w:color="auto"/>
            </w:tcBorders>
            <w:shd w:val="clear" w:color="000000" w:fill="E7E6E6"/>
            <w:noWrap/>
            <w:vAlign w:val="bottom"/>
            <w:hideMark/>
          </w:tcPr>
          <w:p w14:paraId="3CAD7FB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1.5797</w:t>
            </w:r>
          </w:p>
        </w:tc>
        <w:tc>
          <w:tcPr>
            <w:tcW w:w="655" w:type="dxa"/>
            <w:tcBorders>
              <w:top w:val="nil"/>
              <w:left w:val="nil"/>
              <w:bottom w:val="single" w:sz="4" w:space="0" w:color="auto"/>
              <w:right w:val="single" w:sz="4" w:space="0" w:color="auto"/>
            </w:tcBorders>
            <w:shd w:val="clear" w:color="auto" w:fill="auto"/>
            <w:noWrap/>
            <w:vAlign w:val="bottom"/>
            <w:hideMark/>
          </w:tcPr>
          <w:p w14:paraId="6708F9C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0.7249</w:t>
            </w:r>
          </w:p>
        </w:tc>
        <w:tc>
          <w:tcPr>
            <w:tcW w:w="825" w:type="dxa"/>
            <w:tcBorders>
              <w:top w:val="nil"/>
              <w:left w:val="nil"/>
              <w:bottom w:val="single" w:sz="4" w:space="0" w:color="auto"/>
              <w:right w:val="single" w:sz="4" w:space="0" w:color="auto"/>
            </w:tcBorders>
            <w:shd w:val="clear" w:color="000000" w:fill="E7E6E6"/>
            <w:noWrap/>
            <w:vAlign w:val="bottom"/>
            <w:hideMark/>
          </w:tcPr>
          <w:p w14:paraId="5E62210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0.7227</w:t>
            </w:r>
          </w:p>
        </w:tc>
        <w:tc>
          <w:tcPr>
            <w:tcW w:w="655" w:type="dxa"/>
            <w:tcBorders>
              <w:top w:val="nil"/>
              <w:left w:val="nil"/>
              <w:bottom w:val="single" w:sz="4" w:space="0" w:color="auto"/>
              <w:right w:val="single" w:sz="4" w:space="0" w:color="auto"/>
            </w:tcBorders>
            <w:shd w:val="clear" w:color="auto" w:fill="auto"/>
            <w:noWrap/>
            <w:vAlign w:val="bottom"/>
            <w:hideMark/>
          </w:tcPr>
          <w:p w14:paraId="7599E10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0.1236</w:t>
            </w:r>
          </w:p>
        </w:tc>
        <w:tc>
          <w:tcPr>
            <w:tcW w:w="825" w:type="dxa"/>
            <w:tcBorders>
              <w:top w:val="nil"/>
              <w:left w:val="nil"/>
              <w:bottom w:val="single" w:sz="4" w:space="0" w:color="auto"/>
              <w:right w:val="single" w:sz="4" w:space="0" w:color="auto"/>
            </w:tcBorders>
            <w:shd w:val="clear" w:color="000000" w:fill="E7E6E6"/>
            <w:noWrap/>
            <w:vAlign w:val="bottom"/>
            <w:hideMark/>
          </w:tcPr>
          <w:p w14:paraId="2B5BDC4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0.1233</w:t>
            </w:r>
          </w:p>
        </w:tc>
        <w:tc>
          <w:tcPr>
            <w:tcW w:w="655" w:type="dxa"/>
            <w:tcBorders>
              <w:top w:val="nil"/>
              <w:left w:val="nil"/>
              <w:bottom w:val="single" w:sz="4" w:space="0" w:color="auto"/>
              <w:right w:val="single" w:sz="4" w:space="0" w:color="auto"/>
            </w:tcBorders>
            <w:shd w:val="clear" w:color="auto" w:fill="auto"/>
            <w:noWrap/>
            <w:vAlign w:val="bottom"/>
            <w:hideMark/>
          </w:tcPr>
          <w:p w14:paraId="7E1E9C4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0.0617</w:t>
            </w:r>
          </w:p>
        </w:tc>
        <w:tc>
          <w:tcPr>
            <w:tcW w:w="825" w:type="dxa"/>
            <w:tcBorders>
              <w:top w:val="nil"/>
              <w:left w:val="nil"/>
              <w:bottom w:val="single" w:sz="4" w:space="0" w:color="auto"/>
              <w:right w:val="single" w:sz="4" w:space="0" w:color="auto"/>
            </w:tcBorders>
            <w:shd w:val="clear" w:color="000000" w:fill="E7E6E6"/>
            <w:noWrap/>
            <w:vAlign w:val="bottom"/>
            <w:hideMark/>
          </w:tcPr>
          <w:p w14:paraId="775E661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0.0615</w:t>
            </w:r>
          </w:p>
        </w:tc>
      </w:tr>
      <w:tr w:rsidR="002C1D80" w:rsidRPr="00F14F39" w14:paraId="342C5D49"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D5B64A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 403 to 520 MHz</w:t>
            </w:r>
          </w:p>
        </w:tc>
        <w:tc>
          <w:tcPr>
            <w:tcW w:w="655" w:type="dxa"/>
            <w:tcBorders>
              <w:top w:val="nil"/>
              <w:left w:val="nil"/>
              <w:bottom w:val="single" w:sz="4" w:space="0" w:color="auto"/>
              <w:right w:val="single" w:sz="4" w:space="0" w:color="auto"/>
            </w:tcBorders>
            <w:shd w:val="clear" w:color="auto" w:fill="auto"/>
            <w:noWrap/>
            <w:vAlign w:val="bottom"/>
            <w:hideMark/>
          </w:tcPr>
          <w:p w14:paraId="6631231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2.8295</w:t>
            </w:r>
          </w:p>
        </w:tc>
        <w:tc>
          <w:tcPr>
            <w:tcW w:w="825" w:type="dxa"/>
            <w:tcBorders>
              <w:top w:val="nil"/>
              <w:left w:val="nil"/>
              <w:bottom w:val="single" w:sz="4" w:space="0" w:color="auto"/>
              <w:right w:val="single" w:sz="4" w:space="0" w:color="auto"/>
            </w:tcBorders>
            <w:shd w:val="clear" w:color="000000" w:fill="E7E6E6"/>
            <w:noWrap/>
            <w:vAlign w:val="bottom"/>
            <w:hideMark/>
          </w:tcPr>
          <w:p w14:paraId="061D4EF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2.8210</w:t>
            </w:r>
          </w:p>
        </w:tc>
        <w:tc>
          <w:tcPr>
            <w:tcW w:w="655" w:type="dxa"/>
            <w:tcBorders>
              <w:top w:val="nil"/>
              <w:left w:val="nil"/>
              <w:bottom w:val="single" w:sz="4" w:space="0" w:color="auto"/>
              <w:right w:val="single" w:sz="4" w:space="0" w:color="auto"/>
            </w:tcBorders>
            <w:shd w:val="clear" w:color="auto" w:fill="auto"/>
            <w:noWrap/>
            <w:vAlign w:val="bottom"/>
            <w:hideMark/>
          </w:tcPr>
          <w:p w14:paraId="2D6BAA2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2.0970</w:t>
            </w:r>
          </w:p>
        </w:tc>
        <w:tc>
          <w:tcPr>
            <w:tcW w:w="825" w:type="dxa"/>
            <w:tcBorders>
              <w:top w:val="nil"/>
              <w:left w:val="nil"/>
              <w:bottom w:val="single" w:sz="4" w:space="0" w:color="auto"/>
              <w:right w:val="single" w:sz="4" w:space="0" w:color="auto"/>
            </w:tcBorders>
            <w:shd w:val="clear" w:color="000000" w:fill="E7E6E6"/>
            <w:noWrap/>
            <w:vAlign w:val="bottom"/>
            <w:hideMark/>
          </w:tcPr>
          <w:p w14:paraId="166C8CF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2.0906</w:t>
            </w:r>
          </w:p>
        </w:tc>
        <w:tc>
          <w:tcPr>
            <w:tcW w:w="655" w:type="dxa"/>
            <w:tcBorders>
              <w:top w:val="nil"/>
              <w:left w:val="nil"/>
              <w:bottom w:val="single" w:sz="4" w:space="0" w:color="auto"/>
              <w:right w:val="single" w:sz="4" w:space="0" w:color="auto"/>
            </w:tcBorders>
            <w:shd w:val="clear" w:color="auto" w:fill="auto"/>
            <w:noWrap/>
            <w:vAlign w:val="bottom"/>
            <w:hideMark/>
          </w:tcPr>
          <w:p w14:paraId="5D699D6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0.7249</w:t>
            </w:r>
          </w:p>
        </w:tc>
        <w:tc>
          <w:tcPr>
            <w:tcW w:w="825" w:type="dxa"/>
            <w:tcBorders>
              <w:top w:val="nil"/>
              <w:left w:val="nil"/>
              <w:bottom w:val="single" w:sz="4" w:space="0" w:color="auto"/>
              <w:right w:val="single" w:sz="4" w:space="0" w:color="auto"/>
            </w:tcBorders>
            <w:shd w:val="clear" w:color="000000" w:fill="E7E6E6"/>
            <w:noWrap/>
            <w:vAlign w:val="bottom"/>
            <w:hideMark/>
          </w:tcPr>
          <w:p w14:paraId="37C93E6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0.7227</w:t>
            </w:r>
          </w:p>
        </w:tc>
        <w:tc>
          <w:tcPr>
            <w:tcW w:w="655" w:type="dxa"/>
            <w:tcBorders>
              <w:top w:val="nil"/>
              <w:left w:val="nil"/>
              <w:bottom w:val="single" w:sz="4" w:space="0" w:color="auto"/>
              <w:right w:val="single" w:sz="4" w:space="0" w:color="auto"/>
            </w:tcBorders>
            <w:shd w:val="clear" w:color="auto" w:fill="auto"/>
            <w:noWrap/>
            <w:vAlign w:val="bottom"/>
            <w:hideMark/>
          </w:tcPr>
          <w:p w14:paraId="3E6CE80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0.1236</w:t>
            </w:r>
          </w:p>
        </w:tc>
        <w:tc>
          <w:tcPr>
            <w:tcW w:w="825" w:type="dxa"/>
            <w:tcBorders>
              <w:top w:val="nil"/>
              <w:left w:val="nil"/>
              <w:bottom w:val="single" w:sz="4" w:space="0" w:color="auto"/>
              <w:right w:val="single" w:sz="4" w:space="0" w:color="auto"/>
            </w:tcBorders>
            <w:shd w:val="clear" w:color="000000" w:fill="E7E6E6"/>
            <w:noWrap/>
            <w:vAlign w:val="bottom"/>
            <w:hideMark/>
          </w:tcPr>
          <w:p w14:paraId="730DA41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0.1233</w:t>
            </w:r>
          </w:p>
        </w:tc>
        <w:tc>
          <w:tcPr>
            <w:tcW w:w="655" w:type="dxa"/>
            <w:tcBorders>
              <w:top w:val="nil"/>
              <w:left w:val="nil"/>
              <w:bottom w:val="single" w:sz="4" w:space="0" w:color="auto"/>
              <w:right w:val="single" w:sz="4" w:space="0" w:color="auto"/>
            </w:tcBorders>
            <w:shd w:val="clear" w:color="auto" w:fill="auto"/>
            <w:noWrap/>
            <w:vAlign w:val="bottom"/>
            <w:hideMark/>
          </w:tcPr>
          <w:p w14:paraId="6D5BE60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7993BFA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0.0000</w:t>
            </w:r>
          </w:p>
        </w:tc>
      </w:tr>
      <w:tr w:rsidR="002C1D80" w:rsidRPr="00F14F39" w14:paraId="0FBA09A1"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03777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 520 to 960 MHz</w:t>
            </w:r>
          </w:p>
        </w:tc>
        <w:tc>
          <w:tcPr>
            <w:tcW w:w="655" w:type="dxa"/>
            <w:tcBorders>
              <w:top w:val="nil"/>
              <w:left w:val="nil"/>
              <w:bottom w:val="single" w:sz="4" w:space="0" w:color="auto"/>
              <w:right w:val="single" w:sz="4" w:space="0" w:color="auto"/>
            </w:tcBorders>
            <w:shd w:val="clear" w:color="auto" w:fill="auto"/>
            <w:noWrap/>
            <w:vAlign w:val="bottom"/>
            <w:hideMark/>
          </w:tcPr>
          <w:p w14:paraId="110BB23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2.8295</w:t>
            </w:r>
          </w:p>
        </w:tc>
        <w:tc>
          <w:tcPr>
            <w:tcW w:w="825" w:type="dxa"/>
            <w:tcBorders>
              <w:top w:val="nil"/>
              <w:left w:val="nil"/>
              <w:bottom w:val="single" w:sz="4" w:space="0" w:color="auto"/>
              <w:right w:val="single" w:sz="4" w:space="0" w:color="auto"/>
            </w:tcBorders>
            <w:shd w:val="clear" w:color="000000" w:fill="E7E6E6"/>
            <w:noWrap/>
            <w:vAlign w:val="bottom"/>
            <w:hideMark/>
          </w:tcPr>
          <w:p w14:paraId="08C04CC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2.8210</w:t>
            </w:r>
          </w:p>
        </w:tc>
        <w:tc>
          <w:tcPr>
            <w:tcW w:w="655" w:type="dxa"/>
            <w:tcBorders>
              <w:top w:val="nil"/>
              <w:left w:val="nil"/>
              <w:bottom w:val="single" w:sz="4" w:space="0" w:color="auto"/>
              <w:right w:val="single" w:sz="4" w:space="0" w:color="auto"/>
            </w:tcBorders>
            <w:shd w:val="clear" w:color="auto" w:fill="auto"/>
            <w:noWrap/>
            <w:vAlign w:val="bottom"/>
            <w:hideMark/>
          </w:tcPr>
          <w:p w14:paraId="544E70F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1.5845</w:t>
            </w:r>
          </w:p>
        </w:tc>
        <w:tc>
          <w:tcPr>
            <w:tcW w:w="825" w:type="dxa"/>
            <w:tcBorders>
              <w:top w:val="nil"/>
              <w:left w:val="nil"/>
              <w:bottom w:val="single" w:sz="4" w:space="0" w:color="auto"/>
              <w:right w:val="single" w:sz="4" w:space="0" w:color="auto"/>
            </w:tcBorders>
            <w:shd w:val="clear" w:color="000000" w:fill="E7E6E6"/>
            <w:noWrap/>
            <w:vAlign w:val="bottom"/>
            <w:hideMark/>
          </w:tcPr>
          <w:p w14:paraId="6050AB8A"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1.5797</w:t>
            </w:r>
          </w:p>
        </w:tc>
        <w:tc>
          <w:tcPr>
            <w:tcW w:w="655" w:type="dxa"/>
            <w:tcBorders>
              <w:top w:val="nil"/>
              <w:left w:val="nil"/>
              <w:bottom w:val="single" w:sz="4" w:space="0" w:color="auto"/>
              <w:right w:val="single" w:sz="4" w:space="0" w:color="auto"/>
            </w:tcBorders>
            <w:shd w:val="clear" w:color="auto" w:fill="auto"/>
            <w:noWrap/>
            <w:vAlign w:val="bottom"/>
            <w:hideMark/>
          </w:tcPr>
          <w:p w14:paraId="11D1B7F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0.7249</w:t>
            </w:r>
          </w:p>
        </w:tc>
        <w:tc>
          <w:tcPr>
            <w:tcW w:w="825" w:type="dxa"/>
            <w:tcBorders>
              <w:top w:val="nil"/>
              <w:left w:val="nil"/>
              <w:bottom w:val="single" w:sz="4" w:space="0" w:color="auto"/>
              <w:right w:val="single" w:sz="4" w:space="0" w:color="auto"/>
            </w:tcBorders>
            <w:shd w:val="clear" w:color="000000" w:fill="E7E6E6"/>
            <w:noWrap/>
            <w:vAlign w:val="bottom"/>
            <w:hideMark/>
          </w:tcPr>
          <w:p w14:paraId="358BF2C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0.7227</w:t>
            </w:r>
          </w:p>
        </w:tc>
        <w:tc>
          <w:tcPr>
            <w:tcW w:w="655" w:type="dxa"/>
            <w:tcBorders>
              <w:top w:val="nil"/>
              <w:left w:val="nil"/>
              <w:bottom w:val="single" w:sz="4" w:space="0" w:color="auto"/>
              <w:right w:val="single" w:sz="4" w:space="0" w:color="auto"/>
            </w:tcBorders>
            <w:shd w:val="clear" w:color="auto" w:fill="auto"/>
            <w:noWrap/>
            <w:vAlign w:val="bottom"/>
            <w:hideMark/>
          </w:tcPr>
          <w:p w14:paraId="54ED608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0.1236</w:t>
            </w:r>
          </w:p>
        </w:tc>
        <w:tc>
          <w:tcPr>
            <w:tcW w:w="825" w:type="dxa"/>
            <w:tcBorders>
              <w:top w:val="nil"/>
              <w:left w:val="nil"/>
              <w:bottom w:val="single" w:sz="4" w:space="0" w:color="auto"/>
              <w:right w:val="single" w:sz="4" w:space="0" w:color="auto"/>
            </w:tcBorders>
            <w:shd w:val="clear" w:color="000000" w:fill="E7E6E6"/>
            <w:noWrap/>
            <w:vAlign w:val="bottom"/>
            <w:hideMark/>
          </w:tcPr>
          <w:p w14:paraId="319E247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0.1233</w:t>
            </w:r>
          </w:p>
        </w:tc>
        <w:tc>
          <w:tcPr>
            <w:tcW w:w="655" w:type="dxa"/>
            <w:tcBorders>
              <w:top w:val="nil"/>
              <w:left w:val="nil"/>
              <w:bottom w:val="single" w:sz="4" w:space="0" w:color="auto"/>
              <w:right w:val="single" w:sz="4" w:space="0" w:color="auto"/>
            </w:tcBorders>
            <w:shd w:val="clear" w:color="auto" w:fill="auto"/>
            <w:noWrap/>
            <w:vAlign w:val="bottom"/>
            <w:hideMark/>
          </w:tcPr>
          <w:p w14:paraId="1AEAC7B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0.0617</w:t>
            </w:r>
          </w:p>
        </w:tc>
        <w:tc>
          <w:tcPr>
            <w:tcW w:w="825" w:type="dxa"/>
            <w:tcBorders>
              <w:top w:val="nil"/>
              <w:left w:val="nil"/>
              <w:bottom w:val="single" w:sz="4" w:space="0" w:color="auto"/>
              <w:right w:val="single" w:sz="4" w:space="0" w:color="auto"/>
            </w:tcBorders>
            <w:shd w:val="clear" w:color="000000" w:fill="E7E6E6"/>
            <w:noWrap/>
            <w:vAlign w:val="bottom"/>
            <w:hideMark/>
          </w:tcPr>
          <w:p w14:paraId="3BFDB94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0.0615</w:t>
            </w:r>
          </w:p>
        </w:tc>
      </w:tr>
      <w:tr w:rsidR="002C1D80" w:rsidRPr="00F14F39" w14:paraId="5D3BFC5A"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100C6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&gt;960 to 2,690 MHz</w:t>
            </w:r>
          </w:p>
        </w:tc>
        <w:tc>
          <w:tcPr>
            <w:tcW w:w="655" w:type="dxa"/>
            <w:tcBorders>
              <w:top w:val="nil"/>
              <w:left w:val="nil"/>
              <w:bottom w:val="single" w:sz="4" w:space="0" w:color="auto"/>
              <w:right w:val="single" w:sz="4" w:space="0" w:color="auto"/>
            </w:tcBorders>
            <w:shd w:val="clear" w:color="auto" w:fill="auto"/>
            <w:noWrap/>
            <w:vAlign w:val="bottom"/>
            <w:hideMark/>
          </w:tcPr>
          <w:p w14:paraId="55B7A321"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2.8252</w:t>
            </w:r>
          </w:p>
        </w:tc>
        <w:tc>
          <w:tcPr>
            <w:tcW w:w="825" w:type="dxa"/>
            <w:tcBorders>
              <w:top w:val="nil"/>
              <w:left w:val="nil"/>
              <w:bottom w:val="single" w:sz="4" w:space="0" w:color="auto"/>
              <w:right w:val="single" w:sz="4" w:space="0" w:color="auto"/>
            </w:tcBorders>
            <w:shd w:val="clear" w:color="000000" w:fill="E7E6E6"/>
            <w:noWrap/>
            <w:vAlign w:val="bottom"/>
            <w:hideMark/>
          </w:tcPr>
          <w:p w14:paraId="00FA045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2.8167</w:t>
            </w:r>
          </w:p>
        </w:tc>
        <w:tc>
          <w:tcPr>
            <w:tcW w:w="655" w:type="dxa"/>
            <w:tcBorders>
              <w:top w:val="nil"/>
              <w:left w:val="nil"/>
              <w:bottom w:val="single" w:sz="4" w:space="0" w:color="auto"/>
              <w:right w:val="single" w:sz="4" w:space="0" w:color="auto"/>
            </w:tcBorders>
            <w:shd w:val="clear" w:color="auto" w:fill="auto"/>
            <w:noWrap/>
            <w:vAlign w:val="bottom"/>
            <w:hideMark/>
          </w:tcPr>
          <w:p w14:paraId="1284CE1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0.6341</w:t>
            </w:r>
          </w:p>
        </w:tc>
        <w:tc>
          <w:tcPr>
            <w:tcW w:w="825" w:type="dxa"/>
            <w:tcBorders>
              <w:top w:val="nil"/>
              <w:left w:val="nil"/>
              <w:bottom w:val="single" w:sz="4" w:space="0" w:color="auto"/>
              <w:right w:val="single" w:sz="4" w:space="0" w:color="auto"/>
            </w:tcBorders>
            <w:shd w:val="clear" w:color="000000" w:fill="E7E6E6"/>
            <w:noWrap/>
            <w:vAlign w:val="bottom"/>
            <w:hideMark/>
          </w:tcPr>
          <w:p w14:paraId="0BE38F2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0.6322</w:t>
            </w:r>
          </w:p>
        </w:tc>
        <w:tc>
          <w:tcPr>
            <w:tcW w:w="655" w:type="dxa"/>
            <w:tcBorders>
              <w:top w:val="nil"/>
              <w:left w:val="nil"/>
              <w:bottom w:val="single" w:sz="4" w:space="0" w:color="auto"/>
              <w:right w:val="single" w:sz="4" w:space="0" w:color="auto"/>
            </w:tcBorders>
            <w:shd w:val="clear" w:color="auto" w:fill="auto"/>
            <w:noWrap/>
            <w:vAlign w:val="bottom"/>
            <w:hideMark/>
          </w:tcPr>
          <w:p w14:paraId="33F7394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0.2931</w:t>
            </w:r>
          </w:p>
        </w:tc>
        <w:tc>
          <w:tcPr>
            <w:tcW w:w="825" w:type="dxa"/>
            <w:tcBorders>
              <w:top w:val="nil"/>
              <w:left w:val="nil"/>
              <w:bottom w:val="single" w:sz="4" w:space="0" w:color="auto"/>
              <w:right w:val="single" w:sz="4" w:space="0" w:color="auto"/>
            </w:tcBorders>
            <w:shd w:val="clear" w:color="000000" w:fill="E7E6E6"/>
            <w:noWrap/>
            <w:vAlign w:val="bottom"/>
            <w:hideMark/>
          </w:tcPr>
          <w:p w14:paraId="2E5DF94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0.2923</w:t>
            </w:r>
          </w:p>
        </w:tc>
        <w:tc>
          <w:tcPr>
            <w:tcW w:w="655" w:type="dxa"/>
            <w:tcBorders>
              <w:top w:val="nil"/>
              <w:left w:val="nil"/>
              <w:bottom w:val="single" w:sz="4" w:space="0" w:color="auto"/>
              <w:right w:val="single" w:sz="4" w:space="0" w:color="auto"/>
            </w:tcBorders>
            <w:shd w:val="clear" w:color="auto" w:fill="auto"/>
            <w:noWrap/>
            <w:vAlign w:val="bottom"/>
            <w:hideMark/>
          </w:tcPr>
          <w:p w14:paraId="6631FB9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0.1474</w:t>
            </w:r>
          </w:p>
        </w:tc>
        <w:tc>
          <w:tcPr>
            <w:tcW w:w="825" w:type="dxa"/>
            <w:tcBorders>
              <w:top w:val="nil"/>
              <w:left w:val="nil"/>
              <w:bottom w:val="single" w:sz="4" w:space="0" w:color="auto"/>
              <w:right w:val="single" w:sz="4" w:space="0" w:color="auto"/>
            </w:tcBorders>
            <w:shd w:val="clear" w:color="000000" w:fill="E7E6E6"/>
            <w:noWrap/>
            <w:vAlign w:val="bottom"/>
            <w:hideMark/>
          </w:tcPr>
          <w:p w14:paraId="268EA92A"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0.1470</w:t>
            </w:r>
          </w:p>
        </w:tc>
        <w:tc>
          <w:tcPr>
            <w:tcW w:w="655" w:type="dxa"/>
            <w:tcBorders>
              <w:top w:val="nil"/>
              <w:left w:val="nil"/>
              <w:bottom w:val="single" w:sz="4" w:space="0" w:color="auto"/>
              <w:right w:val="single" w:sz="4" w:space="0" w:color="auto"/>
            </w:tcBorders>
            <w:shd w:val="clear" w:color="auto" w:fill="auto"/>
            <w:noWrap/>
            <w:vAlign w:val="bottom"/>
            <w:hideMark/>
          </w:tcPr>
          <w:p w14:paraId="49FC7A7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0.0736</w:t>
            </w:r>
          </w:p>
        </w:tc>
        <w:tc>
          <w:tcPr>
            <w:tcW w:w="825" w:type="dxa"/>
            <w:tcBorders>
              <w:top w:val="nil"/>
              <w:left w:val="nil"/>
              <w:bottom w:val="single" w:sz="4" w:space="0" w:color="auto"/>
              <w:right w:val="single" w:sz="4" w:space="0" w:color="auto"/>
            </w:tcBorders>
            <w:shd w:val="clear" w:color="000000" w:fill="E7E6E6"/>
            <w:noWrap/>
            <w:vAlign w:val="bottom"/>
            <w:hideMark/>
          </w:tcPr>
          <w:p w14:paraId="75F1EDC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0.0733</w:t>
            </w:r>
          </w:p>
        </w:tc>
      </w:tr>
      <w:tr w:rsidR="002C1D80" w:rsidRPr="00F14F39" w14:paraId="724FE6C0"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14CFBB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&gt;2.69 to 5.0 GHz</w:t>
            </w:r>
          </w:p>
        </w:tc>
        <w:tc>
          <w:tcPr>
            <w:tcW w:w="655" w:type="dxa"/>
            <w:tcBorders>
              <w:top w:val="nil"/>
              <w:left w:val="nil"/>
              <w:bottom w:val="single" w:sz="4" w:space="0" w:color="auto"/>
              <w:right w:val="single" w:sz="4" w:space="0" w:color="auto"/>
            </w:tcBorders>
            <w:shd w:val="clear" w:color="auto" w:fill="auto"/>
            <w:noWrap/>
            <w:vAlign w:val="bottom"/>
            <w:hideMark/>
          </w:tcPr>
          <w:p w14:paraId="616147F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2.8221</w:t>
            </w:r>
          </w:p>
        </w:tc>
        <w:tc>
          <w:tcPr>
            <w:tcW w:w="825" w:type="dxa"/>
            <w:tcBorders>
              <w:top w:val="nil"/>
              <w:left w:val="nil"/>
              <w:bottom w:val="single" w:sz="4" w:space="0" w:color="auto"/>
              <w:right w:val="single" w:sz="4" w:space="0" w:color="auto"/>
            </w:tcBorders>
            <w:shd w:val="clear" w:color="000000" w:fill="E7E6E6"/>
            <w:noWrap/>
            <w:vAlign w:val="bottom"/>
            <w:hideMark/>
          </w:tcPr>
          <w:p w14:paraId="6C138AB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2.8136</w:t>
            </w:r>
          </w:p>
        </w:tc>
        <w:tc>
          <w:tcPr>
            <w:tcW w:w="655" w:type="dxa"/>
            <w:tcBorders>
              <w:top w:val="nil"/>
              <w:left w:val="nil"/>
              <w:bottom w:val="single" w:sz="4" w:space="0" w:color="auto"/>
              <w:right w:val="single" w:sz="4" w:space="0" w:color="auto"/>
            </w:tcBorders>
            <w:shd w:val="clear" w:color="auto" w:fill="auto"/>
            <w:noWrap/>
            <w:vAlign w:val="bottom"/>
            <w:hideMark/>
          </w:tcPr>
          <w:p w14:paraId="44BCF46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0.5243</w:t>
            </w:r>
          </w:p>
        </w:tc>
        <w:tc>
          <w:tcPr>
            <w:tcW w:w="825" w:type="dxa"/>
            <w:tcBorders>
              <w:top w:val="nil"/>
              <w:left w:val="nil"/>
              <w:bottom w:val="single" w:sz="4" w:space="0" w:color="auto"/>
              <w:right w:val="single" w:sz="4" w:space="0" w:color="auto"/>
            </w:tcBorders>
            <w:shd w:val="clear" w:color="000000" w:fill="E7E6E6"/>
            <w:noWrap/>
            <w:vAlign w:val="bottom"/>
            <w:hideMark/>
          </w:tcPr>
          <w:p w14:paraId="1FF90B8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0.5227</w:t>
            </w:r>
          </w:p>
        </w:tc>
        <w:tc>
          <w:tcPr>
            <w:tcW w:w="655" w:type="dxa"/>
            <w:tcBorders>
              <w:top w:val="nil"/>
              <w:left w:val="nil"/>
              <w:bottom w:val="single" w:sz="4" w:space="0" w:color="auto"/>
              <w:right w:val="single" w:sz="4" w:space="0" w:color="auto"/>
            </w:tcBorders>
            <w:shd w:val="clear" w:color="auto" w:fill="auto"/>
            <w:noWrap/>
            <w:vAlign w:val="bottom"/>
            <w:hideMark/>
          </w:tcPr>
          <w:p w14:paraId="303C1A6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0.2125</w:t>
            </w:r>
          </w:p>
        </w:tc>
        <w:tc>
          <w:tcPr>
            <w:tcW w:w="825" w:type="dxa"/>
            <w:tcBorders>
              <w:top w:val="nil"/>
              <w:left w:val="nil"/>
              <w:bottom w:val="single" w:sz="4" w:space="0" w:color="auto"/>
              <w:right w:val="single" w:sz="4" w:space="0" w:color="auto"/>
            </w:tcBorders>
            <w:shd w:val="clear" w:color="000000" w:fill="E7E6E6"/>
            <w:noWrap/>
            <w:vAlign w:val="bottom"/>
            <w:hideMark/>
          </w:tcPr>
          <w:p w14:paraId="0CCDAB8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0.2119</w:t>
            </w:r>
          </w:p>
        </w:tc>
        <w:tc>
          <w:tcPr>
            <w:tcW w:w="655" w:type="dxa"/>
            <w:tcBorders>
              <w:top w:val="nil"/>
              <w:left w:val="nil"/>
              <w:bottom w:val="single" w:sz="4" w:space="0" w:color="auto"/>
              <w:right w:val="single" w:sz="4" w:space="0" w:color="auto"/>
            </w:tcBorders>
            <w:shd w:val="clear" w:color="auto" w:fill="auto"/>
            <w:noWrap/>
            <w:vAlign w:val="bottom"/>
            <w:hideMark/>
          </w:tcPr>
          <w:p w14:paraId="4939FFC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0.1760</w:t>
            </w:r>
          </w:p>
        </w:tc>
        <w:tc>
          <w:tcPr>
            <w:tcW w:w="825" w:type="dxa"/>
            <w:tcBorders>
              <w:top w:val="nil"/>
              <w:left w:val="nil"/>
              <w:bottom w:val="single" w:sz="4" w:space="0" w:color="auto"/>
              <w:right w:val="single" w:sz="4" w:space="0" w:color="auto"/>
            </w:tcBorders>
            <w:shd w:val="clear" w:color="000000" w:fill="E7E6E6"/>
            <w:noWrap/>
            <w:vAlign w:val="bottom"/>
            <w:hideMark/>
          </w:tcPr>
          <w:p w14:paraId="511770A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0.1755</w:t>
            </w:r>
          </w:p>
        </w:tc>
        <w:tc>
          <w:tcPr>
            <w:tcW w:w="655" w:type="dxa"/>
            <w:tcBorders>
              <w:top w:val="nil"/>
              <w:left w:val="nil"/>
              <w:bottom w:val="single" w:sz="4" w:space="0" w:color="auto"/>
              <w:right w:val="single" w:sz="4" w:space="0" w:color="auto"/>
            </w:tcBorders>
            <w:shd w:val="clear" w:color="auto" w:fill="auto"/>
            <w:noWrap/>
            <w:vAlign w:val="bottom"/>
            <w:hideMark/>
          </w:tcPr>
          <w:p w14:paraId="0B49A95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0.0880</w:t>
            </w:r>
          </w:p>
        </w:tc>
        <w:tc>
          <w:tcPr>
            <w:tcW w:w="825" w:type="dxa"/>
            <w:tcBorders>
              <w:top w:val="nil"/>
              <w:left w:val="nil"/>
              <w:bottom w:val="single" w:sz="4" w:space="0" w:color="auto"/>
              <w:right w:val="single" w:sz="4" w:space="0" w:color="auto"/>
            </w:tcBorders>
            <w:shd w:val="clear" w:color="000000" w:fill="E7E6E6"/>
            <w:noWrap/>
            <w:vAlign w:val="bottom"/>
            <w:hideMark/>
          </w:tcPr>
          <w:p w14:paraId="23F1121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0.0877</w:t>
            </w:r>
          </w:p>
        </w:tc>
      </w:tr>
      <w:tr w:rsidR="002C1D80" w:rsidRPr="00F14F39" w14:paraId="1440B024"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E54514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&gt;5.0 to 8.5 GHz</w:t>
            </w:r>
          </w:p>
        </w:tc>
        <w:tc>
          <w:tcPr>
            <w:tcW w:w="655" w:type="dxa"/>
            <w:tcBorders>
              <w:top w:val="nil"/>
              <w:left w:val="nil"/>
              <w:bottom w:val="single" w:sz="4" w:space="0" w:color="auto"/>
              <w:right w:val="single" w:sz="4" w:space="0" w:color="auto"/>
            </w:tcBorders>
            <w:shd w:val="clear" w:color="auto" w:fill="auto"/>
            <w:noWrap/>
            <w:vAlign w:val="bottom"/>
            <w:hideMark/>
          </w:tcPr>
          <w:p w14:paraId="03BE0E0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2.3827</w:t>
            </w:r>
          </w:p>
        </w:tc>
        <w:tc>
          <w:tcPr>
            <w:tcW w:w="825" w:type="dxa"/>
            <w:tcBorders>
              <w:top w:val="nil"/>
              <w:left w:val="nil"/>
              <w:bottom w:val="single" w:sz="4" w:space="0" w:color="auto"/>
              <w:right w:val="single" w:sz="4" w:space="0" w:color="auto"/>
            </w:tcBorders>
            <w:shd w:val="clear" w:color="000000" w:fill="E7E6E6"/>
            <w:noWrap/>
            <w:vAlign w:val="bottom"/>
            <w:hideMark/>
          </w:tcPr>
          <w:p w14:paraId="2D2D975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1.7817</w:t>
            </w:r>
          </w:p>
        </w:tc>
        <w:tc>
          <w:tcPr>
            <w:tcW w:w="655" w:type="dxa"/>
            <w:tcBorders>
              <w:top w:val="nil"/>
              <w:left w:val="nil"/>
              <w:bottom w:val="single" w:sz="4" w:space="0" w:color="auto"/>
              <w:right w:val="single" w:sz="4" w:space="0" w:color="auto"/>
            </w:tcBorders>
            <w:shd w:val="clear" w:color="auto" w:fill="auto"/>
            <w:noWrap/>
            <w:vAlign w:val="bottom"/>
            <w:hideMark/>
          </w:tcPr>
          <w:p w14:paraId="491381D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0.4405</w:t>
            </w:r>
          </w:p>
        </w:tc>
        <w:tc>
          <w:tcPr>
            <w:tcW w:w="825" w:type="dxa"/>
            <w:tcBorders>
              <w:top w:val="nil"/>
              <w:left w:val="nil"/>
              <w:bottom w:val="single" w:sz="4" w:space="0" w:color="auto"/>
              <w:right w:val="single" w:sz="4" w:space="0" w:color="auto"/>
            </w:tcBorders>
            <w:shd w:val="clear" w:color="000000" w:fill="E7E6E6"/>
            <w:noWrap/>
            <w:vAlign w:val="bottom"/>
            <w:hideMark/>
          </w:tcPr>
          <w:p w14:paraId="0C6875B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0.3294</w:t>
            </w:r>
          </w:p>
        </w:tc>
        <w:tc>
          <w:tcPr>
            <w:tcW w:w="655" w:type="dxa"/>
            <w:tcBorders>
              <w:top w:val="nil"/>
              <w:left w:val="nil"/>
              <w:bottom w:val="single" w:sz="4" w:space="0" w:color="auto"/>
              <w:right w:val="single" w:sz="4" w:space="0" w:color="auto"/>
            </w:tcBorders>
            <w:shd w:val="clear" w:color="auto" w:fill="auto"/>
            <w:noWrap/>
            <w:vAlign w:val="bottom"/>
            <w:hideMark/>
          </w:tcPr>
          <w:p w14:paraId="1E789CD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0.2051</w:t>
            </w:r>
          </w:p>
        </w:tc>
        <w:tc>
          <w:tcPr>
            <w:tcW w:w="825" w:type="dxa"/>
            <w:tcBorders>
              <w:top w:val="nil"/>
              <w:left w:val="nil"/>
              <w:bottom w:val="single" w:sz="4" w:space="0" w:color="auto"/>
              <w:right w:val="single" w:sz="4" w:space="0" w:color="auto"/>
            </w:tcBorders>
            <w:shd w:val="clear" w:color="000000" w:fill="E7E6E6"/>
            <w:noWrap/>
            <w:vAlign w:val="bottom"/>
            <w:hideMark/>
          </w:tcPr>
          <w:p w14:paraId="14258FC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0.1534</w:t>
            </w:r>
          </w:p>
        </w:tc>
        <w:tc>
          <w:tcPr>
            <w:tcW w:w="655" w:type="dxa"/>
            <w:tcBorders>
              <w:top w:val="nil"/>
              <w:left w:val="nil"/>
              <w:bottom w:val="single" w:sz="4" w:space="0" w:color="auto"/>
              <w:right w:val="single" w:sz="4" w:space="0" w:color="auto"/>
            </w:tcBorders>
            <w:shd w:val="clear" w:color="auto" w:fill="auto"/>
            <w:noWrap/>
            <w:vAlign w:val="bottom"/>
            <w:hideMark/>
          </w:tcPr>
          <w:p w14:paraId="000A0E41"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0.0934</w:t>
            </w:r>
          </w:p>
        </w:tc>
        <w:tc>
          <w:tcPr>
            <w:tcW w:w="825" w:type="dxa"/>
            <w:tcBorders>
              <w:top w:val="nil"/>
              <w:left w:val="nil"/>
              <w:bottom w:val="single" w:sz="4" w:space="0" w:color="auto"/>
              <w:right w:val="single" w:sz="4" w:space="0" w:color="auto"/>
            </w:tcBorders>
            <w:shd w:val="clear" w:color="000000" w:fill="E7E6E6"/>
            <w:noWrap/>
            <w:vAlign w:val="bottom"/>
            <w:hideMark/>
          </w:tcPr>
          <w:p w14:paraId="1CD18D3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0.0698</w:t>
            </w:r>
          </w:p>
        </w:tc>
        <w:tc>
          <w:tcPr>
            <w:tcW w:w="655" w:type="dxa"/>
            <w:tcBorders>
              <w:top w:val="nil"/>
              <w:left w:val="nil"/>
              <w:bottom w:val="single" w:sz="4" w:space="0" w:color="auto"/>
              <w:right w:val="single" w:sz="4" w:space="0" w:color="auto"/>
            </w:tcBorders>
            <w:shd w:val="clear" w:color="auto" w:fill="auto"/>
            <w:noWrap/>
            <w:vAlign w:val="bottom"/>
            <w:hideMark/>
          </w:tcPr>
          <w:p w14:paraId="2E24046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0.0453</w:t>
            </w:r>
          </w:p>
        </w:tc>
        <w:tc>
          <w:tcPr>
            <w:tcW w:w="825" w:type="dxa"/>
            <w:tcBorders>
              <w:top w:val="nil"/>
              <w:left w:val="nil"/>
              <w:bottom w:val="single" w:sz="4" w:space="0" w:color="auto"/>
              <w:right w:val="single" w:sz="4" w:space="0" w:color="auto"/>
            </w:tcBorders>
            <w:shd w:val="clear" w:color="000000" w:fill="E7E6E6"/>
            <w:noWrap/>
            <w:vAlign w:val="bottom"/>
            <w:hideMark/>
          </w:tcPr>
          <w:p w14:paraId="36CA919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0.0339</w:t>
            </w:r>
          </w:p>
        </w:tc>
      </w:tr>
      <w:tr w:rsidR="002C1D80" w:rsidRPr="00F14F39" w14:paraId="7A1F59DE"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B21DD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&gt;8.5 to 14.5 GHz</w:t>
            </w:r>
          </w:p>
        </w:tc>
        <w:tc>
          <w:tcPr>
            <w:tcW w:w="655" w:type="dxa"/>
            <w:tcBorders>
              <w:top w:val="nil"/>
              <w:left w:val="nil"/>
              <w:bottom w:val="single" w:sz="4" w:space="0" w:color="auto"/>
              <w:right w:val="single" w:sz="4" w:space="0" w:color="auto"/>
            </w:tcBorders>
            <w:shd w:val="clear" w:color="auto" w:fill="auto"/>
            <w:noWrap/>
            <w:vAlign w:val="bottom"/>
            <w:hideMark/>
          </w:tcPr>
          <w:p w14:paraId="1C2F5C8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1.0500</w:t>
            </w:r>
          </w:p>
        </w:tc>
        <w:tc>
          <w:tcPr>
            <w:tcW w:w="825" w:type="dxa"/>
            <w:tcBorders>
              <w:top w:val="nil"/>
              <w:left w:val="nil"/>
              <w:bottom w:val="single" w:sz="4" w:space="0" w:color="auto"/>
              <w:right w:val="single" w:sz="4" w:space="0" w:color="auto"/>
            </w:tcBorders>
            <w:shd w:val="clear" w:color="000000" w:fill="E7E6E6"/>
            <w:noWrap/>
            <w:vAlign w:val="bottom"/>
            <w:hideMark/>
          </w:tcPr>
          <w:p w14:paraId="5FFD935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0.5234</w:t>
            </w:r>
          </w:p>
        </w:tc>
        <w:tc>
          <w:tcPr>
            <w:tcW w:w="655" w:type="dxa"/>
            <w:tcBorders>
              <w:top w:val="nil"/>
              <w:left w:val="nil"/>
              <w:bottom w:val="single" w:sz="4" w:space="0" w:color="auto"/>
              <w:right w:val="single" w:sz="4" w:space="0" w:color="auto"/>
            </w:tcBorders>
            <w:shd w:val="clear" w:color="auto" w:fill="auto"/>
            <w:noWrap/>
            <w:vAlign w:val="bottom"/>
            <w:hideMark/>
          </w:tcPr>
          <w:p w14:paraId="1E094FF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0.3780</w:t>
            </w:r>
          </w:p>
        </w:tc>
        <w:tc>
          <w:tcPr>
            <w:tcW w:w="825" w:type="dxa"/>
            <w:tcBorders>
              <w:top w:val="nil"/>
              <w:left w:val="nil"/>
              <w:bottom w:val="single" w:sz="4" w:space="0" w:color="auto"/>
              <w:right w:val="single" w:sz="4" w:space="0" w:color="auto"/>
            </w:tcBorders>
            <w:shd w:val="clear" w:color="000000" w:fill="E7E6E6"/>
            <w:noWrap/>
            <w:vAlign w:val="bottom"/>
            <w:hideMark/>
          </w:tcPr>
          <w:p w14:paraId="664D596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0.1884</w:t>
            </w:r>
          </w:p>
        </w:tc>
        <w:tc>
          <w:tcPr>
            <w:tcW w:w="655" w:type="dxa"/>
            <w:tcBorders>
              <w:top w:val="nil"/>
              <w:left w:val="nil"/>
              <w:bottom w:val="single" w:sz="4" w:space="0" w:color="auto"/>
              <w:right w:val="single" w:sz="4" w:space="0" w:color="auto"/>
            </w:tcBorders>
            <w:shd w:val="clear" w:color="auto" w:fill="auto"/>
            <w:noWrap/>
            <w:vAlign w:val="bottom"/>
            <w:hideMark/>
          </w:tcPr>
          <w:p w14:paraId="406C61E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0.0894</w:t>
            </w:r>
          </w:p>
        </w:tc>
        <w:tc>
          <w:tcPr>
            <w:tcW w:w="825" w:type="dxa"/>
            <w:tcBorders>
              <w:top w:val="nil"/>
              <w:left w:val="nil"/>
              <w:bottom w:val="single" w:sz="4" w:space="0" w:color="auto"/>
              <w:right w:val="single" w:sz="4" w:space="0" w:color="auto"/>
            </w:tcBorders>
            <w:shd w:val="clear" w:color="000000" w:fill="E7E6E6"/>
            <w:noWrap/>
            <w:vAlign w:val="bottom"/>
            <w:hideMark/>
          </w:tcPr>
          <w:p w14:paraId="18F469F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0.0446</w:t>
            </w:r>
          </w:p>
        </w:tc>
        <w:tc>
          <w:tcPr>
            <w:tcW w:w="655" w:type="dxa"/>
            <w:tcBorders>
              <w:top w:val="nil"/>
              <w:left w:val="nil"/>
              <w:bottom w:val="single" w:sz="4" w:space="0" w:color="auto"/>
              <w:right w:val="single" w:sz="4" w:space="0" w:color="auto"/>
            </w:tcBorders>
            <w:shd w:val="clear" w:color="auto" w:fill="auto"/>
            <w:noWrap/>
            <w:vAlign w:val="bottom"/>
            <w:hideMark/>
          </w:tcPr>
          <w:p w14:paraId="73928936"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0.0065</w:t>
            </w:r>
          </w:p>
        </w:tc>
        <w:tc>
          <w:tcPr>
            <w:tcW w:w="825" w:type="dxa"/>
            <w:tcBorders>
              <w:top w:val="nil"/>
              <w:left w:val="nil"/>
              <w:bottom w:val="single" w:sz="4" w:space="0" w:color="auto"/>
              <w:right w:val="single" w:sz="4" w:space="0" w:color="auto"/>
            </w:tcBorders>
            <w:shd w:val="clear" w:color="000000" w:fill="E7E6E6"/>
            <w:noWrap/>
            <w:vAlign w:val="bottom"/>
            <w:hideMark/>
          </w:tcPr>
          <w:p w14:paraId="57A6E45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0.0032</w:t>
            </w:r>
          </w:p>
        </w:tc>
        <w:tc>
          <w:tcPr>
            <w:tcW w:w="655" w:type="dxa"/>
            <w:tcBorders>
              <w:top w:val="nil"/>
              <w:left w:val="nil"/>
              <w:bottom w:val="single" w:sz="4" w:space="0" w:color="auto"/>
              <w:right w:val="single" w:sz="4" w:space="0" w:color="auto"/>
            </w:tcBorders>
            <w:shd w:val="clear" w:color="auto" w:fill="auto"/>
            <w:noWrap/>
            <w:vAlign w:val="bottom"/>
            <w:hideMark/>
          </w:tcPr>
          <w:p w14:paraId="3891A91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0.0031</w:t>
            </w:r>
          </w:p>
        </w:tc>
        <w:tc>
          <w:tcPr>
            <w:tcW w:w="825" w:type="dxa"/>
            <w:tcBorders>
              <w:top w:val="nil"/>
              <w:left w:val="nil"/>
              <w:bottom w:val="single" w:sz="4" w:space="0" w:color="auto"/>
              <w:right w:val="single" w:sz="4" w:space="0" w:color="auto"/>
            </w:tcBorders>
            <w:shd w:val="clear" w:color="000000" w:fill="E7E6E6"/>
            <w:noWrap/>
            <w:vAlign w:val="bottom"/>
            <w:hideMark/>
          </w:tcPr>
          <w:p w14:paraId="471134B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0.0016</w:t>
            </w:r>
          </w:p>
        </w:tc>
      </w:tr>
      <w:tr w:rsidR="002C1D80" w:rsidRPr="00F14F39" w14:paraId="01B2839D"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FC7853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&gt;14.5 to 31.3 GHz</w:t>
            </w:r>
          </w:p>
        </w:tc>
        <w:tc>
          <w:tcPr>
            <w:tcW w:w="655" w:type="dxa"/>
            <w:tcBorders>
              <w:top w:val="nil"/>
              <w:left w:val="nil"/>
              <w:bottom w:val="single" w:sz="4" w:space="0" w:color="auto"/>
              <w:right w:val="single" w:sz="4" w:space="0" w:color="auto"/>
            </w:tcBorders>
            <w:shd w:val="clear" w:color="auto" w:fill="auto"/>
            <w:noWrap/>
            <w:vAlign w:val="bottom"/>
            <w:hideMark/>
          </w:tcPr>
          <w:p w14:paraId="444F956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1.0500</w:t>
            </w:r>
          </w:p>
        </w:tc>
        <w:tc>
          <w:tcPr>
            <w:tcW w:w="825" w:type="dxa"/>
            <w:tcBorders>
              <w:top w:val="nil"/>
              <w:left w:val="nil"/>
              <w:bottom w:val="single" w:sz="4" w:space="0" w:color="auto"/>
              <w:right w:val="single" w:sz="4" w:space="0" w:color="auto"/>
            </w:tcBorders>
            <w:shd w:val="clear" w:color="000000" w:fill="E7E6E6"/>
            <w:noWrap/>
            <w:vAlign w:val="bottom"/>
            <w:hideMark/>
          </w:tcPr>
          <w:p w14:paraId="3C248B1B"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0.1047</w:t>
            </w:r>
          </w:p>
        </w:tc>
        <w:tc>
          <w:tcPr>
            <w:tcW w:w="655" w:type="dxa"/>
            <w:tcBorders>
              <w:top w:val="nil"/>
              <w:left w:val="nil"/>
              <w:bottom w:val="single" w:sz="4" w:space="0" w:color="auto"/>
              <w:right w:val="single" w:sz="4" w:space="0" w:color="auto"/>
            </w:tcBorders>
            <w:shd w:val="clear" w:color="auto" w:fill="auto"/>
            <w:noWrap/>
            <w:vAlign w:val="bottom"/>
            <w:hideMark/>
          </w:tcPr>
          <w:p w14:paraId="60F9651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0.2796</w:t>
            </w:r>
          </w:p>
        </w:tc>
        <w:tc>
          <w:tcPr>
            <w:tcW w:w="825" w:type="dxa"/>
            <w:tcBorders>
              <w:top w:val="nil"/>
              <w:left w:val="nil"/>
              <w:bottom w:val="single" w:sz="4" w:space="0" w:color="auto"/>
              <w:right w:val="single" w:sz="4" w:space="0" w:color="auto"/>
            </w:tcBorders>
            <w:shd w:val="clear" w:color="000000" w:fill="E7E6E6"/>
            <w:noWrap/>
            <w:vAlign w:val="bottom"/>
            <w:hideMark/>
          </w:tcPr>
          <w:p w14:paraId="5AA8453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0.0279</w:t>
            </w:r>
          </w:p>
        </w:tc>
        <w:tc>
          <w:tcPr>
            <w:tcW w:w="655" w:type="dxa"/>
            <w:tcBorders>
              <w:top w:val="nil"/>
              <w:left w:val="nil"/>
              <w:bottom w:val="single" w:sz="4" w:space="0" w:color="auto"/>
              <w:right w:val="single" w:sz="4" w:space="0" w:color="auto"/>
            </w:tcBorders>
            <w:shd w:val="clear" w:color="auto" w:fill="auto"/>
            <w:noWrap/>
            <w:vAlign w:val="bottom"/>
            <w:hideMark/>
          </w:tcPr>
          <w:p w14:paraId="04739C8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0.0614</w:t>
            </w:r>
          </w:p>
        </w:tc>
        <w:tc>
          <w:tcPr>
            <w:tcW w:w="825" w:type="dxa"/>
            <w:tcBorders>
              <w:top w:val="nil"/>
              <w:left w:val="nil"/>
              <w:bottom w:val="single" w:sz="4" w:space="0" w:color="auto"/>
              <w:right w:val="single" w:sz="4" w:space="0" w:color="auto"/>
            </w:tcBorders>
            <w:shd w:val="clear" w:color="000000" w:fill="E7E6E6"/>
            <w:noWrap/>
            <w:vAlign w:val="bottom"/>
            <w:hideMark/>
          </w:tcPr>
          <w:p w14:paraId="6249C40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0.0061</w:t>
            </w:r>
          </w:p>
        </w:tc>
        <w:tc>
          <w:tcPr>
            <w:tcW w:w="655" w:type="dxa"/>
            <w:tcBorders>
              <w:top w:val="nil"/>
              <w:left w:val="nil"/>
              <w:bottom w:val="single" w:sz="4" w:space="0" w:color="auto"/>
              <w:right w:val="single" w:sz="4" w:space="0" w:color="auto"/>
            </w:tcBorders>
            <w:shd w:val="clear" w:color="auto" w:fill="auto"/>
            <w:noWrap/>
            <w:vAlign w:val="bottom"/>
            <w:hideMark/>
          </w:tcPr>
          <w:p w14:paraId="42F3506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0.0065</w:t>
            </w:r>
          </w:p>
        </w:tc>
        <w:tc>
          <w:tcPr>
            <w:tcW w:w="825" w:type="dxa"/>
            <w:tcBorders>
              <w:top w:val="nil"/>
              <w:left w:val="nil"/>
              <w:bottom w:val="single" w:sz="4" w:space="0" w:color="auto"/>
              <w:right w:val="single" w:sz="4" w:space="0" w:color="auto"/>
            </w:tcBorders>
            <w:shd w:val="clear" w:color="000000" w:fill="E7E6E6"/>
            <w:noWrap/>
            <w:vAlign w:val="bottom"/>
            <w:hideMark/>
          </w:tcPr>
          <w:p w14:paraId="0B619C2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0.0006</w:t>
            </w:r>
          </w:p>
        </w:tc>
        <w:tc>
          <w:tcPr>
            <w:tcW w:w="655" w:type="dxa"/>
            <w:tcBorders>
              <w:top w:val="nil"/>
              <w:left w:val="nil"/>
              <w:bottom w:val="single" w:sz="4" w:space="0" w:color="auto"/>
              <w:right w:val="single" w:sz="4" w:space="0" w:color="auto"/>
            </w:tcBorders>
            <w:shd w:val="clear" w:color="auto" w:fill="auto"/>
            <w:noWrap/>
            <w:vAlign w:val="bottom"/>
            <w:hideMark/>
          </w:tcPr>
          <w:p w14:paraId="3AAF3D6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0.0031</w:t>
            </w:r>
          </w:p>
        </w:tc>
        <w:tc>
          <w:tcPr>
            <w:tcW w:w="825" w:type="dxa"/>
            <w:tcBorders>
              <w:top w:val="nil"/>
              <w:left w:val="nil"/>
              <w:bottom w:val="single" w:sz="4" w:space="0" w:color="auto"/>
              <w:right w:val="single" w:sz="4" w:space="0" w:color="auto"/>
            </w:tcBorders>
            <w:shd w:val="clear" w:color="000000" w:fill="E7E6E6"/>
            <w:noWrap/>
            <w:vAlign w:val="bottom"/>
            <w:hideMark/>
          </w:tcPr>
          <w:p w14:paraId="6FD2B68F"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0.0003</w:t>
            </w:r>
          </w:p>
        </w:tc>
      </w:tr>
      <w:tr w:rsidR="002C1D80" w:rsidRPr="00F14F39" w14:paraId="131EB190"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6FD4A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&gt;31.3 to 51.4 GHz</w:t>
            </w:r>
          </w:p>
        </w:tc>
        <w:tc>
          <w:tcPr>
            <w:tcW w:w="655" w:type="dxa"/>
            <w:tcBorders>
              <w:top w:val="nil"/>
              <w:left w:val="nil"/>
              <w:bottom w:val="single" w:sz="4" w:space="0" w:color="auto"/>
              <w:right w:val="single" w:sz="4" w:space="0" w:color="auto"/>
            </w:tcBorders>
            <w:shd w:val="clear" w:color="auto" w:fill="auto"/>
            <w:noWrap/>
            <w:vAlign w:val="bottom"/>
            <w:hideMark/>
          </w:tcPr>
          <w:p w14:paraId="353E1AD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0.2863</w:t>
            </w:r>
          </w:p>
        </w:tc>
        <w:tc>
          <w:tcPr>
            <w:tcW w:w="825" w:type="dxa"/>
            <w:tcBorders>
              <w:top w:val="nil"/>
              <w:left w:val="nil"/>
              <w:bottom w:val="single" w:sz="4" w:space="0" w:color="auto"/>
              <w:right w:val="single" w:sz="4" w:space="0" w:color="auto"/>
            </w:tcBorders>
            <w:shd w:val="clear" w:color="000000" w:fill="E7E6E6"/>
            <w:noWrap/>
            <w:vAlign w:val="bottom"/>
            <w:hideMark/>
          </w:tcPr>
          <w:p w14:paraId="2A983A2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0.0285</w:t>
            </w:r>
          </w:p>
        </w:tc>
        <w:tc>
          <w:tcPr>
            <w:tcW w:w="655" w:type="dxa"/>
            <w:tcBorders>
              <w:top w:val="nil"/>
              <w:left w:val="nil"/>
              <w:bottom w:val="single" w:sz="4" w:space="0" w:color="auto"/>
              <w:right w:val="single" w:sz="4" w:space="0" w:color="auto"/>
            </w:tcBorders>
            <w:shd w:val="clear" w:color="auto" w:fill="auto"/>
            <w:noWrap/>
            <w:vAlign w:val="bottom"/>
            <w:hideMark/>
          </w:tcPr>
          <w:p w14:paraId="2CFB4BF9"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0.1525</w:t>
            </w:r>
          </w:p>
        </w:tc>
        <w:tc>
          <w:tcPr>
            <w:tcW w:w="825" w:type="dxa"/>
            <w:tcBorders>
              <w:top w:val="nil"/>
              <w:left w:val="nil"/>
              <w:bottom w:val="single" w:sz="4" w:space="0" w:color="auto"/>
              <w:right w:val="single" w:sz="4" w:space="0" w:color="auto"/>
            </w:tcBorders>
            <w:shd w:val="clear" w:color="000000" w:fill="E7E6E6"/>
            <w:noWrap/>
            <w:vAlign w:val="bottom"/>
            <w:hideMark/>
          </w:tcPr>
          <w:p w14:paraId="3F9E6194"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0.0152</w:t>
            </w:r>
          </w:p>
        </w:tc>
        <w:tc>
          <w:tcPr>
            <w:tcW w:w="655" w:type="dxa"/>
            <w:tcBorders>
              <w:top w:val="nil"/>
              <w:left w:val="nil"/>
              <w:bottom w:val="single" w:sz="4" w:space="0" w:color="auto"/>
              <w:right w:val="single" w:sz="4" w:space="0" w:color="auto"/>
            </w:tcBorders>
            <w:shd w:val="clear" w:color="auto" w:fill="auto"/>
            <w:noWrap/>
            <w:vAlign w:val="bottom"/>
            <w:hideMark/>
          </w:tcPr>
          <w:p w14:paraId="3A12479A"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0.0331</w:t>
            </w:r>
          </w:p>
        </w:tc>
        <w:tc>
          <w:tcPr>
            <w:tcW w:w="825" w:type="dxa"/>
            <w:tcBorders>
              <w:top w:val="nil"/>
              <w:left w:val="nil"/>
              <w:bottom w:val="single" w:sz="4" w:space="0" w:color="auto"/>
              <w:right w:val="single" w:sz="4" w:space="0" w:color="auto"/>
            </w:tcBorders>
            <w:shd w:val="clear" w:color="000000" w:fill="E7E6E6"/>
            <w:noWrap/>
            <w:vAlign w:val="bottom"/>
            <w:hideMark/>
          </w:tcPr>
          <w:p w14:paraId="6A51BAC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0.0033</w:t>
            </w:r>
          </w:p>
        </w:tc>
        <w:tc>
          <w:tcPr>
            <w:tcW w:w="655" w:type="dxa"/>
            <w:tcBorders>
              <w:top w:val="nil"/>
              <w:left w:val="nil"/>
              <w:bottom w:val="single" w:sz="4" w:space="0" w:color="auto"/>
              <w:right w:val="single" w:sz="4" w:space="0" w:color="auto"/>
            </w:tcBorders>
            <w:shd w:val="clear" w:color="auto" w:fill="auto"/>
            <w:noWrap/>
            <w:vAlign w:val="bottom"/>
            <w:hideMark/>
          </w:tcPr>
          <w:p w14:paraId="5C786533"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0.0011</w:t>
            </w:r>
          </w:p>
        </w:tc>
        <w:tc>
          <w:tcPr>
            <w:tcW w:w="825" w:type="dxa"/>
            <w:tcBorders>
              <w:top w:val="nil"/>
              <w:left w:val="nil"/>
              <w:bottom w:val="single" w:sz="4" w:space="0" w:color="auto"/>
              <w:right w:val="single" w:sz="4" w:space="0" w:color="auto"/>
            </w:tcBorders>
            <w:shd w:val="clear" w:color="000000" w:fill="E7E6E6"/>
            <w:noWrap/>
            <w:vAlign w:val="bottom"/>
            <w:hideMark/>
          </w:tcPr>
          <w:p w14:paraId="11CF32BE"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54DA550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0.0006</w:t>
            </w:r>
          </w:p>
        </w:tc>
        <w:tc>
          <w:tcPr>
            <w:tcW w:w="825" w:type="dxa"/>
            <w:tcBorders>
              <w:top w:val="nil"/>
              <w:left w:val="nil"/>
              <w:bottom w:val="single" w:sz="4" w:space="0" w:color="auto"/>
              <w:right w:val="single" w:sz="4" w:space="0" w:color="auto"/>
            </w:tcBorders>
            <w:shd w:val="clear" w:color="000000" w:fill="E7E6E6"/>
            <w:noWrap/>
            <w:vAlign w:val="bottom"/>
            <w:hideMark/>
          </w:tcPr>
          <w:p w14:paraId="56FBC0C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0.0001</w:t>
            </w:r>
          </w:p>
        </w:tc>
      </w:tr>
      <w:tr w:rsidR="002C1D80" w:rsidRPr="00F14F39" w14:paraId="51B79515" w14:textId="77777777" w:rsidTr="00F14F39">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8EA80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&gt;51.4 GHz</w:t>
            </w:r>
          </w:p>
        </w:tc>
        <w:tc>
          <w:tcPr>
            <w:tcW w:w="655" w:type="dxa"/>
            <w:tcBorders>
              <w:top w:val="nil"/>
              <w:left w:val="nil"/>
              <w:bottom w:val="single" w:sz="4" w:space="0" w:color="auto"/>
              <w:right w:val="single" w:sz="4" w:space="0" w:color="auto"/>
            </w:tcBorders>
            <w:shd w:val="clear" w:color="auto" w:fill="auto"/>
            <w:noWrap/>
            <w:vAlign w:val="bottom"/>
            <w:hideMark/>
          </w:tcPr>
          <w:p w14:paraId="4AD199D1"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0.0283</w:t>
            </w:r>
          </w:p>
        </w:tc>
        <w:tc>
          <w:tcPr>
            <w:tcW w:w="825" w:type="dxa"/>
            <w:tcBorders>
              <w:top w:val="nil"/>
              <w:left w:val="nil"/>
              <w:bottom w:val="single" w:sz="4" w:space="0" w:color="auto"/>
              <w:right w:val="single" w:sz="4" w:space="0" w:color="auto"/>
            </w:tcBorders>
            <w:shd w:val="clear" w:color="000000" w:fill="E7E6E6"/>
            <w:noWrap/>
            <w:vAlign w:val="bottom"/>
            <w:hideMark/>
          </w:tcPr>
          <w:p w14:paraId="6606CF60"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0.0028</w:t>
            </w:r>
          </w:p>
        </w:tc>
        <w:tc>
          <w:tcPr>
            <w:tcW w:w="655" w:type="dxa"/>
            <w:tcBorders>
              <w:top w:val="nil"/>
              <w:left w:val="nil"/>
              <w:bottom w:val="single" w:sz="4" w:space="0" w:color="auto"/>
              <w:right w:val="single" w:sz="4" w:space="0" w:color="auto"/>
            </w:tcBorders>
            <w:shd w:val="clear" w:color="auto" w:fill="auto"/>
            <w:noWrap/>
            <w:vAlign w:val="bottom"/>
            <w:hideMark/>
          </w:tcPr>
          <w:p w14:paraId="2E4E77A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0.0028</w:t>
            </w:r>
          </w:p>
        </w:tc>
        <w:tc>
          <w:tcPr>
            <w:tcW w:w="825" w:type="dxa"/>
            <w:tcBorders>
              <w:top w:val="nil"/>
              <w:left w:val="nil"/>
              <w:bottom w:val="single" w:sz="4" w:space="0" w:color="auto"/>
              <w:right w:val="single" w:sz="4" w:space="0" w:color="auto"/>
            </w:tcBorders>
            <w:shd w:val="clear" w:color="000000" w:fill="E7E6E6"/>
            <w:noWrap/>
            <w:vAlign w:val="bottom"/>
            <w:hideMark/>
          </w:tcPr>
          <w:p w14:paraId="1351437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2F9536F8"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0.0028</w:t>
            </w:r>
          </w:p>
        </w:tc>
        <w:tc>
          <w:tcPr>
            <w:tcW w:w="825" w:type="dxa"/>
            <w:tcBorders>
              <w:top w:val="nil"/>
              <w:left w:val="nil"/>
              <w:bottom w:val="single" w:sz="4" w:space="0" w:color="auto"/>
              <w:right w:val="single" w:sz="4" w:space="0" w:color="auto"/>
            </w:tcBorders>
            <w:shd w:val="clear" w:color="000000" w:fill="E7E6E6"/>
            <w:noWrap/>
            <w:vAlign w:val="bottom"/>
            <w:hideMark/>
          </w:tcPr>
          <w:p w14:paraId="0A6A97AC"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36495137"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35BD7982"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40EB317D"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19D66A45" w14:textId="77777777" w:rsidR="00F14F39" w:rsidRPr="00F14F39" w:rsidRDefault="00F14F39" w:rsidP="00F14F39">
            <w:pPr>
              <w:spacing w:after="0" w:line="240" w:lineRule="auto"/>
              <w:rPr>
                <w:rFonts w:cs="Arial"/>
                <w:color w:val="000000"/>
                <w:sz w:val="12"/>
                <w:szCs w:val="12"/>
              </w:rPr>
            </w:pPr>
            <w:r w:rsidRPr="00F14F39">
              <w:rPr>
                <w:rFonts w:cs="Arial"/>
                <w:color w:val="000000"/>
                <w:sz w:val="12"/>
                <w:szCs w:val="12"/>
              </w:rPr>
              <w:t>0.0000</w:t>
            </w:r>
          </w:p>
        </w:tc>
      </w:tr>
    </w:tbl>
    <w:p w14:paraId="1213D095" w14:textId="5EC919F1" w:rsidR="00F965CB" w:rsidRDefault="009024D7" w:rsidP="00F80D6C">
      <w:pPr>
        <w:pStyle w:val="Tableorfigurenote"/>
      </w:pPr>
      <w:r>
        <w:t>*</w:t>
      </w:r>
      <w:r w:rsidR="00760996">
        <w:t xml:space="preserve"> These taxes relate to Tab</w:t>
      </w:r>
      <w:r w:rsidR="002C13DD">
        <w:t xml:space="preserve">le 202 in the Transmitter Licence </w:t>
      </w:r>
      <w:r w:rsidR="005A720D">
        <w:t>T</w:t>
      </w:r>
      <w:r w:rsidR="002C13DD">
        <w:t>ax Determination and Table 202 of the Receiver Licence Tax Determinati</w:t>
      </w:r>
      <w:r w:rsidR="00F80D6C">
        <w:t>on.</w:t>
      </w:r>
    </w:p>
    <w:p w14:paraId="0CEE46CA" w14:textId="55FB3ED2" w:rsidR="00AC7FD3" w:rsidRPr="00046DA5" w:rsidRDefault="00AC7FD3" w:rsidP="00F16AB6">
      <w:pPr>
        <w:pStyle w:val="Heading3"/>
        <w:spacing w:after="80"/>
      </w:pPr>
      <w:r>
        <w:t xml:space="preserve">Division </w:t>
      </w:r>
      <w:r w:rsidR="001B60AF">
        <w:t>1A</w:t>
      </w:r>
      <w:r>
        <w:t xml:space="preserve">: </w:t>
      </w:r>
      <w:r w:rsidR="001B60AF">
        <w:t>Scientific assigned licen</w:t>
      </w:r>
      <w:r w:rsidR="00B837F2">
        <w:t>c</w:t>
      </w:r>
      <w:r w:rsidR="001B60AF">
        <w:t>es</w:t>
      </w:r>
    </w:p>
    <w:p w14:paraId="1484D84B" w14:textId="1F15694D" w:rsidR="003A77F1" w:rsidRDefault="003E684C" w:rsidP="00036752">
      <w:pPr>
        <w:pStyle w:val="Paragraph"/>
        <w:tabs>
          <w:tab w:val="left" w:pos="720"/>
        </w:tabs>
        <w:spacing w:after="80"/>
      </w:pPr>
      <w:r>
        <w:t>Table 6</w:t>
      </w:r>
      <w:r w:rsidR="00A65128">
        <w:t xml:space="preserve"> of the </w:t>
      </w:r>
      <w:r w:rsidR="000C6D91">
        <w:t>Apparatus Licence Fee Schedule</w:t>
      </w:r>
      <w:r>
        <w:t>. Annual licen</w:t>
      </w:r>
      <w:r w:rsidR="00B837F2">
        <w:t>c</w:t>
      </w:r>
      <w:r>
        <w:t>e tax ($ per kHz</w:t>
      </w:r>
      <w:proofErr w:type="gramStart"/>
      <w:r>
        <w:t>)</w:t>
      </w:r>
      <w:r w:rsidR="000C6D91">
        <w:t>.</w:t>
      </w:r>
      <w:r w:rsidR="00DD4C35">
        <w:t>*</w:t>
      </w:r>
      <w:proofErr w:type="gramEnd"/>
      <w:r w:rsidR="000C6D91">
        <w:t xml:space="preserve"> </w:t>
      </w:r>
    </w:p>
    <w:tbl>
      <w:tblPr>
        <w:tblW w:w="8820" w:type="dxa"/>
        <w:tblLook w:val="04A0" w:firstRow="1" w:lastRow="0" w:firstColumn="1" w:lastColumn="0" w:noHBand="0" w:noVBand="1"/>
      </w:tblPr>
      <w:tblGrid>
        <w:gridCol w:w="1420"/>
        <w:gridCol w:w="655"/>
        <w:gridCol w:w="825"/>
        <w:gridCol w:w="655"/>
        <w:gridCol w:w="825"/>
        <w:gridCol w:w="655"/>
        <w:gridCol w:w="825"/>
        <w:gridCol w:w="655"/>
        <w:gridCol w:w="825"/>
        <w:gridCol w:w="655"/>
        <w:gridCol w:w="825"/>
      </w:tblGrid>
      <w:tr w:rsidR="00B02A01" w:rsidRPr="00B02A01" w14:paraId="60EF2DB1" w14:textId="77777777" w:rsidTr="00B02A01">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4DAB4FFB"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Spectrum location</w:t>
            </w:r>
          </w:p>
        </w:tc>
        <w:tc>
          <w:tcPr>
            <w:tcW w:w="7400" w:type="dxa"/>
            <w:gridSpan w:val="10"/>
            <w:tcBorders>
              <w:top w:val="nil"/>
              <w:left w:val="nil"/>
              <w:bottom w:val="nil"/>
              <w:right w:val="nil"/>
            </w:tcBorders>
            <w:shd w:val="clear" w:color="000000" w:fill="404040"/>
            <w:noWrap/>
            <w:vAlign w:val="bottom"/>
            <w:hideMark/>
          </w:tcPr>
          <w:p w14:paraId="40283111"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Geographic location</w:t>
            </w:r>
          </w:p>
        </w:tc>
      </w:tr>
      <w:tr w:rsidR="00B02A01" w:rsidRPr="00B02A01" w14:paraId="72F78310" w14:textId="77777777" w:rsidTr="00B02A01">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52B8DB4E" w14:textId="77777777" w:rsidR="00B02A01" w:rsidRPr="00B02A01" w:rsidRDefault="00B02A01" w:rsidP="00B02A01">
            <w:pPr>
              <w:spacing w:after="0" w:line="240" w:lineRule="auto"/>
              <w:rPr>
                <w:rFonts w:cs="Arial"/>
                <w:b/>
                <w:bCs/>
                <w:color w:val="FFFFFF"/>
                <w:sz w:val="12"/>
                <w:szCs w:val="12"/>
              </w:rPr>
            </w:pP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18C230C8"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Australia-wide</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6CD61C48"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High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6D07D5C3"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Medium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60A09159"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Low density</w:t>
            </w:r>
          </w:p>
        </w:tc>
        <w:tc>
          <w:tcPr>
            <w:tcW w:w="1480" w:type="dxa"/>
            <w:gridSpan w:val="2"/>
            <w:tcBorders>
              <w:top w:val="nil"/>
              <w:left w:val="nil"/>
              <w:bottom w:val="nil"/>
              <w:right w:val="nil"/>
            </w:tcBorders>
            <w:shd w:val="clear" w:color="000000" w:fill="404040"/>
            <w:noWrap/>
            <w:vAlign w:val="bottom"/>
            <w:hideMark/>
          </w:tcPr>
          <w:p w14:paraId="0AF4F8C0"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Remote density</w:t>
            </w:r>
          </w:p>
        </w:tc>
      </w:tr>
      <w:tr w:rsidR="00B02A01" w:rsidRPr="00B02A01" w14:paraId="7D7CA8A7" w14:textId="77777777" w:rsidTr="00B02A01">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1C6BE830" w14:textId="77777777" w:rsidR="00B02A01" w:rsidRPr="00B02A01" w:rsidRDefault="00B02A01" w:rsidP="00B02A01">
            <w:pPr>
              <w:spacing w:after="0" w:line="240" w:lineRule="auto"/>
              <w:rPr>
                <w:rFonts w:cs="Arial"/>
                <w:b/>
                <w:bCs/>
                <w:color w:val="FFFFFF"/>
                <w:sz w:val="12"/>
                <w:szCs w:val="12"/>
              </w:rPr>
            </w:pPr>
          </w:p>
        </w:tc>
        <w:tc>
          <w:tcPr>
            <w:tcW w:w="655" w:type="dxa"/>
            <w:tcBorders>
              <w:top w:val="nil"/>
              <w:left w:val="nil"/>
              <w:bottom w:val="single" w:sz="4" w:space="0" w:color="auto"/>
              <w:right w:val="single" w:sz="4" w:space="0" w:color="auto"/>
            </w:tcBorders>
            <w:shd w:val="clear" w:color="000000" w:fill="404040"/>
            <w:noWrap/>
            <w:vAlign w:val="bottom"/>
            <w:hideMark/>
          </w:tcPr>
          <w:p w14:paraId="72B73826"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79F20B47"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55A79E33"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1A6CEAAA"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5F7330F5"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6129FF7E"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233B7278"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AA33C70"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23525C2C"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29A6C267" w14:textId="77777777" w:rsidR="00B02A01" w:rsidRPr="00B02A01" w:rsidRDefault="00B02A01" w:rsidP="00B02A01">
            <w:pPr>
              <w:spacing w:after="0" w:line="240" w:lineRule="auto"/>
              <w:rPr>
                <w:rFonts w:cs="Arial"/>
                <w:b/>
                <w:bCs/>
                <w:color w:val="FFFFFF"/>
                <w:sz w:val="12"/>
                <w:szCs w:val="12"/>
              </w:rPr>
            </w:pPr>
            <w:r w:rsidRPr="00B02A01">
              <w:rPr>
                <w:rFonts w:cs="Arial"/>
                <w:b/>
                <w:bCs/>
                <w:color w:val="FFFFFF"/>
                <w:sz w:val="12"/>
                <w:szCs w:val="12"/>
              </w:rPr>
              <w:t>Proposed</w:t>
            </w:r>
          </w:p>
        </w:tc>
      </w:tr>
      <w:tr w:rsidR="009A2EED" w:rsidRPr="00B02A01" w14:paraId="53AA7D15"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25F1A8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 xml:space="preserve"> 0 to 30 MHz</w:t>
            </w:r>
          </w:p>
        </w:tc>
        <w:tc>
          <w:tcPr>
            <w:tcW w:w="655" w:type="dxa"/>
            <w:tcBorders>
              <w:top w:val="nil"/>
              <w:left w:val="nil"/>
              <w:bottom w:val="single" w:sz="4" w:space="0" w:color="auto"/>
              <w:right w:val="single" w:sz="4" w:space="0" w:color="auto"/>
            </w:tcBorders>
            <w:shd w:val="clear" w:color="auto" w:fill="auto"/>
            <w:noWrap/>
            <w:vAlign w:val="bottom"/>
            <w:hideMark/>
          </w:tcPr>
          <w:p w14:paraId="058ABE9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36BE43C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0.1217</w:t>
            </w:r>
          </w:p>
        </w:tc>
        <w:tc>
          <w:tcPr>
            <w:tcW w:w="655" w:type="dxa"/>
            <w:tcBorders>
              <w:top w:val="nil"/>
              <w:left w:val="nil"/>
              <w:bottom w:val="single" w:sz="4" w:space="0" w:color="auto"/>
              <w:right w:val="single" w:sz="4" w:space="0" w:color="auto"/>
            </w:tcBorders>
            <w:shd w:val="clear" w:color="auto" w:fill="auto"/>
            <w:noWrap/>
            <w:vAlign w:val="bottom"/>
            <w:hideMark/>
          </w:tcPr>
          <w:p w14:paraId="3C3B077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3F9AB98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0.1217</w:t>
            </w:r>
          </w:p>
        </w:tc>
        <w:tc>
          <w:tcPr>
            <w:tcW w:w="655" w:type="dxa"/>
            <w:tcBorders>
              <w:top w:val="nil"/>
              <w:left w:val="nil"/>
              <w:bottom w:val="single" w:sz="4" w:space="0" w:color="auto"/>
              <w:right w:val="single" w:sz="4" w:space="0" w:color="auto"/>
            </w:tcBorders>
            <w:shd w:val="clear" w:color="auto" w:fill="auto"/>
            <w:noWrap/>
            <w:vAlign w:val="bottom"/>
            <w:hideMark/>
          </w:tcPr>
          <w:p w14:paraId="2DCC1A3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0A17070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0.1217</w:t>
            </w:r>
          </w:p>
        </w:tc>
        <w:tc>
          <w:tcPr>
            <w:tcW w:w="655" w:type="dxa"/>
            <w:tcBorders>
              <w:top w:val="nil"/>
              <w:left w:val="nil"/>
              <w:bottom w:val="single" w:sz="4" w:space="0" w:color="auto"/>
              <w:right w:val="single" w:sz="4" w:space="0" w:color="auto"/>
            </w:tcBorders>
            <w:shd w:val="clear" w:color="auto" w:fill="auto"/>
            <w:noWrap/>
            <w:vAlign w:val="bottom"/>
            <w:hideMark/>
          </w:tcPr>
          <w:p w14:paraId="307556D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2091FC0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0.1217</w:t>
            </w:r>
          </w:p>
        </w:tc>
        <w:tc>
          <w:tcPr>
            <w:tcW w:w="655" w:type="dxa"/>
            <w:tcBorders>
              <w:top w:val="nil"/>
              <w:left w:val="nil"/>
              <w:bottom w:val="single" w:sz="4" w:space="0" w:color="auto"/>
              <w:right w:val="single" w:sz="4" w:space="0" w:color="auto"/>
            </w:tcBorders>
            <w:shd w:val="clear" w:color="auto" w:fill="auto"/>
            <w:noWrap/>
            <w:vAlign w:val="bottom"/>
            <w:hideMark/>
          </w:tcPr>
          <w:p w14:paraId="1B7F7F8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054C1AB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0.1217</w:t>
            </w:r>
          </w:p>
        </w:tc>
      </w:tr>
      <w:tr w:rsidR="009A2EED" w:rsidRPr="00B02A01" w14:paraId="3E0C0D5C"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E8D5FD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&gt;30 to 70 MHz</w:t>
            </w:r>
          </w:p>
        </w:tc>
        <w:tc>
          <w:tcPr>
            <w:tcW w:w="655" w:type="dxa"/>
            <w:tcBorders>
              <w:top w:val="nil"/>
              <w:left w:val="nil"/>
              <w:bottom w:val="single" w:sz="4" w:space="0" w:color="auto"/>
              <w:right w:val="single" w:sz="4" w:space="0" w:color="auto"/>
            </w:tcBorders>
            <w:shd w:val="clear" w:color="auto" w:fill="auto"/>
            <w:noWrap/>
            <w:vAlign w:val="bottom"/>
            <w:hideMark/>
          </w:tcPr>
          <w:p w14:paraId="20A3042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0.2758</w:t>
            </w:r>
          </w:p>
        </w:tc>
        <w:tc>
          <w:tcPr>
            <w:tcW w:w="825" w:type="dxa"/>
            <w:tcBorders>
              <w:top w:val="nil"/>
              <w:left w:val="nil"/>
              <w:bottom w:val="single" w:sz="4" w:space="0" w:color="auto"/>
              <w:right w:val="single" w:sz="4" w:space="0" w:color="auto"/>
            </w:tcBorders>
            <w:shd w:val="clear" w:color="000000" w:fill="E7E6E6"/>
            <w:noWrap/>
            <w:vAlign w:val="bottom"/>
            <w:hideMark/>
          </w:tcPr>
          <w:p w14:paraId="28E299A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0.2750</w:t>
            </w:r>
          </w:p>
        </w:tc>
        <w:tc>
          <w:tcPr>
            <w:tcW w:w="655" w:type="dxa"/>
            <w:tcBorders>
              <w:top w:val="nil"/>
              <w:left w:val="nil"/>
              <w:bottom w:val="single" w:sz="4" w:space="0" w:color="auto"/>
              <w:right w:val="single" w:sz="4" w:space="0" w:color="auto"/>
            </w:tcBorders>
            <w:shd w:val="clear" w:color="auto" w:fill="auto"/>
            <w:noWrap/>
            <w:vAlign w:val="bottom"/>
            <w:hideMark/>
          </w:tcPr>
          <w:p w14:paraId="182DFEA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0.1077</w:t>
            </w:r>
          </w:p>
        </w:tc>
        <w:tc>
          <w:tcPr>
            <w:tcW w:w="825" w:type="dxa"/>
            <w:tcBorders>
              <w:top w:val="nil"/>
              <w:left w:val="nil"/>
              <w:bottom w:val="single" w:sz="4" w:space="0" w:color="auto"/>
              <w:right w:val="single" w:sz="4" w:space="0" w:color="auto"/>
            </w:tcBorders>
            <w:shd w:val="clear" w:color="000000" w:fill="E7E6E6"/>
            <w:noWrap/>
            <w:vAlign w:val="bottom"/>
            <w:hideMark/>
          </w:tcPr>
          <w:p w14:paraId="378E213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0.1074</w:t>
            </w:r>
          </w:p>
        </w:tc>
        <w:tc>
          <w:tcPr>
            <w:tcW w:w="655" w:type="dxa"/>
            <w:tcBorders>
              <w:top w:val="nil"/>
              <w:left w:val="nil"/>
              <w:bottom w:val="single" w:sz="4" w:space="0" w:color="auto"/>
              <w:right w:val="single" w:sz="4" w:space="0" w:color="auto"/>
            </w:tcBorders>
            <w:shd w:val="clear" w:color="auto" w:fill="auto"/>
            <w:noWrap/>
            <w:vAlign w:val="bottom"/>
            <w:hideMark/>
          </w:tcPr>
          <w:p w14:paraId="629DBDD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0.0573</w:t>
            </w:r>
          </w:p>
        </w:tc>
        <w:tc>
          <w:tcPr>
            <w:tcW w:w="825" w:type="dxa"/>
            <w:tcBorders>
              <w:top w:val="nil"/>
              <w:left w:val="nil"/>
              <w:bottom w:val="single" w:sz="4" w:space="0" w:color="auto"/>
              <w:right w:val="single" w:sz="4" w:space="0" w:color="auto"/>
            </w:tcBorders>
            <w:shd w:val="clear" w:color="000000" w:fill="E7E6E6"/>
            <w:noWrap/>
            <w:vAlign w:val="bottom"/>
            <w:hideMark/>
          </w:tcPr>
          <w:p w14:paraId="58896A33"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0.0571</w:t>
            </w:r>
          </w:p>
        </w:tc>
        <w:tc>
          <w:tcPr>
            <w:tcW w:w="655" w:type="dxa"/>
            <w:tcBorders>
              <w:top w:val="nil"/>
              <w:left w:val="nil"/>
              <w:bottom w:val="single" w:sz="4" w:space="0" w:color="auto"/>
              <w:right w:val="single" w:sz="4" w:space="0" w:color="auto"/>
            </w:tcBorders>
            <w:shd w:val="clear" w:color="auto" w:fill="auto"/>
            <w:noWrap/>
            <w:vAlign w:val="bottom"/>
            <w:hideMark/>
          </w:tcPr>
          <w:p w14:paraId="2ABC191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0.0124</w:t>
            </w:r>
          </w:p>
        </w:tc>
        <w:tc>
          <w:tcPr>
            <w:tcW w:w="825" w:type="dxa"/>
            <w:tcBorders>
              <w:top w:val="nil"/>
              <w:left w:val="nil"/>
              <w:bottom w:val="single" w:sz="4" w:space="0" w:color="auto"/>
              <w:right w:val="single" w:sz="4" w:space="0" w:color="auto"/>
            </w:tcBorders>
            <w:shd w:val="clear" w:color="000000" w:fill="E7E6E6"/>
            <w:noWrap/>
            <w:vAlign w:val="bottom"/>
            <w:hideMark/>
          </w:tcPr>
          <w:p w14:paraId="0D1B7D25"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0.0123</w:t>
            </w:r>
          </w:p>
        </w:tc>
        <w:tc>
          <w:tcPr>
            <w:tcW w:w="655" w:type="dxa"/>
            <w:tcBorders>
              <w:top w:val="nil"/>
              <w:left w:val="nil"/>
              <w:bottom w:val="single" w:sz="4" w:space="0" w:color="auto"/>
              <w:right w:val="single" w:sz="4" w:space="0" w:color="auto"/>
            </w:tcBorders>
            <w:shd w:val="clear" w:color="auto" w:fill="auto"/>
            <w:noWrap/>
            <w:vAlign w:val="bottom"/>
            <w:hideMark/>
          </w:tcPr>
          <w:p w14:paraId="729CBC9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0.0062</w:t>
            </w:r>
          </w:p>
        </w:tc>
        <w:tc>
          <w:tcPr>
            <w:tcW w:w="825" w:type="dxa"/>
            <w:tcBorders>
              <w:top w:val="nil"/>
              <w:left w:val="nil"/>
              <w:bottom w:val="single" w:sz="4" w:space="0" w:color="auto"/>
              <w:right w:val="single" w:sz="4" w:space="0" w:color="auto"/>
            </w:tcBorders>
            <w:shd w:val="clear" w:color="000000" w:fill="E7E6E6"/>
            <w:noWrap/>
            <w:vAlign w:val="bottom"/>
            <w:hideMark/>
          </w:tcPr>
          <w:p w14:paraId="01FC105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0.0061</w:t>
            </w:r>
          </w:p>
        </w:tc>
      </w:tr>
      <w:tr w:rsidR="009A2EED" w:rsidRPr="00B02A01" w14:paraId="58C3BA56"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F6952E5"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&gt;70 to 399.9 MHz</w:t>
            </w:r>
          </w:p>
        </w:tc>
        <w:tc>
          <w:tcPr>
            <w:tcW w:w="655" w:type="dxa"/>
            <w:tcBorders>
              <w:top w:val="nil"/>
              <w:left w:val="nil"/>
              <w:bottom w:val="single" w:sz="4" w:space="0" w:color="auto"/>
              <w:right w:val="single" w:sz="4" w:space="0" w:color="auto"/>
            </w:tcBorders>
            <w:shd w:val="clear" w:color="auto" w:fill="auto"/>
            <w:noWrap/>
            <w:vAlign w:val="bottom"/>
            <w:hideMark/>
          </w:tcPr>
          <w:p w14:paraId="369E0F2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0.2829</w:t>
            </w:r>
          </w:p>
        </w:tc>
        <w:tc>
          <w:tcPr>
            <w:tcW w:w="825" w:type="dxa"/>
            <w:tcBorders>
              <w:top w:val="nil"/>
              <w:left w:val="nil"/>
              <w:bottom w:val="single" w:sz="4" w:space="0" w:color="auto"/>
              <w:right w:val="single" w:sz="4" w:space="0" w:color="auto"/>
            </w:tcBorders>
            <w:shd w:val="clear" w:color="000000" w:fill="E7E6E6"/>
            <w:noWrap/>
            <w:vAlign w:val="bottom"/>
            <w:hideMark/>
          </w:tcPr>
          <w:p w14:paraId="68B9387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0.2821</w:t>
            </w:r>
          </w:p>
        </w:tc>
        <w:tc>
          <w:tcPr>
            <w:tcW w:w="655" w:type="dxa"/>
            <w:tcBorders>
              <w:top w:val="nil"/>
              <w:left w:val="nil"/>
              <w:bottom w:val="single" w:sz="4" w:space="0" w:color="auto"/>
              <w:right w:val="single" w:sz="4" w:space="0" w:color="auto"/>
            </w:tcBorders>
            <w:shd w:val="clear" w:color="auto" w:fill="auto"/>
            <w:noWrap/>
            <w:vAlign w:val="bottom"/>
            <w:hideMark/>
          </w:tcPr>
          <w:p w14:paraId="24B73400"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0.1161</w:t>
            </w:r>
          </w:p>
        </w:tc>
        <w:tc>
          <w:tcPr>
            <w:tcW w:w="825" w:type="dxa"/>
            <w:tcBorders>
              <w:top w:val="nil"/>
              <w:left w:val="nil"/>
              <w:bottom w:val="single" w:sz="4" w:space="0" w:color="auto"/>
              <w:right w:val="single" w:sz="4" w:space="0" w:color="auto"/>
            </w:tcBorders>
            <w:shd w:val="clear" w:color="000000" w:fill="E7E6E6"/>
            <w:noWrap/>
            <w:vAlign w:val="bottom"/>
            <w:hideMark/>
          </w:tcPr>
          <w:p w14:paraId="23529B8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0.1158</w:t>
            </w:r>
          </w:p>
        </w:tc>
        <w:tc>
          <w:tcPr>
            <w:tcW w:w="655" w:type="dxa"/>
            <w:tcBorders>
              <w:top w:val="nil"/>
              <w:left w:val="nil"/>
              <w:bottom w:val="single" w:sz="4" w:space="0" w:color="auto"/>
              <w:right w:val="single" w:sz="4" w:space="0" w:color="auto"/>
            </w:tcBorders>
            <w:shd w:val="clear" w:color="auto" w:fill="auto"/>
            <w:noWrap/>
            <w:vAlign w:val="bottom"/>
            <w:hideMark/>
          </w:tcPr>
          <w:p w14:paraId="33252E0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0.0531</w:t>
            </w:r>
          </w:p>
        </w:tc>
        <w:tc>
          <w:tcPr>
            <w:tcW w:w="825" w:type="dxa"/>
            <w:tcBorders>
              <w:top w:val="nil"/>
              <w:left w:val="nil"/>
              <w:bottom w:val="single" w:sz="4" w:space="0" w:color="auto"/>
              <w:right w:val="single" w:sz="4" w:space="0" w:color="auto"/>
            </w:tcBorders>
            <w:shd w:val="clear" w:color="000000" w:fill="E7E6E6"/>
            <w:noWrap/>
            <w:vAlign w:val="bottom"/>
            <w:hideMark/>
          </w:tcPr>
          <w:p w14:paraId="3462E3C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0.0530</w:t>
            </w:r>
          </w:p>
        </w:tc>
        <w:tc>
          <w:tcPr>
            <w:tcW w:w="655" w:type="dxa"/>
            <w:tcBorders>
              <w:top w:val="nil"/>
              <w:left w:val="nil"/>
              <w:bottom w:val="single" w:sz="4" w:space="0" w:color="auto"/>
              <w:right w:val="single" w:sz="4" w:space="0" w:color="auto"/>
            </w:tcBorders>
            <w:shd w:val="clear" w:color="auto" w:fill="auto"/>
            <w:noWrap/>
            <w:vAlign w:val="bottom"/>
            <w:hideMark/>
          </w:tcPr>
          <w:p w14:paraId="50C86BE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0.0119</w:t>
            </w:r>
          </w:p>
        </w:tc>
        <w:tc>
          <w:tcPr>
            <w:tcW w:w="825" w:type="dxa"/>
            <w:tcBorders>
              <w:top w:val="nil"/>
              <w:left w:val="nil"/>
              <w:bottom w:val="single" w:sz="4" w:space="0" w:color="auto"/>
              <w:right w:val="single" w:sz="4" w:space="0" w:color="auto"/>
            </w:tcBorders>
            <w:shd w:val="clear" w:color="000000" w:fill="E7E6E6"/>
            <w:noWrap/>
            <w:vAlign w:val="bottom"/>
            <w:hideMark/>
          </w:tcPr>
          <w:p w14:paraId="33E17D3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0.0119</w:t>
            </w:r>
          </w:p>
        </w:tc>
        <w:tc>
          <w:tcPr>
            <w:tcW w:w="655" w:type="dxa"/>
            <w:tcBorders>
              <w:top w:val="nil"/>
              <w:left w:val="nil"/>
              <w:bottom w:val="single" w:sz="4" w:space="0" w:color="auto"/>
              <w:right w:val="single" w:sz="4" w:space="0" w:color="auto"/>
            </w:tcBorders>
            <w:shd w:val="clear" w:color="auto" w:fill="auto"/>
            <w:noWrap/>
            <w:vAlign w:val="bottom"/>
            <w:hideMark/>
          </w:tcPr>
          <w:p w14:paraId="6C8DE5E5"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0.0059</w:t>
            </w:r>
          </w:p>
        </w:tc>
        <w:tc>
          <w:tcPr>
            <w:tcW w:w="825" w:type="dxa"/>
            <w:tcBorders>
              <w:top w:val="nil"/>
              <w:left w:val="nil"/>
              <w:bottom w:val="single" w:sz="4" w:space="0" w:color="auto"/>
              <w:right w:val="single" w:sz="4" w:space="0" w:color="auto"/>
            </w:tcBorders>
            <w:shd w:val="clear" w:color="000000" w:fill="E7E6E6"/>
            <w:noWrap/>
            <w:vAlign w:val="bottom"/>
            <w:hideMark/>
          </w:tcPr>
          <w:p w14:paraId="1AB97B8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0.0059</w:t>
            </w:r>
          </w:p>
        </w:tc>
      </w:tr>
      <w:tr w:rsidR="009A2EED" w:rsidRPr="00B02A01" w14:paraId="7408A7BB"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7D0511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&gt;399.9 to 403 MHz</w:t>
            </w:r>
          </w:p>
        </w:tc>
        <w:tc>
          <w:tcPr>
            <w:tcW w:w="655" w:type="dxa"/>
            <w:tcBorders>
              <w:top w:val="nil"/>
              <w:left w:val="nil"/>
              <w:bottom w:val="single" w:sz="4" w:space="0" w:color="auto"/>
              <w:right w:val="single" w:sz="4" w:space="0" w:color="auto"/>
            </w:tcBorders>
            <w:shd w:val="clear" w:color="auto" w:fill="auto"/>
            <w:noWrap/>
            <w:vAlign w:val="bottom"/>
            <w:hideMark/>
          </w:tcPr>
          <w:p w14:paraId="3DC446C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0.2829</w:t>
            </w:r>
          </w:p>
        </w:tc>
        <w:tc>
          <w:tcPr>
            <w:tcW w:w="825" w:type="dxa"/>
            <w:tcBorders>
              <w:top w:val="nil"/>
              <w:left w:val="nil"/>
              <w:bottom w:val="single" w:sz="4" w:space="0" w:color="auto"/>
              <w:right w:val="single" w:sz="4" w:space="0" w:color="auto"/>
            </w:tcBorders>
            <w:shd w:val="clear" w:color="000000" w:fill="E7E6E6"/>
            <w:noWrap/>
            <w:vAlign w:val="bottom"/>
            <w:hideMark/>
          </w:tcPr>
          <w:p w14:paraId="2DDD506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0.2821</w:t>
            </w:r>
          </w:p>
        </w:tc>
        <w:tc>
          <w:tcPr>
            <w:tcW w:w="655" w:type="dxa"/>
            <w:tcBorders>
              <w:top w:val="nil"/>
              <w:left w:val="nil"/>
              <w:bottom w:val="single" w:sz="4" w:space="0" w:color="auto"/>
              <w:right w:val="single" w:sz="4" w:space="0" w:color="auto"/>
            </w:tcBorders>
            <w:shd w:val="clear" w:color="auto" w:fill="auto"/>
            <w:noWrap/>
            <w:vAlign w:val="bottom"/>
            <w:hideMark/>
          </w:tcPr>
          <w:p w14:paraId="1E62A47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0.1584</w:t>
            </w:r>
          </w:p>
        </w:tc>
        <w:tc>
          <w:tcPr>
            <w:tcW w:w="825" w:type="dxa"/>
            <w:tcBorders>
              <w:top w:val="nil"/>
              <w:left w:val="nil"/>
              <w:bottom w:val="single" w:sz="4" w:space="0" w:color="auto"/>
              <w:right w:val="single" w:sz="4" w:space="0" w:color="auto"/>
            </w:tcBorders>
            <w:shd w:val="clear" w:color="000000" w:fill="E7E6E6"/>
            <w:noWrap/>
            <w:vAlign w:val="bottom"/>
            <w:hideMark/>
          </w:tcPr>
          <w:p w14:paraId="494D08C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0.1580</w:t>
            </w:r>
          </w:p>
        </w:tc>
        <w:tc>
          <w:tcPr>
            <w:tcW w:w="655" w:type="dxa"/>
            <w:tcBorders>
              <w:top w:val="nil"/>
              <w:left w:val="nil"/>
              <w:bottom w:val="single" w:sz="4" w:space="0" w:color="auto"/>
              <w:right w:val="single" w:sz="4" w:space="0" w:color="auto"/>
            </w:tcBorders>
            <w:shd w:val="clear" w:color="auto" w:fill="auto"/>
            <w:noWrap/>
            <w:vAlign w:val="bottom"/>
            <w:hideMark/>
          </w:tcPr>
          <w:p w14:paraId="2B57A5E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0.0725</w:t>
            </w:r>
          </w:p>
        </w:tc>
        <w:tc>
          <w:tcPr>
            <w:tcW w:w="825" w:type="dxa"/>
            <w:tcBorders>
              <w:top w:val="nil"/>
              <w:left w:val="nil"/>
              <w:bottom w:val="single" w:sz="4" w:space="0" w:color="auto"/>
              <w:right w:val="single" w:sz="4" w:space="0" w:color="auto"/>
            </w:tcBorders>
            <w:shd w:val="clear" w:color="000000" w:fill="E7E6E6"/>
            <w:noWrap/>
            <w:vAlign w:val="bottom"/>
            <w:hideMark/>
          </w:tcPr>
          <w:p w14:paraId="5C85157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0.0723</w:t>
            </w:r>
          </w:p>
        </w:tc>
        <w:tc>
          <w:tcPr>
            <w:tcW w:w="655" w:type="dxa"/>
            <w:tcBorders>
              <w:top w:val="nil"/>
              <w:left w:val="nil"/>
              <w:bottom w:val="single" w:sz="4" w:space="0" w:color="auto"/>
              <w:right w:val="single" w:sz="4" w:space="0" w:color="auto"/>
            </w:tcBorders>
            <w:shd w:val="clear" w:color="auto" w:fill="auto"/>
            <w:noWrap/>
            <w:vAlign w:val="bottom"/>
            <w:hideMark/>
          </w:tcPr>
          <w:p w14:paraId="7895620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0.0124</w:t>
            </w:r>
          </w:p>
        </w:tc>
        <w:tc>
          <w:tcPr>
            <w:tcW w:w="825" w:type="dxa"/>
            <w:tcBorders>
              <w:top w:val="nil"/>
              <w:left w:val="nil"/>
              <w:bottom w:val="single" w:sz="4" w:space="0" w:color="auto"/>
              <w:right w:val="single" w:sz="4" w:space="0" w:color="auto"/>
            </w:tcBorders>
            <w:shd w:val="clear" w:color="000000" w:fill="E7E6E6"/>
            <w:noWrap/>
            <w:vAlign w:val="bottom"/>
            <w:hideMark/>
          </w:tcPr>
          <w:p w14:paraId="15DF752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0.0123</w:t>
            </w:r>
          </w:p>
        </w:tc>
        <w:tc>
          <w:tcPr>
            <w:tcW w:w="655" w:type="dxa"/>
            <w:tcBorders>
              <w:top w:val="nil"/>
              <w:left w:val="nil"/>
              <w:bottom w:val="single" w:sz="4" w:space="0" w:color="auto"/>
              <w:right w:val="single" w:sz="4" w:space="0" w:color="auto"/>
            </w:tcBorders>
            <w:shd w:val="clear" w:color="auto" w:fill="auto"/>
            <w:noWrap/>
            <w:vAlign w:val="bottom"/>
            <w:hideMark/>
          </w:tcPr>
          <w:p w14:paraId="389EFAE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0.0062</w:t>
            </w:r>
          </w:p>
        </w:tc>
        <w:tc>
          <w:tcPr>
            <w:tcW w:w="825" w:type="dxa"/>
            <w:tcBorders>
              <w:top w:val="nil"/>
              <w:left w:val="nil"/>
              <w:bottom w:val="single" w:sz="4" w:space="0" w:color="auto"/>
              <w:right w:val="single" w:sz="4" w:space="0" w:color="auto"/>
            </w:tcBorders>
            <w:shd w:val="clear" w:color="000000" w:fill="E7E6E6"/>
            <w:noWrap/>
            <w:vAlign w:val="bottom"/>
            <w:hideMark/>
          </w:tcPr>
          <w:p w14:paraId="460CCC5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0.0061</w:t>
            </w:r>
          </w:p>
        </w:tc>
      </w:tr>
      <w:tr w:rsidR="009A2EED" w:rsidRPr="00B02A01" w14:paraId="373E7A52"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B17A7A0"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 403 to 520 MHz</w:t>
            </w:r>
          </w:p>
        </w:tc>
        <w:tc>
          <w:tcPr>
            <w:tcW w:w="655" w:type="dxa"/>
            <w:tcBorders>
              <w:top w:val="nil"/>
              <w:left w:val="nil"/>
              <w:bottom w:val="single" w:sz="4" w:space="0" w:color="auto"/>
              <w:right w:val="single" w:sz="4" w:space="0" w:color="auto"/>
            </w:tcBorders>
            <w:shd w:val="clear" w:color="auto" w:fill="auto"/>
            <w:noWrap/>
            <w:vAlign w:val="bottom"/>
            <w:hideMark/>
          </w:tcPr>
          <w:p w14:paraId="25864DD0"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0.2829</w:t>
            </w:r>
          </w:p>
        </w:tc>
        <w:tc>
          <w:tcPr>
            <w:tcW w:w="825" w:type="dxa"/>
            <w:tcBorders>
              <w:top w:val="nil"/>
              <w:left w:val="nil"/>
              <w:bottom w:val="single" w:sz="4" w:space="0" w:color="auto"/>
              <w:right w:val="single" w:sz="4" w:space="0" w:color="auto"/>
            </w:tcBorders>
            <w:shd w:val="clear" w:color="000000" w:fill="E7E6E6"/>
            <w:noWrap/>
            <w:vAlign w:val="bottom"/>
            <w:hideMark/>
          </w:tcPr>
          <w:p w14:paraId="2C63F03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0.2821</w:t>
            </w:r>
          </w:p>
        </w:tc>
        <w:tc>
          <w:tcPr>
            <w:tcW w:w="655" w:type="dxa"/>
            <w:tcBorders>
              <w:top w:val="nil"/>
              <w:left w:val="nil"/>
              <w:bottom w:val="single" w:sz="4" w:space="0" w:color="auto"/>
              <w:right w:val="single" w:sz="4" w:space="0" w:color="auto"/>
            </w:tcBorders>
            <w:shd w:val="clear" w:color="auto" w:fill="auto"/>
            <w:noWrap/>
            <w:vAlign w:val="bottom"/>
            <w:hideMark/>
          </w:tcPr>
          <w:p w14:paraId="11043F8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0.2097</w:t>
            </w:r>
          </w:p>
        </w:tc>
        <w:tc>
          <w:tcPr>
            <w:tcW w:w="825" w:type="dxa"/>
            <w:tcBorders>
              <w:top w:val="nil"/>
              <w:left w:val="nil"/>
              <w:bottom w:val="single" w:sz="4" w:space="0" w:color="auto"/>
              <w:right w:val="single" w:sz="4" w:space="0" w:color="auto"/>
            </w:tcBorders>
            <w:shd w:val="clear" w:color="000000" w:fill="E7E6E6"/>
            <w:noWrap/>
            <w:vAlign w:val="bottom"/>
            <w:hideMark/>
          </w:tcPr>
          <w:p w14:paraId="6B06296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0.2091</w:t>
            </w:r>
          </w:p>
        </w:tc>
        <w:tc>
          <w:tcPr>
            <w:tcW w:w="655" w:type="dxa"/>
            <w:tcBorders>
              <w:top w:val="nil"/>
              <w:left w:val="nil"/>
              <w:bottom w:val="single" w:sz="4" w:space="0" w:color="auto"/>
              <w:right w:val="single" w:sz="4" w:space="0" w:color="auto"/>
            </w:tcBorders>
            <w:shd w:val="clear" w:color="auto" w:fill="auto"/>
            <w:noWrap/>
            <w:vAlign w:val="bottom"/>
            <w:hideMark/>
          </w:tcPr>
          <w:p w14:paraId="666F754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0.0725</w:t>
            </w:r>
          </w:p>
        </w:tc>
        <w:tc>
          <w:tcPr>
            <w:tcW w:w="825" w:type="dxa"/>
            <w:tcBorders>
              <w:top w:val="nil"/>
              <w:left w:val="nil"/>
              <w:bottom w:val="single" w:sz="4" w:space="0" w:color="auto"/>
              <w:right w:val="single" w:sz="4" w:space="0" w:color="auto"/>
            </w:tcBorders>
            <w:shd w:val="clear" w:color="000000" w:fill="E7E6E6"/>
            <w:noWrap/>
            <w:vAlign w:val="bottom"/>
            <w:hideMark/>
          </w:tcPr>
          <w:p w14:paraId="5CF3711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0.0723</w:t>
            </w:r>
          </w:p>
        </w:tc>
        <w:tc>
          <w:tcPr>
            <w:tcW w:w="655" w:type="dxa"/>
            <w:tcBorders>
              <w:top w:val="nil"/>
              <w:left w:val="nil"/>
              <w:bottom w:val="single" w:sz="4" w:space="0" w:color="auto"/>
              <w:right w:val="single" w:sz="4" w:space="0" w:color="auto"/>
            </w:tcBorders>
            <w:shd w:val="clear" w:color="auto" w:fill="auto"/>
            <w:noWrap/>
            <w:vAlign w:val="bottom"/>
            <w:hideMark/>
          </w:tcPr>
          <w:p w14:paraId="024798E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0.0124</w:t>
            </w:r>
          </w:p>
        </w:tc>
        <w:tc>
          <w:tcPr>
            <w:tcW w:w="825" w:type="dxa"/>
            <w:tcBorders>
              <w:top w:val="nil"/>
              <w:left w:val="nil"/>
              <w:bottom w:val="single" w:sz="4" w:space="0" w:color="auto"/>
              <w:right w:val="single" w:sz="4" w:space="0" w:color="auto"/>
            </w:tcBorders>
            <w:shd w:val="clear" w:color="000000" w:fill="E7E6E6"/>
            <w:noWrap/>
            <w:vAlign w:val="bottom"/>
            <w:hideMark/>
          </w:tcPr>
          <w:p w14:paraId="0FC21D0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0.0123</w:t>
            </w:r>
          </w:p>
        </w:tc>
        <w:tc>
          <w:tcPr>
            <w:tcW w:w="655" w:type="dxa"/>
            <w:tcBorders>
              <w:top w:val="nil"/>
              <w:left w:val="nil"/>
              <w:bottom w:val="single" w:sz="4" w:space="0" w:color="auto"/>
              <w:right w:val="single" w:sz="4" w:space="0" w:color="auto"/>
            </w:tcBorders>
            <w:shd w:val="clear" w:color="auto" w:fill="auto"/>
            <w:noWrap/>
            <w:vAlign w:val="bottom"/>
            <w:hideMark/>
          </w:tcPr>
          <w:p w14:paraId="24DF7A9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2C6EF1C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r>
      <w:tr w:rsidR="009A2EED" w:rsidRPr="00B02A01" w14:paraId="0503EFCE"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2E76E8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 520 to 960 MHz</w:t>
            </w:r>
          </w:p>
        </w:tc>
        <w:tc>
          <w:tcPr>
            <w:tcW w:w="655" w:type="dxa"/>
            <w:tcBorders>
              <w:top w:val="nil"/>
              <w:left w:val="nil"/>
              <w:bottom w:val="single" w:sz="4" w:space="0" w:color="auto"/>
              <w:right w:val="single" w:sz="4" w:space="0" w:color="auto"/>
            </w:tcBorders>
            <w:shd w:val="clear" w:color="auto" w:fill="auto"/>
            <w:noWrap/>
            <w:vAlign w:val="bottom"/>
            <w:hideMark/>
          </w:tcPr>
          <w:p w14:paraId="33875F7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0.2829</w:t>
            </w:r>
          </w:p>
        </w:tc>
        <w:tc>
          <w:tcPr>
            <w:tcW w:w="825" w:type="dxa"/>
            <w:tcBorders>
              <w:top w:val="nil"/>
              <w:left w:val="nil"/>
              <w:bottom w:val="single" w:sz="4" w:space="0" w:color="auto"/>
              <w:right w:val="single" w:sz="4" w:space="0" w:color="auto"/>
            </w:tcBorders>
            <w:shd w:val="clear" w:color="000000" w:fill="E7E6E6"/>
            <w:noWrap/>
            <w:vAlign w:val="bottom"/>
            <w:hideMark/>
          </w:tcPr>
          <w:p w14:paraId="6B6579B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0.2821</w:t>
            </w:r>
          </w:p>
        </w:tc>
        <w:tc>
          <w:tcPr>
            <w:tcW w:w="655" w:type="dxa"/>
            <w:tcBorders>
              <w:top w:val="nil"/>
              <w:left w:val="nil"/>
              <w:bottom w:val="single" w:sz="4" w:space="0" w:color="auto"/>
              <w:right w:val="single" w:sz="4" w:space="0" w:color="auto"/>
            </w:tcBorders>
            <w:shd w:val="clear" w:color="auto" w:fill="auto"/>
            <w:noWrap/>
            <w:vAlign w:val="bottom"/>
            <w:hideMark/>
          </w:tcPr>
          <w:p w14:paraId="2EFC6C5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0.1584</w:t>
            </w:r>
          </w:p>
        </w:tc>
        <w:tc>
          <w:tcPr>
            <w:tcW w:w="825" w:type="dxa"/>
            <w:tcBorders>
              <w:top w:val="nil"/>
              <w:left w:val="nil"/>
              <w:bottom w:val="single" w:sz="4" w:space="0" w:color="auto"/>
              <w:right w:val="single" w:sz="4" w:space="0" w:color="auto"/>
            </w:tcBorders>
            <w:shd w:val="clear" w:color="000000" w:fill="E7E6E6"/>
            <w:noWrap/>
            <w:vAlign w:val="bottom"/>
            <w:hideMark/>
          </w:tcPr>
          <w:p w14:paraId="24D59C2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0.1580</w:t>
            </w:r>
          </w:p>
        </w:tc>
        <w:tc>
          <w:tcPr>
            <w:tcW w:w="655" w:type="dxa"/>
            <w:tcBorders>
              <w:top w:val="nil"/>
              <w:left w:val="nil"/>
              <w:bottom w:val="single" w:sz="4" w:space="0" w:color="auto"/>
              <w:right w:val="single" w:sz="4" w:space="0" w:color="auto"/>
            </w:tcBorders>
            <w:shd w:val="clear" w:color="auto" w:fill="auto"/>
            <w:noWrap/>
            <w:vAlign w:val="bottom"/>
            <w:hideMark/>
          </w:tcPr>
          <w:p w14:paraId="31D352E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0.0725</w:t>
            </w:r>
          </w:p>
        </w:tc>
        <w:tc>
          <w:tcPr>
            <w:tcW w:w="825" w:type="dxa"/>
            <w:tcBorders>
              <w:top w:val="nil"/>
              <w:left w:val="nil"/>
              <w:bottom w:val="single" w:sz="4" w:space="0" w:color="auto"/>
              <w:right w:val="single" w:sz="4" w:space="0" w:color="auto"/>
            </w:tcBorders>
            <w:shd w:val="clear" w:color="000000" w:fill="E7E6E6"/>
            <w:noWrap/>
            <w:vAlign w:val="bottom"/>
            <w:hideMark/>
          </w:tcPr>
          <w:p w14:paraId="131FB173"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0.0723</w:t>
            </w:r>
          </w:p>
        </w:tc>
        <w:tc>
          <w:tcPr>
            <w:tcW w:w="655" w:type="dxa"/>
            <w:tcBorders>
              <w:top w:val="nil"/>
              <w:left w:val="nil"/>
              <w:bottom w:val="single" w:sz="4" w:space="0" w:color="auto"/>
              <w:right w:val="single" w:sz="4" w:space="0" w:color="auto"/>
            </w:tcBorders>
            <w:shd w:val="clear" w:color="auto" w:fill="auto"/>
            <w:noWrap/>
            <w:vAlign w:val="bottom"/>
            <w:hideMark/>
          </w:tcPr>
          <w:p w14:paraId="41E73A3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0.0124</w:t>
            </w:r>
          </w:p>
        </w:tc>
        <w:tc>
          <w:tcPr>
            <w:tcW w:w="825" w:type="dxa"/>
            <w:tcBorders>
              <w:top w:val="nil"/>
              <w:left w:val="nil"/>
              <w:bottom w:val="single" w:sz="4" w:space="0" w:color="auto"/>
              <w:right w:val="single" w:sz="4" w:space="0" w:color="auto"/>
            </w:tcBorders>
            <w:shd w:val="clear" w:color="000000" w:fill="E7E6E6"/>
            <w:noWrap/>
            <w:vAlign w:val="bottom"/>
            <w:hideMark/>
          </w:tcPr>
          <w:p w14:paraId="5EB1BEC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0.0123</w:t>
            </w:r>
          </w:p>
        </w:tc>
        <w:tc>
          <w:tcPr>
            <w:tcW w:w="655" w:type="dxa"/>
            <w:tcBorders>
              <w:top w:val="nil"/>
              <w:left w:val="nil"/>
              <w:bottom w:val="single" w:sz="4" w:space="0" w:color="auto"/>
              <w:right w:val="single" w:sz="4" w:space="0" w:color="auto"/>
            </w:tcBorders>
            <w:shd w:val="clear" w:color="auto" w:fill="auto"/>
            <w:noWrap/>
            <w:vAlign w:val="bottom"/>
            <w:hideMark/>
          </w:tcPr>
          <w:p w14:paraId="63F0ADD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0.0062</w:t>
            </w:r>
          </w:p>
        </w:tc>
        <w:tc>
          <w:tcPr>
            <w:tcW w:w="825" w:type="dxa"/>
            <w:tcBorders>
              <w:top w:val="nil"/>
              <w:left w:val="nil"/>
              <w:bottom w:val="single" w:sz="4" w:space="0" w:color="auto"/>
              <w:right w:val="single" w:sz="4" w:space="0" w:color="auto"/>
            </w:tcBorders>
            <w:shd w:val="clear" w:color="000000" w:fill="E7E6E6"/>
            <w:noWrap/>
            <w:vAlign w:val="bottom"/>
            <w:hideMark/>
          </w:tcPr>
          <w:p w14:paraId="234ABB6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0.0061</w:t>
            </w:r>
          </w:p>
        </w:tc>
      </w:tr>
      <w:tr w:rsidR="009A2EED" w:rsidRPr="00B02A01" w14:paraId="52D0DAB0"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3136AB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&gt;960 to 2,690 MHz</w:t>
            </w:r>
          </w:p>
        </w:tc>
        <w:tc>
          <w:tcPr>
            <w:tcW w:w="655" w:type="dxa"/>
            <w:tcBorders>
              <w:top w:val="nil"/>
              <w:left w:val="nil"/>
              <w:bottom w:val="single" w:sz="4" w:space="0" w:color="auto"/>
              <w:right w:val="single" w:sz="4" w:space="0" w:color="auto"/>
            </w:tcBorders>
            <w:shd w:val="clear" w:color="auto" w:fill="auto"/>
            <w:noWrap/>
            <w:vAlign w:val="bottom"/>
            <w:hideMark/>
          </w:tcPr>
          <w:p w14:paraId="1AF1766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0.2825</w:t>
            </w:r>
          </w:p>
        </w:tc>
        <w:tc>
          <w:tcPr>
            <w:tcW w:w="825" w:type="dxa"/>
            <w:tcBorders>
              <w:top w:val="nil"/>
              <w:left w:val="nil"/>
              <w:bottom w:val="single" w:sz="4" w:space="0" w:color="auto"/>
              <w:right w:val="single" w:sz="4" w:space="0" w:color="auto"/>
            </w:tcBorders>
            <w:shd w:val="clear" w:color="000000" w:fill="E7E6E6"/>
            <w:noWrap/>
            <w:vAlign w:val="bottom"/>
            <w:hideMark/>
          </w:tcPr>
          <w:p w14:paraId="3C58F0D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0.2817</w:t>
            </w:r>
          </w:p>
        </w:tc>
        <w:tc>
          <w:tcPr>
            <w:tcW w:w="655" w:type="dxa"/>
            <w:tcBorders>
              <w:top w:val="nil"/>
              <w:left w:val="nil"/>
              <w:bottom w:val="single" w:sz="4" w:space="0" w:color="auto"/>
              <w:right w:val="single" w:sz="4" w:space="0" w:color="auto"/>
            </w:tcBorders>
            <w:shd w:val="clear" w:color="auto" w:fill="auto"/>
            <w:noWrap/>
            <w:vAlign w:val="bottom"/>
            <w:hideMark/>
          </w:tcPr>
          <w:p w14:paraId="3B1B5BC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0.0634</w:t>
            </w:r>
          </w:p>
        </w:tc>
        <w:tc>
          <w:tcPr>
            <w:tcW w:w="825" w:type="dxa"/>
            <w:tcBorders>
              <w:top w:val="nil"/>
              <w:left w:val="nil"/>
              <w:bottom w:val="single" w:sz="4" w:space="0" w:color="auto"/>
              <w:right w:val="single" w:sz="4" w:space="0" w:color="auto"/>
            </w:tcBorders>
            <w:shd w:val="clear" w:color="000000" w:fill="E7E6E6"/>
            <w:noWrap/>
            <w:vAlign w:val="bottom"/>
            <w:hideMark/>
          </w:tcPr>
          <w:p w14:paraId="239C3FE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0.0632</w:t>
            </w:r>
          </w:p>
        </w:tc>
        <w:tc>
          <w:tcPr>
            <w:tcW w:w="655" w:type="dxa"/>
            <w:tcBorders>
              <w:top w:val="nil"/>
              <w:left w:val="nil"/>
              <w:bottom w:val="single" w:sz="4" w:space="0" w:color="auto"/>
              <w:right w:val="single" w:sz="4" w:space="0" w:color="auto"/>
            </w:tcBorders>
            <w:shd w:val="clear" w:color="auto" w:fill="auto"/>
            <w:noWrap/>
            <w:vAlign w:val="bottom"/>
            <w:hideMark/>
          </w:tcPr>
          <w:p w14:paraId="3C4B4DC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0.0293</w:t>
            </w:r>
          </w:p>
        </w:tc>
        <w:tc>
          <w:tcPr>
            <w:tcW w:w="825" w:type="dxa"/>
            <w:tcBorders>
              <w:top w:val="nil"/>
              <w:left w:val="nil"/>
              <w:bottom w:val="single" w:sz="4" w:space="0" w:color="auto"/>
              <w:right w:val="single" w:sz="4" w:space="0" w:color="auto"/>
            </w:tcBorders>
            <w:shd w:val="clear" w:color="000000" w:fill="E7E6E6"/>
            <w:noWrap/>
            <w:vAlign w:val="bottom"/>
            <w:hideMark/>
          </w:tcPr>
          <w:p w14:paraId="2FF3266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0.0292</w:t>
            </w:r>
          </w:p>
        </w:tc>
        <w:tc>
          <w:tcPr>
            <w:tcW w:w="655" w:type="dxa"/>
            <w:tcBorders>
              <w:top w:val="nil"/>
              <w:left w:val="nil"/>
              <w:bottom w:val="single" w:sz="4" w:space="0" w:color="auto"/>
              <w:right w:val="single" w:sz="4" w:space="0" w:color="auto"/>
            </w:tcBorders>
            <w:shd w:val="clear" w:color="auto" w:fill="auto"/>
            <w:noWrap/>
            <w:vAlign w:val="bottom"/>
            <w:hideMark/>
          </w:tcPr>
          <w:p w14:paraId="1E1615B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0.0147</w:t>
            </w:r>
          </w:p>
        </w:tc>
        <w:tc>
          <w:tcPr>
            <w:tcW w:w="825" w:type="dxa"/>
            <w:tcBorders>
              <w:top w:val="nil"/>
              <w:left w:val="nil"/>
              <w:bottom w:val="single" w:sz="4" w:space="0" w:color="auto"/>
              <w:right w:val="single" w:sz="4" w:space="0" w:color="auto"/>
            </w:tcBorders>
            <w:shd w:val="clear" w:color="000000" w:fill="E7E6E6"/>
            <w:noWrap/>
            <w:vAlign w:val="bottom"/>
            <w:hideMark/>
          </w:tcPr>
          <w:p w14:paraId="504BD975"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0.0147</w:t>
            </w:r>
          </w:p>
        </w:tc>
        <w:tc>
          <w:tcPr>
            <w:tcW w:w="655" w:type="dxa"/>
            <w:tcBorders>
              <w:top w:val="nil"/>
              <w:left w:val="nil"/>
              <w:bottom w:val="single" w:sz="4" w:space="0" w:color="auto"/>
              <w:right w:val="single" w:sz="4" w:space="0" w:color="auto"/>
            </w:tcBorders>
            <w:shd w:val="clear" w:color="auto" w:fill="auto"/>
            <w:noWrap/>
            <w:vAlign w:val="bottom"/>
            <w:hideMark/>
          </w:tcPr>
          <w:p w14:paraId="08E23E6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0.0074</w:t>
            </w:r>
          </w:p>
        </w:tc>
        <w:tc>
          <w:tcPr>
            <w:tcW w:w="825" w:type="dxa"/>
            <w:tcBorders>
              <w:top w:val="nil"/>
              <w:left w:val="nil"/>
              <w:bottom w:val="single" w:sz="4" w:space="0" w:color="auto"/>
              <w:right w:val="single" w:sz="4" w:space="0" w:color="auto"/>
            </w:tcBorders>
            <w:shd w:val="clear" w:color="000000" w:fill="E7E6E6"/>
            <w:noWrap/>
            <w:vAlign w:val="bottom"/>
            <w:hideMark/>
          </w:tcPr>
          <w:p w14:paraId="6A80307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0.0073</w:t>
            </w:r>
          </w:p>
        </w:tc>
      </w:tr>
      <w:tr w:rsidR="009A2EED" w:rsidRPr="00B02A01" w14:paraId="4C43DB41"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162836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&gt;2.69 to 5.0 GHz</w:t>
            </w:r>
          </w:p>
        </w:tc>
        <w:tc>
          <w:tcPr>
            <w:tcW w:w="655" w:type="dxa"/>
            <w:tcBorders>
              <w:top w:val="nil"/>
              <w:left w:val="nil"/>
              <w:bottom w:val="single" w:sz="4" w:space="0" w:color="auto"/>
              <w:right w:val="single" w:sz="4" w:space="0" w:color="auto"/>
            </w:tcBorders>
            <w:shd w:val="clear" w:color="auto" w:fill="auto"/>
            <w:noWrap/>
            <w:vAlign w:val="bottom"/>
            <w:hideMark/>
          </w:tcPr>
          <w:p w14:paraId="2B56FA3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0.2822</w:t>
            </w:r>
          </w:p>
        </w:tc>
        <w:tc>
          <w:tcPr>
            <w:tcW w:w="825" w:type="dxa"/>
            <w:tcBorders>
              <w:top w:val="nil"/>
              <w:left w:val="nil"/>
              <w:bottom w:val="single" w:sz="4" w:space="0" w:color="auto"/>
              <w:right w:val="single" w:sz="4" w:space="0" w:color="auto"/>
            </w:tcBorders>
            <w:shd w:val="clear" w:color="000000" w:fill="E7E6E6"/>
            <w:noWrap/>
            <w:vAlign w:val="bottom"/>
            <w:hideMark/>
          </w:tcPr>
          <w:p w14:paraId="42CA62A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0.2814</w:t>
            </w:r>
          </w:p>
        </w:tc>
        <w:tc>
          <w:tcPr>
            <w:tcW w:w="655" w:type="dxa"/>
            <w:tcBorders>
              <w:top w:val="nil"/>
              <w:left w:val="nil"/>
              <w:bottom w:val="single" w:sz="4" w:space="0" w:color="auto"/>
              <w:right w:val="single" w:sz="4" w:space="0" w:color="auto"/>
            </w:tcBorders>
            <w:shd w:val="clear" w:color="auto" w:fill="auto"/>
            <w:noWrap/>
            <w:vAlign w:val="bottom"/>
            <w:hideMark/>
          </w:tcPr>
          <w:p w14:paraId="69387E5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0.0524</w:t>
            </w:r>
          </w:p>
        </w:tc>
        <w:tc>
          <w:tcPr>
            <w:tcW w:w="825" w:type="dxa"/>
            <w:tcBorders>
              <w:top w:val="nil"/>
              <w:left w:val="nil"/>
              <w:bottom w:val="single" w:sz="4" w:space="0" w:color="auto"/>
              <w:right w:val="single" w:sz="4" w:space="0" w:color="auto"/>
            </w:tcBorders>
            <w:shd w:val="clear" w:color="000000" w:fill="E7E6E6"/>
            <w:noWrap/>
            <w:vAlign w:val="bottom"/>
            <w:hideMark/>
          </w:tcPr>
          <w:p w14:paraId="37545E6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0.0523</w:t>
            </w:r>
          </w:p>
        </w:tc>
        <w:tc>
          <w:tcPr>
            <w:tcW w:w="655" w:type="dxa"/>
            <w:tcBorders>
              <w:top w:val="nil"/>
              <w:left w:val="nil"/>
              <w:bottom w:val="single" w:sz="4" w:space="0" w:color="auto"/>
              <w:right w:val="single" w:sz="4" w:space="0" w:color="auto"/>
            </w:tcBorders>
            <w:shd w:val="clear" w:color="auto" w:fill="auto"/>
            <w:noWrap/>
            <w:vAlign w:val="bottom"/>
            <w:hideMark/>
          </w:tcPr>
          <w:p w14:paraId="3AB633C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0.0212</w:t>
            </w:r>
          </w:p>
        </w:tc>
        <w:tc>
          <w:tcPr>
            <w:tcW w:w="825" w:type="dxa"/>
            <w:tcBorders>
              <w:top w:val="nil"/>
              <w:left w:val="nil"/>
              <w:bottom w:val="single" w:sz="4" w:space="0" w:color="auto"/>
              <w:right w:val="single" w:sz="4" w:space="0" w:color="auto"/>
            </w:tcBorders>
            <w:shd w:val="clear" w:color="000000" w:fill="E7E6E6"/>
            <w:noWrap/>
            <w:vAlign w:val="bottom"/>
            <w:hideMark/>
          </w:tcPr>
          <w:p w14:paraId="7AECAF5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0.0212</w:t>
            </w:r>
          </w:p>
        </w:tc>
        <w:tc>
          <w:tcPr>
            <w:tcW w:w="655" w:type="dxa"/>
            <w:tcBorders>
              <w:top w:val="nil"/>
              <w:left w:val="nil"/>
              <w:bottom w:val="single" w:sz="4" w:space="0" w:color="auto"/>
              <w:right w:val="single" w:sz="4" w:space="0" w:color="auto"/>
            </w:tcBorders>
            <w:shd w:val="clear" w:color="auto" w:fill="auto"/>
            <w:noWrap/>
            <w:vAlign w:val="bottom"/>
            <w:hideMark/>
          </w:tcPr>
          <w:p w14:paraId="650F348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0.0176</w:t>
            </w:r>
          </w:p>
        </w:tc>
        <w:tc>
          <w:tcPr>
            <w:tcW w:w="825" w:type="dxa"/>
            <w:tcBorders>
              <w:top w:val="nil"/>
              <w:left w:val="nil"/>
              <w:bottom w:val="single" w:sz="4" w:space="0" w:color="auto"/>
              <w:right w:val="single" w:sz="4" w:space="0" w:color="auto"/>
            </w:tcBorders>
            <w:shd w:val="clear" w:color="000000" w:fill="E7E6E6"/>
            <w:noWrap/>
            <w:vAlign w:val="bottom"/>
            <w:hideMark/>
          </w:tcPr>
          <w:p w14:paraId="135E36F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0.0175</w:t>
            </w:r>
          </w:p>
        </w:tc>
        <w:tc>
          <w:tcPr>
            <w:tcW w:w="655" w:type="dxa"/>
            <w:tcBorders>
              <w:top w:val="nil"/>
              <w:left w:val="nil"/>
              <w:bottom w:val="single" w:sz="4" w:space="0" w:color="auto"/>
              <w:right w:val="single" w:sz="4" w:space="0" w:color="auto"/>
            </w:tcBorders>
            <w:shd w:val="clear" w:color="auto" w:fill="auto"/>
            <w:noWrap/>
            <w:vAlign w:val="bottom"/>
            <w:hideMark/>
          </w:tcPr>
          <w:p w14:paraId="206F967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0.0088</w:t>
            </w:r>
          </w:p>
        </w:tc>
        <w:tc>
          <w:tcPr>
            <w:tcW w:w="825" w:type="dxa"/>
            <w:tcBorders>
              <w:top w:val="nil"/>
              <w:left w:val="nil"/>
              <w:bottom w:val="single" w:sz="4" w:space="0" w:color="auto"/>
              <w:right w:val="single" w:sz="4" w:space="0" w:color="auto"/>
            </w:tcBorders>
            <w:shd w:val="clear" w:color="000000" w:fill="E7E6E6"/>
            <w:noWrap/>
            <w:vAlign w:val="bottom"/>
            <w:hideMark/>
          </w:tcPr>
          <w:p w14:paraId="73EC534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0.0088</w:t>
            </w:r>
          </w:p>
        </w:tc>
      </w:tr>
      <w:tr w:rsidR="009A2EED" w:rsidRPr="00B02A01" w14:paraId="1EB9C71D"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23F2E3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&gt;5.0 to 8.5 GHz</w:t>
            </w:r>
          </w:p>
        </w:tc>
        <w:tc>
          <w:tcPr>
            <w:tcW w:w="655" w:type="dxa"/>
            <w:tcBorders>
              <w:top w:val="nil"/>
              <w:left w:val="nil"/>
              <w:bottom w:val="single" w:sz="4" w:space="0" w:color="auto"/>
              <w:right w:val="single" w:sz="4" w:space="0" w:color="auto"/>
            </w:tcBorders>
            <w:shd w:val="clear" w:color="auto" w:fill="auto"/>
            <w:noWrap/>
            <w:vAlign w:val="bottom"/>
            <w:hideMark/>
          </w:tcPr>
          <w:p w14:paraId="2CDDF45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0.2383</w:t>
            </w:r>
          </w:p>
        </w:tc>
        <w:tc>
          <w:tcPr>
            <w:tcW w:w="825" w:type="dxa"/>
            <w:tcBorders>
              <w:top w:val="nil"/>
              <w:left w:val="nil"/>
              <w:bottom w:val="single" w:sz="4" w:space="0" w:color="auto"/>
              <w:right w:val="single" w:sz="4" w:space="0" w:color="auto"/>
            </w:tcBorders>
            <w:shd w:val="clear" w:color="000000" w:fill="E7E6E6"/>
            <w:noWrap/>
            <w:vAlign w:val="bottom"/>
            <w:hideMark/>
          </w:tcPr>
          <w:p w14:paraId="59F4669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0.1782</w:t>
            </w:r>
          </w:p>
        </w:tc>
        <w:tc>
          <w:tcPr>
            <w:tcW w:w="655" w:type="dxa"/>
            <w:tcBorders>
              <w:top w:val="nil"/>
              <w:left w:val="nil"/>
              <w:bottom w:val="single" w:sz="4" w:space="0" w:color="auto"/>
              <w:right w:val="single" w:sz="4" w:space="0" w:color="auto"/>
            </w:tcBorders>
            <w:shd w:val="clear" w:color="auto" w:fill="auto"/>
            <w:noWrap/>
            <w:vAlign w:val="bottom"/>
            <w:hideMark/>
          </w:tcPr>
          <w:p w14:paraId="101030F5"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0.0441</w:t>
            </w:r>
          </w:p>
        </w:tc>
        <w:tc>
          <w:tcPr>
            <w:tcW w:w="825" w:type="dxa"/>
            <w:tcBorders>
              <w:top w:val="nil"/>
              <w:left w:val="nil"/>
              <w:bottom w:val="single" w:sz="4" w:space="0" w:color="auto"/>
              <w:right w:val="single" w:sz="4" w:space="0" w:color="auto"/>
            </w:tcBorders>
            <w:shd w:val="clear" w:color="000000" w:fill="E7E6E6"/>
            <w:noWrap/>
            <w:vAlign w:val="bottom"/>
            <w:hideMark/>
          </w:tcPr>
          <w:p w14:paraId="5832DDC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0.0329</w:t>
            </w:r>
          </w:p>
        </w:tc>
        <w:tc>
          <w:tcPr>
            <w:tcW w:w="655" w:type="dxa"/>
            <w:tcBorders>
              <w:top w:val="nil"/>
              <w:left w:val="nil"/>
              <w:bottom w:val="single" w:sz="4" w:space="0" w:color="auto"/>
              <w:right w:val="single" w:sz="4" w:space="0" w:color="auto"/>
            </w:tcBorders>
            <w:shd w:val="clear" w:color="auto" w:fill="auto"/>
            <w:noWrap/>
            <w:vAlign w:val="bottom"/>
            <w:hideMark/>
          </w:tcPr>
          <w:p w14:paraId="3272ECA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0.0205</w:t>
            </w:r>
          </w:p>
        </w:tc>
        <w:tc>
          <w:tcPr>
            <w:tcW w:w="825" w:type="dxa"/>
            <w:tcBorders>
              <w:top w:val="nil"/>
              <w:left w:val="nil"/>
              <w:bottom w:val="single" w:sz="4" w:space="0" w:color="auto"/>
              <w:right w:val="single" w:sz="4" w:space="0" w:color="auto"/>
            </w:tcBorders>
            <w:shd w:val="clear" w:color="000000" w:fill="E7E6E6"/>
            <w:noWrap/>
            <w:vAlign w:val="bottom"/>
            <w:hideMark/>
          </w:tcPr>
          <w:p w14:paraId="7DEE19A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0.0153</w:t>
            </w:r>
          </w:p>
        </w:tc>
        <w:tc>
          <w:tcPr>
            <w:tcW w:w="655" w:type="dxa"/>
            <w:tcBorders>
              <w:top w:val="nil"/>
              <w:left w:val="nil"/>
              <w:bottom w:val="single" w:sz="4" w:space="0" w:color="auto"/>
              <w:right w:val="single" w:sz="4" w:space="0" w:color="auto"/>
            </w:tcBorders>
            <w:shd w:val="clear" w:color="auto" w:fill="auto"/>
            <w:noWrap/>
            <w:vAlign w:val="bottom"/>
            <w:hideMark/>
          </w:tcPr>
          <w:p w14:paraId="325A60E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0.0093</w:t>
            </w:r>
          </w:p>
        </w:tc>
        <w:tc>
          <w:tcPr>
            <w:tcW w:w="825" w:type="dxa"/>
            <w:tcBorders>
              <w:top w:val="nil"/>
              <w:left w:val="nil"/>
              <w:bottom w:val="single" w:sz="4" w:space="0" w:color="auto"/>
              <w:right w:val="single" w:sz="4" w:space="0" w:color="auto"/>
            </w:tcBorders>
            <w:shd w:val="clear" w:color="000000" w:fill="E7E6E6"/>
            <w:noWrap/>
            <w:vAlign w:val="bottom"/>
            <w:hideMark/>
          </w:tcPr>
          <w:p w14:paraId="50452E5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0.0070</w:t>
            </w:r>
          </w:p>
        </w:tc>
        <w:tc>
          <w:tcPr>
            <w:tcW w:w="655" w:type="dxa"/>
            <w:tcBorders>
              <w:top w:val="nil"/>
              <w:left w:val="nil"/>
              <w:bottom w:val="single" w:sz="4" w:space="0" w:color="auto"/>
              <w:right w:val="single" w:sz="4" w:space="0" w:color="auto"/>
            </w:tcBorders>
            <w:shd w:val="clear" w:color="auto" w:fill="auto"/>
            <w:noWrap/>
            <w:vAlign w:val="bottom"/>
            <w:hideMark/>
          </w:tcPr>
          <w:p w14:paraId="09100CC3"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0.0045</w:t>
            </w:r>
          </w:p>
        </w:tc>
        <w:tc>
          <w:tcPr>
            <w:tcW w:w="825" w:type="dxa"/>
            <w:tcBorders>
              <w:top w:val="nil"/>
              <w:left w:val="nil"/>
              <w:bottom w:val="single" w:sz="4" w:space="0" w:color="auto"/>
              <w:right w:val="single" w:sz="4" w:space="0" w:color="auto"/>
            </w:tcBorders>
            <w:shd w:val="clear" w:color="000000" w:fill="E7E6E6"/>
            <w:noWrap/>
            <w:vAlign w:val="bottom"/>
            <w:hideMark/>
          </w:tcPr>
          <w:p w14:paraId="47C6550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0.0034</w:t>
            </w:r>
          </w:p>
        </w:tc>
      </w:tr>
      <w:tr w:rsidR="009A2EED" w:rsidRPr="00B02A01" w14:paraId="281199E3"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81872E2" w14:textId="77777777" w:rsidR="00B02A01" w:rsidRPr="00B02A01" w:rsidRDefault="00B02A01" w:rsidP="00B02A01">
            <w:pPr>
              <w:spacing w:after="0" w:line="240" w:lineRule="auto"/>
              <w:rPr>
                <w:rFonts w:cs="Arial"/>
                <w:color w:val="000000"/>
                <w:sz w:val="12"/>
                <w:szCs w:val="12"/>
              </w:rPr>
            </w:pPr>
            <w:bookmarkStart w:id="84" w:name="RANGE!B97"/>
            <w:r w:rsidRPr="00B02A01">
              <w:rPr>
                <w:rFonts w:cs="Arial"/>
                <w:color w:val="000000"/>
                <w:sz w:val="12"/>
                <w:szCs w:val="12"/>
              </w:rPr>
              <w:t>&gt;8.5 to 14.5 GHz</w:t>
            </w:r>
            <w:bookmarkEnd w:id="84"/>
          </w:p>
        </w:tc>
        <w:tc>
          <w:tcPr>
            <w:tcW w:w="655" w:type="dxa"/>
            <w:tcBorders>
              <w:top w:val="nil"/>
              <w:left w:val="nil"/>
              <w:bottom w:val="single" w:sz="4" w:space="0" w:color="auto"/>
              <w:right w:val="single" w:sz="4" w:space="0" w:color="auto"/>
            </w:tcBorders>
            <w:shd w:val="clear" w:color="auto" w:fill="auto"/>
            <w:noWrap/>
            <w:vAlign w:val="bottom"/>
            <w:hideMark/>
          </w:tcPr>
          <w:p w14:paraId="3CFC2FA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0.1050</w:t>
            </w:r>
          </w:p>
        </w:tc>
        <w:tc>
          <w:tcPr>
            <w:tcW w:w="825" w:type="dxa"/>
            <w:tcBorders>
              <w:top w:val="nil"/>
              <w:left w:val="nil"/>
              <w:bottom w:val="single" w:sz="4" w:space="0" w:color="auto"/>
              <w:right w:val="single" w:sz="4" w:space="0" w:color="auto"/>
            </w:tcBorders>
            <w:shd w:val="clear" w:color="000000" w:fill="E7E6E6"/>
            <w:noWrap/>
            <w:vAlign w:val="bottom"/>
            <w:hideMark/>
          </w:tcPr>
          <w:p w14:paraId="31BCF48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0.0523</w:t>
            </w:r>
          </w:p>
        </w:tc>
        <w:tc>
          <w:tcPr>
            <w:tcW w:w="655" w:type="dxa"/>
            <w:tcBorders>
              <w:top w:val="nil"/>
              <w:left w:val="nil"/>
              <w:bottom w:val="single" w:sz="4" w:space="0" w:color="auto"/>
              <w:right w:val="single" w:sz="4" w:space="0" w:color="auto"/>
            </w:tcBorders>
            <w:shd w:val="clear" w:color="auto" w:fill="auto"/>
            <w:noWrap/>
            <w:vAlign w:val="bottom"/>
            <w:hideMark/>
          </w:tcPr>
          <w:p w14:paraId="38FED21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0.0378</w:t>
            </w:r>
          </w:p>
        </w:tc>
        <w:tc>
          <w:tcPr>
            <w:tcW w:w="825" w:type="dxa"/>
            <w:tcBorders>
              <w:top w:val="nil"/>
              <w:left w:val="nil"/>
              <w:bottom w:val="single" w:sz="4" w:space="0" w:color="auto"/>
              <w:right w:val="single" w:sz="4" w:space="0" w:color="auto"/>
            </w:tcBorders>
            <w:shd w:val="clear" w:color="000000" w:fill="E7E6E6"/>
            <w:noWrap/>
            <w:vAlign w:val="bottom"/>
            <w:hideMark/>
          </w:tcPr>
          <w:p w14:paraId="22CE826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0.0188</w:t>
            </w:r>
          </w:p>
        </w:tc>
        <w:tc>
          <w:tcPr>
            <w:tcW w:w="655" w:type="dxa"/>
            <w:tcBorders>
              <w:top w:val="nil"/>
              <w:left w:val="nil"/>
              <w:bottom w:val="single" w:sz="4" w:space="0" w:color="auto"/>
              <w:right w:val="single" w:sz="4" w:space="0" w:color="auto"/>
            </w:tcBorders>
            <w:shd w:val="clear" w:color="auto" w:fill="auto"/>
            <w:noWrap/>
            <w:vAlign w:val="bottom"/>
            <w:hideMark/>
          </w:tcPr>
          <w:p w14:paraId="676DEFF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0.0089</w:t>
            </w:r>
          </w:p>
        </w:tc>
        <w:tc>
          <w:tcPr>
            <w:tcW w:w="825" w:type="dxa"/>
            <w:tcBorders>
              <w:top w:val="nil"/>
              <w:left w:val="nil"/>
              <w:bottom w:val="single" w:sz="4" w:space="0" w:color="auto"/>
              <w:right w:val="single" w:sz="4" w:space="0" w:color="auto"/>
            </w:tcBorders>
            <w:shd w:val="clear" w:color="000000" w:fill="E7E6E6"/>
            <w:noWrap/>
            <w:vAlign w:val="bottom"/>
            <w:hideMark/>
          </w:tcPr>
          <w:p w14:paraId="7F9C30F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0.0045</w:t>
            </w:r>
          </w:p>
        </w:tc>
        <w:tc>
          <w:tcPr>
            <w:tcW w:w="655" w:type="dxa"/>
            <w:tcBorders>
              <w:top w:val="nil"/>
              <w:left w:val="nil"/>
              <w:bottom w:val="single" w:sz="4" w:space="0" w:color="auto"/>
              <w:right w:val="single" w:sz="4" w:space="0" w:color="auto"/>
            </w:tcBorders>
            <w:shd w:val="clear" w:color="auto" w:fill="auto"/>
            <w:noWrap/>
            <w:vAlign w:val="bottom"/>
            <w:hideMark/>
          </w:tcPr>
          <w:p w14:paraId="2610850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0.0007</w:t>
            </w:r>
          </w:p>
        </w:tc>
        <w:tc>
          <w:tcPr>
            <w:tcW w:w="825" w:type="dxa"/>
            <w:tcBorders>
              <w:top w:val="nil"/>
              <w:left w:val="nil"/>
              <w:bottom w:val="single" w:sz="4" w:space="0" w:color="auto"/>
              <w:right w:val="single" w:sz="4" w:space="0" w:color="auto"/>
            </w:tcBorders>
            <w:shd w:val="clear" w:color="000000" w:fill="E7E6E6"/>
            <w:noWrap/>
            <w:vAlign w:val="bottom"/>
            <w:hideMark/>
          </w:tcPr>
          <w:p w14:paraId="62CCF21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6B70B9FE"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5E9C2A5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0.0002</w:t>
            </w:r>
          </w:p>
        </w:tc>
      </w:tr>
      <w:tr w:rsidR="009A2EED" w:rsidRPr="00B02A01" w14:paraId="5DAC55A8"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494F1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&gt;14.5 to 31.3 GHz</w:t>
            </w:r>
          </w:p>
        </w:tc>
        <w:tc>
          <w:tcPr>
            <w:tcW w:w="655" w:type="dxa"/>
            <w:tcBorders>
              <w:top w:val="nil"/>
              <w:left w:val="nil"/>
              <w:bottom w:val="single" w:sz="4" w:space="0" w:color="auto"/>
              <w:right w:val="single" w:sz="4" w:space="0" w:color="auto"/>
            </w:tcBorders>
            <w:shd w:val="clear" w:color="auto" w:fill="auto"/>
            <w:noWrap/>
            <w:vAlign w:val="bottom"/>
            <w:hideMark/>
          </w:tcPr>
          <w:p w14:paraId="056CE77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0.1050</w:t>
            </w:r>
          </w:p>
        </w:tc>
        <w:tc>
          <w:tcPr>
            <w:tcW w:w="825" w:type="dxa"/>
            <w:tcBorders>
              <w:top w:val="nil"/>
              <w:left w:val="nil"/>
              <w:bottom w:val="single" w:sz="4" w:space="0" w:color="auto"/>
              <w:right w:val="single" w:sz="4" w:space="0" w:color="auto"/>
            </w:tcBorders>
            <w:shd w:val="clear" w:color="000000" w:fill="E7E6E6"/>
            <w:noWrap/>
            <w:vAlign w:val="bottom"/>
            <w:hideMark/>
          </w:tcPr>
          <w:p w14:paraId="3DF8E1ED"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0.0105</w:t>
            </w:r>
          </w:p>
        </w:tc>
        <w:tc>
          <w:tcPr>
            <w:tcW w:w="655" w:type="dxa"/>
            <w:tcBorders>
              <w:top w:val="nil"/>
              <w:left w:val="nil"/>
              <w:bottom w:val="single" w:sz="4" w:space="0" w:color="auto"/>
              <w:right w:val="single" w:sz="4" w:space="0" w:color="auto"/>
            </w:tcBorders>
            <w:shd w:val="clear" w:color="auto" w:fill="auto"/>
            <w:noWrap/>
            <w:vAlign w:val="bottom"/>
            <w:hideMark/>
          </w:tcPr>
          <w:p w14:paraId="10001A3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0.0280</w:t>
            </w:r>
          </w:p>
        </w:tc>
        <w:tc>
          <w:tcPr>
            <w:tcW w:w="825" w:type="dxa"/>
            <w:tcBorders>
              <w:top w:val="nil"/>
              <w:left w:val="nil"/>
              <w:bottom w:val="single" w:sz="4" w:space="0" w:color="auto"/>
              <w:right w:val="single" w:sz="4" w:space="0" w:color="auto"/>
            </w:tcBorders>
            <w:shd w:val="clear" w:color="000000" w:fill="E7E6E6"/>
            <w:noWrap/>
            <w:vAlign w:val="bottom"/>
            <w:hideMark/>
          </w:tcPr>
          <w:p w14:paraId="6EF97C2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0.0028</w:t>
            </w:r>
          </w:p>
        </w:tc>
        <w:tc>
          <w:tcPr>
            <w:tcW w:w="655" w:type="dxa"/>
            <w:tcBorders>
              <w:top w:val="nil"/>
              <w:left w:val="nil"/>
              <w:bottom w:val="single" w:sz="4" w:space="0" w:color="auto"/>
              <w:right w:val="single" w:sz="4" w:space="0" w:color="auto"/>
            </w:tcBorders>
            <w:shd w:val="clear" w:color="auto" w:fill="auto"/>
            <w:noWrap/>
            <w:vAlign w:val="bottom"/>
            <w:hideMark/>
          </w:tcPr>
          <w:p w14:paraId="741CC06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0.0061</w:t>
            </w:r>
          </w:p>
        </w:tc>
        <w:tc>
          <w:tcPr>
            <w:tcW w:w="825" w:type="dxa"/>
            <w:tcBorders>
              <w:top w:val="nil"/>
              <w:left w:val="nil"/>
              <w:bottom w:val="single" w:sz="4" w:space="0" w:color="auto"/>
              <w:right w:val="single" w:sz="4" w:space="0" w:color="auto"/>
            </w:tcBorders>
            <w:shd w:val="clear" w:color="000000" w:fill="E7E6E6"/>
            <w:noWrap/>
            <w:vAlign w:val="bottom"/>
            <w:hideMark/>
          </w:tcPr>
          <w:p w14:paraId="0E0E205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0.0006</w:t>
            </w:r>
          </w:p>
        </w:tc>
        <w:tc>
          <w:tcPr>
            <w:tcW w:w="655" w:type="dxa"/>
            <w:tcBorders>
              <w:top w:val="nil"/>
              <w:left w:val="nil"/>
              <w:bottom w:val="single" w:sz="4" w:space="0" w:color="auto"/>
              <w:right w:val="single" w:sz="4" w:space="0" w:color="auto"/>
            </w:tcBorders>
            <w:shd w:val="clear" w:color="auto" w:fill="auto"/>
            <w:noWrap/>
            <w:vAlign w:val="bottom"/>
            <w:hideMark/>
          </w:tcPr>
          <w:p w14:paraId="4EFB52E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0.0007</w:t>
            </w:r>
          </w:p>
        </w:tc>
        <w:tc>
          <w:tcPr>
            <w:tcW w:w="825" w:type="dxa"/>
            <w:tcBorders>
              <w:top w:val="nil"/>
              <w:left w:val="nil"/>
              <w:bottom w:val="single" w:sz="4" w:space="0" w:color="auto"/>
              <w:right w:val="single" w:sz="4" w:space="0" w:color="auto"/>
            </w:tcBorders>
            <w:shd w:val="clear" w:color="000000" w:fill="E7E6E6"/>
            <w:noWrap/>
            <w:vAlign w:val="bottom"/>
            <w:hideMark/>
          </w:tcPr>
          <w:p w14:paraId="1AA7D1E4"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332BE23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3592D96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r>
      <w:tr w:rsidR="009A2EED" w:rsidRPr="00B02A01" w14:paraId="5F9E64AD"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5F022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&gt;31.3 to 51.4 GHz</w:t>
            </w:r>
          </w:p>
        </w:tc>
        <w:tc>
          <w:tcPr>
            <w:tcW w:w="655" w:type="dxa"/>
            <w:tcBorders>
              <w:top w:val="nil"/>
              <w:left w:val="nil"/>
              <w:bottom w:val="single" w:sz="4" w:space="0" w:color="auto"/>
              <w:right w:val="single" w:sz="4" w:space="0" w:color="auto"/>
            </w:tcBorders>
            <w:shd w:val="clear" w:color="auto" w:fill="auto"/>
            <w:noWrap/>
            <w:vAlign w:val="bottom"/>
            <w:hideMark/>
          </w:tcPr>
          <w:p w14:paraId="52E31A4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0.0286</w:t>
            </w:r>
          </w:p>
        </w:tc>
        <w:tc>
          <w:tcPr>
            <w:tcW w:w="825" w:type="dxa"/>
            <w:tcBorders>
              <w:top w:val="nil"/>
              <w:left w:val="nil"/>
              <w:bottom w:val="single" w:sz="4" w:space="0" w:color="auto"/>
              <w:right w:val="single" w:sz="4" w:space="0" w:color="auto"/>
            </w:tcBorders>
            <w:shd w:val="clear" w:color="000000" w:fill="E7E6E6"/>
            <w:noWrap/>
            <w:vAlign w:val="bottom"/>
            <w:hideMark/>
          </w:tcPr>
          <w:p w14:paraId="6D746D9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0.0029</w:t>
            </w:r>
          </w:p>
        </w:tc>
        <w:tc>
          <w:tcPr>
            <w:tcW w:w="655" w:type="dxa"/>
            <w:tcBorders>
              <w:top w:val="nil"/>
              <w:left w:val="nil"/>
              <w:bottom w:val="single" w:sz="4" w:space="0" w:color="auto"/>
              <w:right w:val="single" w:sz="4" w:space="0" w:color="auto"/>
            </w:tcBorders>
            <w:shd w:val="clear" w:color="auto" w:fill="auto"/>
            <w:noWrap/>
            <w:vAlign w:val="bottom"/>
            <w:hideMark/>
          </w:tcPr>
          <w:p w14:paraId="269CF221"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0.0153</w:t>
            </w:r>
          </w:p>
        </w:tc>
        <w:tc>
          <w:tcPr>
            <w:tcW w:w="825" w:type="dxa"/>
            <w:tcBorders>
              <w:top w:val="nil"/>
              <w:left w:val="nil"/>
              <w:bottom w:val="single" w:sz="4" w:space="0" w:color="auto"/>
              <w:right w:val="single" w:sz="4" w:space="0" w:color="auto"/>
            </w:tcBorders>
            <w:shd w:val="clear" w:color="000000" w:fill="E7E6E6"/>
            <w:noWrap/>
            <w:vAlign w:val="bottom"/>
            <w:hideMark/>
          </w:tcPr>
          <w:p w14:paraId="6E019F59"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0.0015</w:t>
            </w:r>
          </w:p>
        </w:tc>
        <w:tc>
          <w:tcPr>
            <w:tcW w:w="655" w:type="dxa"/>
            <w:tcBorders>
              <w:top w:val="nil"/>
              <w:left w:val="nil"/>
              <w:bottom w:val="single" w:sz="4" w:space="0" w:color="auto"/>
              <w:right w:val="single" w:sz="4" w:space="0" w:color="auto"/>
            </w:tcBorders>
            <w:shd w:val="clear" w:color="auto" w:fill="auto"/>
            <w:noWrap/>
            <w:vAlign w:val="bottom"/>
            <w:hideMark/>
          </w:tcPr>
          <w:p w14:paraId="4F4AFE7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0.0033</w:t>
            </w:r>
          </w:p>
        </w:tc>
        <w:tc>
          <w:tcPr>
            <w:tcW w:w="825" w:type="dxa"/>
            <w:tcBorders>
              <w:top w:val="nil"/>
              <w:left w:val="nil"/>
              <w:bottom w:val="single" w:sz="4" w:space="0" w:color="auto"/>
              <w:right w:val="single" w:sz="4" w:space="0" w:color="auto"/>
            </w:tcBorders>
            <w:shd w:val="clear" w:color="000000" w:fill="E7E6E6"/>
            <w:noWrap/>
            <w:vAlign w:val="bottom"/>
            <w:hideMark/>
          </w:tcPr>
          <w:p w14:paraId="0B11BD48"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42972BA7"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3C727DDC"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0F5332BF"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05CE8A5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r>
      <w:tr w:rsidR="009A2EED" w:rsidRPr="00B02A01" w14:paraId="080F56D6" w14:textId="77777777" w:rsidTr="00B02A01">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A8933B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&gt;51.4 GHz</w:t>
            </w:r>
          </w:p>
        </w:tc>
        <w:tc>
          <w:tcPr>
            <w:tcW w:w="655" w:type="dxa"/>
            <w:tcBorders>
              <w:top w:val="nil"/>
              <w:left w:val="nil"/>
              <w:bottom w:val="single" w:sz="4" w:space="0" w:color="auto"/>
              <w:right w:val="single" w:sz="4" w:space="0" w:color="auto"/>
            </w:tcBorders>
            <w:shd w:val="clear" w:color="auto" w:fill="auto"/>
            <w:noWrap/>
            <w:vAlign w:val="bottom"/>
            <w:hideMark/>
          </w:tcPr>
          <w:p w14:paraId="5C91B86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0.0028</w:t>
            </w:r>
          </w:p>
        </w:tc>
        <w:tc>
          <w:tcPr>
            <w:tcW w:w="825" w:type="dxa"/>
            <w:tcBorders>
              <w:top w:val="nil"/>
              <w:left w:val="nil"/>
              <w:bottom w:val="single" w:sz="4" w:space="0" w:color="auto"/>
              <w:right w:val="single" w:sz="4" w:space="0" w:color="auto"/>
            </w:tcBorders>
            <w:shd w:val="clear" w:color="000000" w:fill="E7E6E6"/>
            <w:noWrap/>
            <w:vAlign w:val="bottom"/>
            <w:hideMark/>
          </w:tcPr>
          <w:p w14:paraId="5D5C988B"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4454E4C3"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07D8E5A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26EE34B2"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1B68570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0CDF4A2A"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6D2CDD9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6D3DA366"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70B26D13" w14:textId="77777777" w:rsidR="00B02A01" w:rsidRPr="00B02A01" w:rsidRDefault="00B02A01" w:rsidP="00B02A01">
            <w:pPr>
              <w:spacing w:after="0" w:line="240" w:lineRule="auto"/>
              <w:rPr>
                <w:rFonts w:cs="Arial"/>
                <w:color w:val="000000"/>
                <w:sz w:val="12"/>
                <w:szCs w:val="12"/>
              </w:rPr>
            </w:pPr>
            <w:r w:rsidRPr="00B02A01">
              <w:rPr>
                <w:rFonts w:cs="Arial"/>
                <w:color w:val="000000"/>
                <w:sz w:val="12"/>
                <w:szCs w:val="12"/>
              </w:rPr>
              <w:t>0.0000</w:t>
            </w:r>
          </w:p>
        </w:tc>
      </w:tr>
    </w:tbl>
    <w:p w14:paraId="69E0BD7E" w14:textId="5CDA8D7D" w:rsidR="002C1D80" w:rsidRDefault="00390705" w:rsidP="0047202C">
      <w:pPr>
        <w:pStyle w:val="Tableorfigurenote"/>
      </w:pPr>
      <w:r>
        <w:t>* These taxes relate to Table 20</w:t>
      </w:r>
      <w:r w:rsidR="00673185">
        <w:t>6</w:t>
      </w:r>
      <w:r>
        <w:t xml:space="preserve"> in the Transmitter Licence </w:t>
      </w:r>
      <w:r w:rsidR="005A720D">
        <w:t>T</w:t>
      </w:r>
      <w:r>
        <w:t>ax Determination</w:t>
      </w:r>
      <w:r w:rsidR="002D28B7">
        <w:t>.</w:t>
      </w:r>
      <w:r>
        <w:t xml:space="preserve"> </w:t>
      </w:r>
    </w:p>
    <w:p w14:paraId="34E29E34" w14:textId="2F6277E4" w:rsidR="00362549" w:rsidRPr="00046DA5" w:rsidRDefault="00362549" w:rsidP="00F16AB6">
      <w:pPr>
        <w:pStyle w:val="Heading3"/>
        <w:spacing w:after="80"/>
      </w:pPr>
      <w:r>
        <w:t xml:space="preserve">Division </w:t>
      </w:r>
      <w:r w:rsidR="00DB03EE">
        <w:t>2</w:t>
      </w:r>
      <w:r w:rsidR="00754DCC">
        <w:t xml:space="preserve"> of the </w:t>
      </w:r>
      <w:r w:rsidR="000C6D91">
        <w:t>Apparatus Licence Fee Schedule</w:t>
      </w:r>
      <w:r w:rsidR="000C6D91" w:rsidDel="000C6D91">
        <w:t xml:space="preserve"> </w:t>
      </w:r>
      <w:r w:rsidR="000C6D91">
        <w:t>– f</w:t>
      </w:r>
      <w:r w:rsidR="00DB03EE">
        <w:t>ixed point-to-point licen</w:t>
      </w:r>
      <w:r w:rsidR="00B837F2">
        <w:t>c</w:t>
      </w:r>
      <w:r w:rsidR="00DB03EE">
        <w:t>es</w:t>
      </w:r>
    </w:p>
    <w:p w14:paraId="5C0A45AD" w14:textId="0C6B3555" w:rsidR="00362549" w:rsidRDefault="00362549" w:rsidP="00F16AB6">
      <w:pPr>
        <w:pStyle w:val="Paragraph"/>
        <w:tabs>
          <w:tab w:val="left" w:pos="720"/>
        </w:tabs>
        <w:spacing w:after="80"/>
      </w:pPr>
      <w:r w:rsidRPr="00411DF3">
        <w:t xml:space="preserve">Table </w:t>
      </w:r>
      <w:r w:rsidR="00DB03EE" w:rsidRPr="00411DF3">
        <w:t>9</w:t>
      </w:r>
      <w:r w:rsidR="00A65128" w:rsidRPr="00411DF3">
        <w:t xml:space="preserve"> of the </w:t>
      </w:r>
      <w:r w:rsidR="000C6D91" w:rsidRPr="00411DF3">
        <w:t>Apparatus Licence Fee Schedule</w:t>
      </w:r>
      <w:r w:rsidRPr="00411DF3">
        <w:t>. Annual licen</w:t>
      </w:r>
      <w:r w:rsidR="00B837F2" w:rsidRPr="00411DF3">
        <w:t>c</w:t>
      </w:r>
      <w:r w:rsidRPr="00411DF3">
        <w:t>e tax ($ per kHz</w:t>
      </w:r>
      <w:proofErr w:type="gramStart"/>
      <w:r w:rsidRPr="00411DF3">
        <w:t>)</w:t>
      </w:r>
      <w:r w:rsidR="000C6D91" w:rsidRPr="00411DF3">
        <w:t>.</w:t>
      </w:r>
      <w:r w:rsidR="00BB19CB">
        <w:t>*</w:t>
      </w:r>
      <w:proofErr w:type="gramEnd"/>
      <w:r w:rsidR="000C6D91">
        <w:t xml:space="preserve"> </w:t>
      </w:r>
    </w:p>
    <w:tbl>
      <w:tblPr>
        <w:tblW w:w="8820" w:type="dxa"/>
        <w:tblLook w:val="04A0" w:firstRow="1" w:lastRow="0" w:firstColumn="1" w:lastColumn="0" w:noHBand="0" w:noVBand="1"/>
      </w:tblPr>
      <w:tblGrid>
        <w:gridCol w:w="1420"/>
        <w:gridCol w:w="655"/>
        <w:gridCol w:w="825"/>
        <w:gridCol w:w="655"/>
        <w:gridCol w:w="825"/>
        <w:gridCol w:w="655"/>
        <w:gridCol w:w="825"/>
        <w:gridCol w:w="655"/>
        <w:gridCol w:w="825"/>
        <w:gridCol w:w="655"/>
        <w:gridCol w:w="825"/>
      </w:tblGrid>
      <w:tr w:rsidR="004C50A0" w:rsidRPr="004C50A0" w14:paraId="5D1FE8BC" w14:textId="77777777" w:rsidTr="004C50A0">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2E15F368"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Spectrum location</w:t>
            </w:r>
          </w:p>
        </w:tc>
        <w:tc>
          <w:tcPr>
            <w:tcW w:w="7400" w:type="dxa"/>
            <w:gridSpan w:val="10"/>
            <w:tcBorders>
              <w:top w:val="nil"/>
              <w:left w:val="nil"/>
              <w:bottom w:val="nil"/>
              <w:right w:val="nil"/>
            </w:tcBorders>
            <w:shd w:val="clear" w:color="000000" w:fill="404040"/>
            <w:noWrap/>
            <w:vAlign w:val="bottom"/>
            <w:hideMark/>
          </w:tcPr>
          <w:p w14:paraId="1B27B38D"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Geographic location</w:t>
            </w:r>
          </w:p>
        </w:tc>
      </w:tr>
      <w:tr w:rsidR="004C50A0" w:rsidRPr="004C50A0" w14:paraId="5B80F8C8" w14:textId="77777777" w:rsidTr="004C50A0">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2C305D33" w14:textId="77777777" w:rsidR="004C50A0" w:rsidRPr="004C50A0" w:rsidRDefault="004C50A0" w:rsidP="004C50A0">
            <w:pPr>
              <w:spacing w:after="0" w:line="240" w:lineRule="auto"/>
              <w:rPr>
                <w:rFonts w:cs="Arial"/>
                <w:b/>
                <w:bCs/>
                <w:color w:val="FFFFFF"/>
                <w:sz w:val="12"/>
                <w:szCs w:val="12"/>
              </w:rPr>
            </w:pP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56742C64"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Australia-wide</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41D7E161"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High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11EE130B"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Medium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755D4770"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Low density</w:t>
            </w:r>
          </w:p>
        </w:tc>
        <w:tc>
          <w:tcPr>
            <w:tcW w:w="1480" w:type="dxa"/>
            <w:gridSpan w:val="2"/>
            <w:tcBorders>
              <w:top w:val="nil"/>
              <w:left w:val="nil"/>
              <w:bottom w:val="nil"/>
              <w:right w:val="nil"/>
            </w:tcBorders>
            <w:shd w:val="clear" w:color="000000" w:fill="404040"/>
            <w:noWrap/>
            <w:vAlign w:val="bottom"/>
            <w:hideMark/>
          </w:tcPr>
          <w:p w14:paraId="168A879B"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Remote density</w:t>
            </w:r>
          </w:p>
        </w:tc>
      </w:tr>
      <w:tr w:rsidR="004C50A0" w:rsidRPr="004C50A0" w14:paraId="4152A9FD" w14:textId="77777777" w:rsidTr="004C50A0">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7DD508B0" w14:textId="77777777" w:rsidR="004C50A0" w:rsidRPr="004C50A0" w:rsidRDefault="004C50A0" w:rsidP="004C50A0">
            <w:pPr>
              <w:spacing w:after="0" w:line="240" w:lineRule="auto"/>
              <w:rPr>
                <w:rFonts w:cs="Arial"/>
                <w:b/>
                <w:bCs/>
                <w:color w:val="FFFFFF"/>
                <w:sz w:val="12"/>
                <w:szCs w:val="12"/>
              </w:rPr>
            </w:pPr>
          </w:p>
        </w:tc>
        <w:tc>
          <w:tcPr>
            <w:tcW w:w="655" w:type="dxa"/>
            <w:tcBorders>
              <w:top w:val="nil"/>
              <w:left w:val="nil"/>
              <w:bottom w:val="single" w:sz="4" w:space="0" w:color="auto"/>
              <w:right w:val="single" w:sz="4" w:space="0" w:color="auto"/>
            </w:tcBorders>
            <w:shd w:val="clear" w:color="000000" w:fill="404040"/>
            <w:noWrap/>
            <w:vAlign w:val="bottom"/>
            <w:hideMark/>
          </w:tcPr>
          <w:p w14:paraId="70BB47B0"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5BBA1F99"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0E5B29BF"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5A5D2CD9"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438E5DF8"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47B7C477"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6FF8ED1B"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BAD29E2"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7D2C8D5A"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3137B620" w14:textId="77777777" w:rsidR="004C50A0" w:rsidRPr="004C50A0" w:rsidRDefault="004C50A0" w:rsidP="004C50A0">
            <w:pPr>
              <w:spacing w:after="0" w:line="240" w:lineRule="auto"/>
              <w:rPr>
                <w:rFonts w:cs="Arial"/>
                <w:b/>
                <w:bCs/>
                <w:color w:val="FFFFFF"/>
                <w:sz w:val="12"/>
                <w:szCs w:val="12"/>
              </w:rPr>
            </w:pPr>
            <w:r w:rsidRPr="004C50A0">
              <w:rPr>
                <w:rFonts w:cs="Arial"/>
                <w:b/>
                <w:bCs/>
                <w:color w:val="FFFFFF"/>
                <w:sz w:val="12"/>
                <w:szCs w:val="12"/>
              </w:rPr>
              <w:t>Proposed</w:t>
            </w:r>
          </w:p>
        </w:tc>
      </w:tr>
      <w:tr w:rsidR="00B235E8" w:rsidRPr="004C50A0" w14:paraId="29067ADD"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B5029E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 xml:space="preserve"> 0 to 30 MHz</w:t>
            </w:r>
          </w:p>
        </w:tc>
        <w:tc>
          <w:tcPr>
            <w:tcW w:w="655" w:type="dxa"/>
            <w:tcBorders>
              <w:top w:val="nil"/>
              <w:left w:val="nil"/>
              <w:bottom w:val="single" w:sz="4" w:space="0" w:color="auto"/>
              <w:right w:val="single" w:sz="4" w:space="0" w:color="auto"/>
            </w:tcBorders>
            <w:shd w:val="clear" w:color="auto" w:fill="auto"/>
            <w:noWrap/>
            <w:vAlign w:val="bottom"/>
            <w:hideMark/>
          </w:tcPr>
          <w:p w14:paraId="6D633D7B"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22.5674</w:t>
            </w:r>
          </w:p>
        </w:tc>
        <w:tc>
          <w:tcPr>
            <w:tcW w:w="825" w:type="dxa"/>
            <w:tcBorders>
              <w:top w:val="nil"/>
              <w:left w:val="nil"/>
              <w:bottom w:val="single" w:sz="4" w:space="0" w:color="auto"/>
              <w:right w:val="single" w:sz="4" w:space="0" w:color="auto"/>
            </w:tcBorders>
            <w:shd w:val="clear" w:color="000000" w:fill="E7E6E6"/>
            <w:noWrap/>
            <w:vAlign w:val="bottom"/>
            <w:hideMark/>
          </w:tcPr>
          <w:p w14:paraId="133A7FF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22.4997</w:t>
            </w:r>
          </w:p>
        </w:tc>
        <w:tc>
          <w:tcPr>
            <w:tcW w:w="655" w:type="dxa"/>
            <w:tcBorders>
              <w:top w:val="nil"/>
              <w:left w:val="nil"/>
              <w:bottom w:val="single" w:sz="4" w:space="0" w:color="auto"/>
              <w:right w:val="single" w:sz="4" w:space="0" w:color="auto"/>
            </w:tcBorders>
            <w:shd w:val="clear" w:color="auto" w:fill="auto"/>
            <w:noWrap/>
            <w:vAlign w:val="bottom"/>
            <w:hideMark/>
          </w:tcPr>
          <w:p w14:paraId="464CBA6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22.5674</w:t>
            </w:r>
          </w:p>
        </w:tc>
        <w:tc>
          <w:tcPr>
            <w:tcW w:w="825" w:type="dxa"/>
            <w:tcBorders>
              <w:top w:val="nil"/>
              <w:left w:val="nil"/>
              <w:bottom w:val="single" w:sz="4" w:space="0" w:color="auto"/>
              <w:right w:val="single" w:sz="4" w:space="0" w:color="auto"/>
            </w:tcBorders>
            <w:shd w:val="clear" w:color="000000" w:fill="E7E6E6"/>
            <w:noWrap/>
            <w:vAlign w:val="bottom"/>
            <w:hideMark/>
          </w:tcPr>
          <w:p w14:paraId="089771F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22.4997</w:t>
            </w:r>
          </w:p>
        </w:tc>
        <w:tc>
          <w:tcPr>
            <w:tcW w:w="655" w:type="dxa"/>
            <w:tcBorders>
              <w:top w:val="nil"/>
              <w:left w:val="nil"/>
              <w:bottom w:val="single" w:sz="4" w:space="0" w:color="auto"/>
              <w:right w:val="single" w:sz="4" w:space="0" w:color="auto"/>
            </w:tcBorders>
            <w:shd w:val="clear" w:color="auto" w:fill="auto"/>
            <w:noWrap/>
            <w:vAlign w:val="bottom"/>
            <w:hideMark/>
          </w:tcPr>
          <w:p w14:paraId="34FC9A5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22.5674</w:t>
            </w:r>
          </w:p>
        </w:tc>
        <w:tc>
          <w:tcPr>
            <w:tcW w:w="825" w:type="dxa"/>
            <w:tcBorders>
              <w:top w:val="nil"/>
              <w:left w:val="nil"/>
              <w:bottom w:val="single" w:sz="4" w:space="0" w:color="auto"/>
              <w:right w:val="single" w:sz="4" w:space="0" w:color="auto"/>
            </w:tcBorders>
            <w:shd w:val="clear" w:color="000000" w:fill="E7E6E6"/>
            <w:noWrap/>
            <w:vAlign w:val="bottom"/>
            <w:hideMark/>
          </w:tcPr>
          <w:p w14:paraId="59BA455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22.4997</w:t>
            </w:r>
          </w:p>
        </w:tc>
        <w:tc>
          <w:tcPr>
            <w:tcW w:w="655" w:type="dxa"/>
            <w:tcBorders>
              <w:top w:val="nil"/>
              <w:left w:val="nil"/>
              <w:bottom w:val="single" w:sz="4" w:space="0" w:color="auto"/>
              <w:right w:val="single" w:sz="4" w:space="0" w:color="auto"/>
            </w:tcBorders>
            <w:shd w:val="clear" w:color="auto" w:fill="auto"/>
            <w:noWrap/>
            <w:vAlign w:val="bottom"/>
            <w:hideMark/>
          </w:tcPr>
          <w:p w14:paraId="5A01E70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22.5674</w:t>
            </w:r>
          </w:p>
        </w:tc>
        <w:tc>
          <w:tcPr>
            <w:tcW w:w="825" w:type="dxa"/>
            <w:tcBorders>
              <w:top w:val="nil"/>
              <w:left w:val="nil"/>
              <w:bottom w:val="single" w:sz="4" w:space="0" w:color="auto"/>
              <w:right w:val="single" w:sz="4" w:space="0" w:color="auto"/>
            </w:tcBorders>
            <w:shd w:val="clear" w:color="000000" w:fill="E7E6E6"/>
            <w:noWrap/>
            <w:vAlign w:val="bottom"/>
            <w:hideMark/>
          </w:tcPr>
          <w:p w14:paraId="1607DC2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22.4997</w:t>
            </w:r>
          </w:p>
        </w:tc>
        <w:tc>
          <w:tcPr>
            <w:tcW w:w="655" w:type="dxa"/>
            <w:tcBorders>
              <w:top w:val="nil"/>
              <w:left w:val="nil"/>
              <w:bottom w:val="single" w:sz="4" w:space="0" w:color="auto"/>
              <w:right w:val="single" w:sz="4" w:space="0" w:color="auto"/>
            </w:tcBorders>
            <w:shd w:val="clear" w:color="auto" w:fill="auto"/>
            <w:noWrap/>
            <w:vAlign w:val="bottom"/>
            <w:hideMark/>
          </w:tcPr>
          <w:p w14:paraId="4695358F"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14.3301</w:t>
            </w:r>
          </w:p>
        </w:tc>
        <w:tc>
          <w:tcPr>
            <w:tcW w:w="825" w:type="dxa"/>
            <w:tcBorders>
              <w:top w:val="nil"/>
              <w:left w:val="nil"/>
              <w:bottom w:val="single" w:sz="4" w:space="0" w:color="auto"/>
              <w:right w:val="single" w:sz="4" w:space="0" w:color="auto"/>
            </w:tcBorders>
            <w:shd w:val="clear" w:color="000000" w:fill="E7E6E6"/>
            <w:noWrap/>
            <w:vAlign w:val="bottom"/>
            <w:hideMark/>
          </w:tcPr>
          <w:p w14:paraId="653478A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14.2871</w:t>
            </w:r>
          </w:p>
        </w:tc>
      </w:tr>
      <w:tr w:rsidR="00B235E8" w:rsidRPr="004C50A0" w14:paraId="28487CA7"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8A426FB"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&gt;30 to 70 MHz</w:t>
            </w:r>
          </w:p>
        </w:tc>
        <w:tc>
          <w:tcPr>
            <w:tcW w:w="655" w:type="dxa"/>
            <w:tcBorders>
              <w:top w:val="nil"/>
              <w:left w:val="nil"/>
              <w:bottom w:val="single" w:sz="4" w:space="0" w:color="auto"/>
              <w:right w:val="single" w:sz="4" w:space="0" w:color="auto"/>
            </w:tcBorders>
            <w:shd w:val="clear" w:color="auto" w:fill="auto"/>
            <w:noWrap/>
            <w:vAlign w:val="bottom"/>
            <w:hideMark/>
          </w:tcPr>
          <w:p w14:paraId="4C785BF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50.9768</w:t>
            </w:r>
          </w:p>
        </w:tc>
        <w:tc>
          <w:tcPr>
            <w:tcW w:w="825" w:type="dxa"/>
            <w:tcBorders>
              <w:top w:val="nil"/>
              <w:left w:val="nil"/>
              <w:bottom w:val="single" w:sz="4" w:space="0" w:color="auto"/>
              <w:right w:val="single" w:sz="4" w:space="0" w:color="auto"/>
            </w:tcBorders>
            <w:shd w:val="clear" w:color="000000" w:fill="E7E6E6"/>
            <w:noWrap/>
            <w:vAlign w:val="bottom"/>
            <w:hideMark/>
          </w:tcPr>
          <w:p w14:paraId="406C615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50.8239</w:t>
            </w:r>
          </w:p>
        </w:tc>
        <w:tc>
          <w:tcPr>
            <w:tcW w:w="655" w:type="dxa"/>
            <w:tcBorders>
              <w:top w:val="nil"/>
              <w:left w:val="nil"/>
              <w:bottom w:val="single" w:sz="4" w:space="0" w:color="auto"/>
              <w:right w:val="single" w:sz="4" w:space="0" w:color="auto"/>
            </w:tcBorders>
            <w:shd w:val="clear" w:color="auto" w:fill="auto"/>
            <w:noWrap/>
            <w:vAlign w:val="bottom"/>
            <w:hideMark/>
          </w:tcPr>
          <w:p w14:paraId="18DF9F0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19.9106</w:t>
            </w:r>
          </w:p>
        </w:tc>
        <w:tc>
          <w:tcPr>
            <w:tcW w:w="825" w:type="dxa"/>
            <w:tcBorders>
              <w:top w:val="nil"/>
              <w:left w:val="nil"/>
              <w:bottom w:val="single" w:sz="4" w:space="0" w:color="auto"/>
              <w:right w:val="single" w:sz="4" w:space="0" w:color="auto"/>
            </w:tcBorders>
            <w:shd w:val="clear" w:color="000000" w:fill="E7E6E6"/>
            <w:noWrap/>
            <w:vAlign w:val="bottom"/>
            <w:hideMark/>
          </w:tcPr>
          <w:p w14:paraId="55E38CA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19.8509</w:t>
            </w:r>
          </w:p>
        </w:tc>
        <w:tc>
          <w:tcPr>
            <w:tcW w:w="655" w:type="dxa"/>
            <w:tcBorders>
              <w:top w:val="nil"/>
              <w:left w:val="nil"/>
              <w:bottom w:val="single" w:sz="4" w:space="0" w:color="auto"/>
              <w:right w:val="single" w:sz="4" w:space="0" w:color="auto"/>
            </w:tcBorders>
            <w:shd w:val="clear" w:color="auto" w:fill="auto"/>
            <w:noWrap/>
            <w:vAlign w:val="bottom"/>
            <w:hideMark/>
          </w:tcPr>
          <w:p w14:paraId="1597D1B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10.5907</w:t>
            </w:r>
          </w:p>
        </w:tc>
        <w:tc>
          <w:tcPr>
            <w:tcW w:w="825" w:type="dxa"/>
            <w:tcBorders>
              <w:top w:val="nil"/>
              <w:left w:val="nil"/>
              <w:bottom w:val="single" w:sz="4" w:space="0" w:color="auto"/>
              <w:right w:val="single" w:sz="4" w:space="0" w:color="auto"/>
            </w:tcBorders>
            <w:shd w:val="clear" w:color="000000" w:fill="E7E6E6"/>
            <w:noWrap/>
            <w:vAlign w:val="bottom"/>
            <w:hideMark/>
          </w:tcPr>
          <w:p w14:paraId="7C55144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10.5590</w:t>
            </w:r>
          </w:p>
        </w:tc>
        <w:tc>
          <w:tcPr>
            <w:tcW w:w="655" w:type="dxa"/>
            <w:tcBorders>
              <w:top w:val="nil"/>
              <w:left w:val="nil"/>
              <w:bottom w:val="single" w:sz="4" w:space="0" w:color="auto"/>
              <w:right w:val="single" w:sz="4" w:space="0" w:color="auto"/>
            </w:tcBorders>
            <w:shd w:val="clear" w:color="auto" w:fill="auto"/>
            <w:noWrap/>
            <w:vAlign w:val="bottom"/>
            <w:hideMark/>
          </w:tcPr>
          <w:p w14:paraId="66F8980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2.2855</w:t>
            </w:r>
          </w:p>
        </w:tc>
        <w:tc>
          <w:tcPr>
            <w:tcW w:w="825" w:type="dxa"/>
            <w:tcBorders>
              <w:top w:val="nil"/>
              <w:left w:val="nil"/>
              <w:bottom w:val="single" w:sz="4" w:space="0" w:color="auto"/>
              <w:right w:val="single" w:sz="4" w:space="0" w:color="auto"/>
            </w:tcBorders>
            <w:shd w:val="clear" w:color="000000" w:fill="E7E6E6"/>
            <w:noWrap/>
            <w:vAlign w:val="bottom"/>
            <w:hideMark/>
          </w:tcPr>
          <w:p w14:paraId="69EC238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2.2787</w:t>
            </w:r>
          </w:p>
        </w:tc>
        <w:tc>
          <w:tcPr>
            <w:tcW w:w="655" w:type="dxa"/>
            <w:tcBorders>
              <w:top w:val="nil"/>
              <w:left w:val="nil"/>
              <w:bottom w:val="single" w:sz="4" w:space="0" w:color="auto"/>
              <w:right w:val="single" w:sz="4" w:space="0" w:color="auto"/>
            </w:tcBorders>
            <w:shd w:val="clear" w:color="auto" w:fill="auto"/>
            <w:noWrap/>
            <w:vAlign w:val="bottom"/>
            <w:hideMark/>
          </w:tcPr>
          <w:p w14:paraId="231B984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0.7240</w:t>
            </w:r>
          </w:p>
        </w:tc>
        <w:tc>
          <w:tcPr>
            <w:tcW w:w="825" w:type="dxa"/>
            <w:tcBorders>
              <w:top w:val="nil"/>
              <w:left w:val="nil"/>
              <w:bottom w:val="single" w:sz="4" w:space="0" w:color="auto"/>
              <w:right w:val="single" w:sz="4" w:space="0" w:color="auto"/>
            </w:tcBorders>
            <w:shd w:val="clear" w:color="000000" w:fill="E7E6E6"/>
            <w:noWrap/>
            <w:vAlign w:val="bottom"/>
            <w:hideMark/>
          </w:tcPr>
          <w:p w14:paraId="74ACE7E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0.7218</w:t>
            </w:r>
          </w:p>
        </w:tc>
      </w:tr>
      <w:tr w:rsidR="00B235E8" w:rsidRPr="004C50A0" w14:paraId="5763CC2B"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FE2EB4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&gt;70 to 399.9 MHz</w:t>
            </w:r>
          </w:p>
        </w:tc>
        <w:tc>
          <w:tcPr>
            <w:tcW w:w="655" w:type="dxa"/>
            <w:tcBorders>
              <w:top w:val="nil"/>
              <w:left w:val="nil"/>
              <w:bottom w:val="single" w:sz="4" w:space="0" w:color="auto"/>
              <w:right w:val="single" w:sz="4" w:space="0" w:color="auto"/>
            </w:tcBorders>
            <w:shd w:val="clear" w:color="auto" w:fill="auto"/>
            <w:noWrap/>
            <w:vAlign w:val="bottom"/>
            <w:hideMark/>
          </w:tcPr>
          <w:p w14:paraId="3F6A0AF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52.3000</w:t>
            </w:r>
          </w:p>
        </w:tc>
        <w:tc>
          <w:tcPr>
            <w:tcW w:w="825" w:type="dxa"/>
            <w:tcBorders>
              <w:top w:val="nil"/>
              <w:left w:val="nil"/>
              <w:bottom w:val="single" w:sz="4" w:space="0" w:color="auto"/>
              <w:right w:val="single" w:sz="4" w:space="0" w:color="auto"/>
            </w:tcBorders>
            <w:shd w:val="clear" w:color="000000" w:fill="E7E6E6"/>
            <w:noWrap/>
            <w:vAlign w:val="bottom"/>
            <w:hideMark/>
          </w:tcPr>
          <w:p w14:paraId="62339AD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52.1431</w:t>
            </w:r>
          </w:p>
        </w:tc>
        <w:tc>
          <w:tcPr>
            <w:tcW w:w="655" w:type="dxa"/>
            <w:tcBorders>
              <w:top w:val="nil"/>
              <w:left w:val="nil"/>
              <w:bottom w:val="single" w:sz="4" w:space="0" w:color="auto"/>
              <w:right w:val="single" w:sz="4" w:space="0" w:color="auto"/>
            </w:tcBorders>
            <w:shd w:val="clear" w:color="auto" w:fill="auto"/>
            <w:noWrap/>
            <w:vAlign w:val="bottom"/>
            <w:hideMark/>
          </w:tcPr>
          <w:p w14:paraId="70C826A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21.4639</w:t>
            </w:r>
          </w:p>
        </w:tc>
        <w:tc>
          <w:tcPr>
            <w:tcW w:w="825" w:type="dxa"/>
            <w:tcBorders>
              <w:top w:val="nil"/>
              <w:left w:val="nil"/>
              <w:bottom w:val="single" w:sz="4" w:space="0" w:color="auto"/>
              <w:right w:val="single" w:sz="4" w:space="0" w:color="auto"/>
            </w:tcBorders>
            <w:shd w:val="clear" w:color="000000" w:fill="E7E6E6"/>
            <w:noWrap/>
            <w:vAlign w:val="bottom"/>
            <w:hideMark/>
          </w:tcPr>
          <w:p w14:paraId="497F10B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21.3995</w:t>
            </w:r>
          </w:p>
        </w:tc>
        <w:tc>
          <w:tcPr>
            <w:tcW w:w="655" w:type="dxa"/>
            <w:tcBorders>
              <w:top w:val="nil"/>
              <w:left w:val="nil"/>
              <w:bottom w:val="single" w:sz="4" w:space="0" w:color="auto"/>
              <w:right w:val="single" w:sz="4" w:space="0" w:color="auto"/>
            </w:tcBorders>
            <w:shd w:val="clear" w:color="auto" w:fill="auto"/>
            <w:noWrap/>
            <w:vAlign w:val="bottom"/>
            <w:hideMark/>
          </w:tcPr>
          <w:p w14:paraId="2AB0D35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9.8219</w:t>
            </w:r>
          </w:p>
        </w:tc>
        <w:tc>
          <w:tcPr>
            <w:tcW w:w="825" w:type="dxa"/>
            <w:tcBorders>
              <w:top w:val="nil"/>
              <w:left w:val="nil"/>
              <w:bottom w:val="single" w:sz="4" w:space="0" w:color="auto"/>
              <w:right w:val="single" w:sz="4" w:space="0" w:color="auto"/>
            </w:tcBorders>
            <w:shd w:val="clear" w:color="000000" w:fill="E7E6E6"/>
            <w:noWrap/>
            <w:vAlign w:val="bottom"/>
            <w:hideMark/>
          </w:tcPr>
          <w:p w14:paraId="5CA84D1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9.7925</w:t>
            </w:r>
          </w:p>
        </w:tc>
        <w:tc>
          <w:tcPr>
            <w:tcW w:w="655" w:type="dxa"/>
            <w:tcBorders>
              <w:top w:val="nil"/>
              <w:left w:val="nil"/>
              <w:bottom w:val="single" w:sz="4" w:space="0" w:color="auto"/>
              <w:right w:val="single" w:sz="4" w:space="0" w:color="auto"/>
            </w:tcBorders>
            <w:shd w:val="clear" w:color="auto" w:fill="auto"/>
            <w:noWrap/>
            <w:vAlign w:val="bottom"/>
            <w:hideMark/>
          </w:tcPr>
          <w:p w14:paraId="3FA1D30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2.2018</w:t>
            </w:r>
          </w:p>
        </w:tc>
        <w:tc>
          <w:tcPr>
            <w:tcW w:w="825" w:type="dxa"/>
            <w:tcBorders>
              <w:top w:val="nil"/>
              <w:left w:val="nil"/>
              <w:bottom w:val="single" w:sz="4" w:space="0" w:color="auto"/>
              <w:right w:val="single" w:sz="4" w:space="0" w:color="auto"/>
            </w:tcBorders>
            <w:shd w:val="clear" w:color="000000" w:fill="E7E6E6"/>
            <w:noWrap/>
            <w:vAlign w:val="bottom"/>
            <w:hideMark/>
          </w:tcPr>
          <w:p w14:paraId="3E28A5E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2.1952</w:t>
            </w:r>
          </w:p>
        </w:tc>
        <w:tc>
          <w:tcPr>
            <w:tcW w:w="655" w:type="dxa"/>
            <w:tcBorders>
              <w:top w:val="nil"/>
              <w:left w:val="nil"/>
              <w:bottom w:val="single" w:sz="4" w:space="0" w:color="auto"/>
              <w:right w:val="single" w:sz="4" w:space="0" w:color="auto"/>
            </w:tcBorders>
            <w:shd w:val="clear" w:color="auto" w:fill="auto"/>
            <w:noWrap/>
            <w:vAlign w:val="bottom"/>
            <w:hideMark/>
          </w:tcPr>
          <w:p w14:paraId="387269C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0.6974</w:t>
            </w:r>
          </w:p>
        </w:tc>
        <w:tc>
          <w:tcPr>
            <w:tcW w:w="825" w:type="dxa"/>
            <w:tcBorders>
              <w:top w:val="nil"/>
              <w:left w:val="nil"/>
              <w:bottom w:val="single" w:sz="4" w:space="0" w:color="auto"/>
              <w:right w:val="single" w:sz="4" w:space="0" w:color="auto"/>
            </w:tcBorders>
            <w:shd w:val="clear" w:color="000000" w:fill="E7E6E6"/>
            <w:noWrap/>
            <w:vAlign w:val="bottom"/>
            <w:hideMark/>
          </w:tcPr>
          <w:p w14:paraId="1850309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0.6953</w:t>
            </w:r>
          </w:p>
        </w:tc>
      </w:tr>
      <w:tr w:rsidR="00B235E8" w:rsidRPr="004C50A0" w14:paraId="5E728ADC"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9C6EE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&gt;399.9 to 403 MHz</w:t>
            </w:r>
          </w:p>
        </w:tc>
        <w:tc>
          <w:tcPr>
            <w:tcW w:w="655" w:type="dxa"/>
            <w:tcBorders>
              <w:top w:val="nil"/>
              <w:left w:val="nil"/>
              <w:bottom w:val="single" w:sz="4" w:space="0" w:color="auto"/>
              <w:right w:val="single" w:sz="4" w:space="0" w:color="auto"/>
            </w:tcBorders>
            <w:shd w:val="clear" w:color="auto" w:fill="auto"/>
            <w:noWrap/>
            <w:vAlign w:val="bottom"/>
            <w:hideMark/>
          </w:tcPr>
          <w:p w14:paraId="4E567EB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52.3000</w:t>
            </w:r>
          </w:p>
        </w:tc>
        <w:tc>
          <w:tcPr>
            <w:tcW w:w="825" w:type="dxa"/>
            <w:tcBorders>
              <w:top w:val="nil"/>
              <w:left w:val="nil"/>
              <w:bottom w:val="single" w:sz="4" w:space="0" w:color="auto"/>
              <w:right w:val="single" w:sz="4" w:space="0" w:color="auto"/>
            </w:tcBorders>
            <w:shd w:val="clear" w:color="000000" w:fill="E7E6E6"/>
            <w:noWrap/>
            <w:vAlign w:val="bottom"/>
            <w:hideMark/>
          </w:tcPr>
          <w:p w14:paraId="6748D9B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52.1431</w:t>
            </w:r>
          </w:p>
        </w:tc>
        <w:tc>
          <w:tcPr>
            <w:tcW w:w="655" w:type="dxa"/>
            <w:tcBorders>
              <w:top w:val="nil"/>
              <w:left w:val="nil"/>
              <w:bottom w:val="single" w:sz="4" w:space="0" w:color="auto"/>
              <w:right w:val="single" w:sz="4" w:space="0" w:color="auto"/>
            </w:tcBorders>
            <w:shd w:val="clear" w:color="auto" w:fill="auto"/>
            <w:noWrap/>
            <w:vAlign w:val="bottom"/>
            <w:hideMark/>
          </w:tcPr>
          <w:p w14:paraId="70D474F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29.2880</w:t>
            </w:r>
          </w:p>
        </w:tc>
        <w:tc>
          <w:tcPr>
            <w:tcW w:w="825" w:type="dxa"/>
            <w:tcBorders>
              <w:top w:val="nil"/>
              <w:left w:val="nil"/>
              <w:bottom w:val="single" w:sz="4" w:space="0" w:color="auto"/>
              <w:right w:val="single" w:sz="4" w:space="0" w:color="auto"/>
            </w:tcBorders>
            <w:shd w:val="clear" w:color="000000" w:fill="E7E6E6"/>
            <w:noWrap/>
            <w:vAlign w:val="bottom"/>
            <w:hideMark/>
          </w:tcPr>
          <w:p w14:paraId="2198899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29.2001</w:t>
            </w:r>
          </w:p>
        </w:tc>
        <w:tc>
          <w:tcPr>
            <w:tcW w:w="655" w:type="dxa"/>
            <w:tcBorders>
              <w:top w:val="nil"/>
              <w:left w:val="nil"/>
              <w:bottom w:val="single" w:sz="4" w:space="0" w:color="auto"/>
              <w:right w:val="single" w:sz="4" w:space="0" w:color="auto"/>
            </w:tcBorders>
            <w:shd w:val="clear" w:color="auto" w:fill="auto"/>
            <w:noWrap/>
            <w:vAlign w:val="bottom"/>
            <w:hideMark/>
          </w:tcPr>
          <w:p w14:paraId="73E2452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13.3993</w:t>
            </w:r>
          </w:p>
        </w:tc>
        <w:tc>
          <w:tcPr>
            <w:tcW w:w="825" w:type="dxa"/>
            <w:tcBorders>
              <w:top w:val="nil"/>
              <w:left w:val="nil"/>
              <w:bottom w:val="single" w:sz="4" w:space="0" w:color="auto"/>
              <w:right w:val="single" w:sz="4" w:space="0" w:color="auto"/>
            </w:tcBorders>
            <w:shd w:val="clear" w:color="000000" w:fill="E7E6E6"/>
            <w:noWrap/>
            <w:vAlign w:val="bottom"/>
            <w:hideMark/>
          </w:tcPr>
          <w:p w14:paraId="4A8311C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13.3591</w:t>
            </w:r>
          </w:p>
        </w:tc>
        <w:tc>
          <w:tcPr>
            <w:tcW w:w="655" w:type="dxa"/>
            <w:tcBorders>
              <w:top w:val="nil"/>
              <w:left w:val="nil"/>
              <w:bottom w:val="single" w:sz="4" w:space="0" w:color="auto"/>
              <w:right w:val="single" w:sz="4" w:space="0" w:color="auto"/>
            </w:tcBorders>
            <w:shd w:val="clear" w:color="auto" w:fill="auto"/>
            <w:noWrap/>
            <w:vAlign w:val="bottom"/>
            <w:hideMark/>
          </w:tcPr>
          <w:p w14:paraId="214EC76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2.2855</w:t>
            </w:r>
          </w:p>
        </w:tc>
        <w:tc>
          <w:tcPr>
            <w:tcW w:w="825" w:type="dxa"/>
            <w:tcBorders>
              <w:top w:val="nil"/>
              <w:left w:val="nil"/>
              <w:bottom w:val="single" w:sz="4" w:space="0" w:color="auto"/>
              <w:right w:val="single" w:sz="4" w:space="0" w:color="auto"/>
            </w:tcBorders>
            <w:shd w:val="clear" w:color="000000" w:fill="E7E6E6"/>
            <w:noWrap/>
            <w:vAlign w:val="bottom"/>
            <w:hideMark/>
          </w:tcPr>
          <w:p w14:paraId="6644A3C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2.2787</w:t>
            </w:r>
          </w:p>
        </w:tc>
        <w:tc>
          <w:tcPr>
            <w:tcW w:w="655" w:type="dxa"/>
            <w:tcBorders>
              <w:top w:val="nil"/>
              <w:left w:val="nil"/>
              <w:bottom w:val="single" w:sz="4" w:space="0" w:color="auto"/>
              <w:right w:val="single" w:sz="4" w:space="0" w:color="auto"/>
            </w:tcBorders>
            <w:shd w:val="clear" w:color="auto" w:fill="auto"/>
            <w:noWrap/>
            <w:vAlign w:val="bottom"/>
            <w:hideMark/>
          </w:tcPr>
          <w:p w14:paraId="724B7EE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0.7240</w:t>
            </w:r>
          </w:p>
        </w:tc>
        <w:tc>
          <w:tcPr>
            <w:tcW w:w="825" w:type="dxa"/>
            <w:tcBorders>
              <w:top w:val="nil"/>
              <w:left w:val="nil"/>
              <w:bottom w:val="single" w:sz="4" w:space="0" w:color="auto"/>
              <w:right w:val="single" w:sz="4" w:space="0" w:color="auto"/>
            </w:tcBorders>
            <w:shd w:val="clear" w:color="000000" w:fill="E7E6E6"/>
            <w:noWrap/>
            <w:vAlign w:val="bottom"/>
            <w:hideMark/>
          </w:tcPr>
          <w:p w14:paraId="554F4E0F"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0.7218</w:t>
            </w:r>
          </w:p>
        </w:tc>
      </w:tr>
      <w:tr w:rsidR="00B235E8" w:rsidRPr="004C50A0" w14:paraId="69CF6348"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B460BF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 403 to 520 MHz</w:t>
            </w:r>
          </w:p>
        </w:tc>
        <w:tc>
          <w:tcPr>
            <w:tcW w:w="655" w:type="dxa"/>
            <w:tcBorders>
              <w:top w:val="nil"/>
              <w:left w:val="nil"/>
              <w:bottom w:val="single" w:sz="4" w:space="0" w:color="auto"/>
              <w:right w:val="single" w:sz="4" w:space="0" w:color="auto"/>
            </w:tcBorders>
            <w:shd w:val="clear" w:color="auto" w:fill="auto"/>
            <w:noWrap/>
            <w:vAlign w:val="bottom"/>
            <w:hideMark/>
          </w:tcPr>
          <w:p w14:paraId="7945C7B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52.3000</w:t>
            </w:r>
          </w:p>
        </w:tc>
        <w:tc>
          <w:tcPr>
            <w:tcW w:w="825" w:type="dxa"/>
            <w:tcBorders>
              <w:top w:val="nil"/>
              <w:left w:val="nil"/>
              <w:bottom w:val="single" w:sz="4" w:space="0" w:color="auto"/>
              <w:right w:val="single" w:sz="4" w:space="0" w:color="auto"/>
            </w:tcBorders>
            <w:shd w:val="clear" w:color="000000" w:fill="E7E6E6"/>
            <w:noWrap/>
            <w:vAlign w:val="bottom"/>
            <w:hideMark/>
          </w:tcPr>
          <w:p w14:paraId="050C82B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52.1431</w:t>
            </w:r>
          </w:p>
        </w:tc>
        <w:tc>
          <w:tcPr>
            <w:tcW w:w="655" w:type="dxa"/>
            <w:tcBorders>
              <w:top w:val="nil"/>
              <w:left w:val="nil"/>
              <w:bottom w:val="single" w:sz="4" w:space="0" w:color="auto"/>
              <w:right w:val="single" w:sz="4" w:space="0" w:color="auto"/>
            </w:tcBorders>
            <w:shd w:val="clear" w:color="auto" w:fill="auto"/>
            <w:noWrap/>
            <w:vAlign w:val="bottom"/>
            <w:hideMark/>
          </w:tcPr>
          <w:p w14:paraId="4C0067D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38.7616</w:t>
            </w:r>
          </w:p>
        </w:tc>
        <w:tc>
          <w:tcPr>
            <w:tcW w:w="825" w:type="dxa"/>
            <w:tcBorders>
              <w:top w:val="nil"/>
              <w:left w:val="nil"/>
              <w:bottom w:val="single" w:sz="4" w:space="0" w:color="auto"/>
              <w:right w:val="single" w:sz="4" w:space="0" w:color="auto"/>
            </w:tcBorders>
            <w:shd w:val="clear" w:color="000000" w:fill="E7E6E6"/>
            <w:noWrap/>
            <w:vAlign w:val="bottom"/>
            <w:hideMark/>
          </w:tcPr>
          <w:p w14:paraId="469CCBD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38.6432</w:t>
            </w:r>
          </w:p>
        </w:tc>
        <w:tc>
          <w:tcPr>
            <w:tcW w:w="655" w:type="dxa"/>
            <w:tcBorders>
              <w:top w:val="nil"/>
              <w:left w:val="nil"/>
              <w:bottom w:val="single" w:sz="4" w:space="0" w:color="auto"/>
              <w:right w:val="single" w:sz="4" w:space="0" w:color="auto"/>
            </w:tcBorders>
            <w:shd w:val="clear" w:color="auto" w:fill="auto"/>
            <w:noWrap/>
            <w:vAlign w:val="bottom"/>
            <w:hideMark/>
          </w:tcPr>
          <w:p w14:paraId="0844F96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13.3993</w:t>
            </w:r>
          </w:p>
        </w:tc>
        <w:tc>
          <w:tcPr>
            <w:tcW w:w="825" w:type="dxa"/>
            <w:tcBorders>
              <w:top w:val="nil"/>
              <w:left w:val="nil"/>
              <w:bottom w:val="single" w:sz="4" w:space="0" w:color="auto"/>
              <w:right w:val="single" w:sz="4" w:space="0" w:color="auto"/>
            </w:tcBorders>
            <w:shd w:val="clear" w:color="000000" w:fill="E7E6E6"/>
            <w:noWrap/>
            <w:vAlign w:val="bottom"/>
            <w:hideMark/>
          </w:tcPr>
          <w:p w14:paraId="5920DFC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13.3591</w:t>
            </w:r>
          </w:p>
        </w:tc>
        <w:tc>
          <w:tcPr>
            <w:tcW w:w="655" w:type="dxa"/>
            <w:tcBorders>
              <w:top w:val="nil"/>
              <w:left w:val="nil"/>
              <w:bottom w:val="single" w:sz="4" w:space="0" w:color="auto"/>
              <w:right w:val="single" w:sz="4" w:space="0" w:color="auto"/>
            </w:tcBorders>
            <w:shd w:val="clear" w:color="auto" w:fill="auto"/>
            <w:noWrap/>
            <w:vAlign w:val="bottom"/>
            <w:hideMark/>
          </w:tcPr>
          <w:p w14:paraId="5D34A1D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2.2855</w:t>
            </w:r>
          </w:p>
        </w:tc>
        <w:tc>
          <w:tcPr>
            <w:tcW w:w="825" w:type="dxa"/>
            <w:tcBorders>
              <w:top w:val="nil"/>
              <w:left w:val="nil"/>
              <w:bottom w:val="single" w:sz="4" w:space="0" w:color="auto"/>
              <w:right w:val="single" w:sz="4" w:space="0" w:color="auto"/>
            </w:tcBorders>
            <w:shd w:val="clear" w:color="000000" w:fill="E7E6E6"/>
            <w:noWrap/>
            <w:vAlign w:val="bottom"/>
            <w:hideMark/>
          </w:tcPr>
          <w:p w14:paraId="47318DD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2.2787</w:t>
            </w:r>
          </w:p>
        </w:tc>
        <w:tc>
          <w:tcPr>
            <w:tcW w:w="655" w:type="dxa"/>
            <w:tcBorders>
              <w:top w:val="nil"/>
              <w:left w:val="nil"/>
              <w:bottom w:val="single" w:sz="4" w:space="0" w:color="auto"/>
              <w:right w:val="single" w:sz="4" w:space="0" w:color="auto"/>
            </w:tcBorders>
            <w:shd w:val="clear" w:color="auto" w:fill="auto"/>
            <w:noWrap/>
            <w:vAlign w:val="bottom"/>
            <w:hideMark/>
          </w:tcPr>
          <w:p w14:paraId="531A8D8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c>
          <w:tcPr>
            <w:tcW w:w="825" w:type="dxa"/>
            <w:tcBorders>
              <w:top w:val="nil"/>
              <w:left w:val="nil"/>
              <w:bottom w:val="single" w:sz="4" w:space="0" w:color="auto"/>
              <w:right w:val="single" w:sz="4" w:space="0" w:color="auto"/>
            </w:tcBorders>
            <w:shd w:val="clear" w:color="000000" w:fill="E7E6E6"/>
            <w:noWrap/>
            <w:vAlign w:val="bottom"/>
            <w:hideMark/>
          </w:tcPr>
          <w:p w14:paraId="3CB43E8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r>
      <w:tr w:rsidR="00B235E8" w:rsidRPr="004C50A0" w14:paraId="6E02D72A"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420C1BB"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 520 to 960 MHz</w:t>
            </w:r>
          </w:p>
        </w:tc>
        <w:tc>
          <w:tcPr>
            <w:tcW w:w="655" w:type="dxa"/>
            <w:tcBorders>
              <w:top w:val="nil"/>
              <w:left w:val="nil"/>
              <w:bottom w:val="single" w:sz="4" w:space="0" w:color="auto"/>
              <w:right w:val="single" w:sz="4" w:space="0" w:color="auto"/>
            </w:tcBorders>
            <w:shd w:val="clear" w:color="auto" w:fill="auto"/>
            <w:noWrap/>
            <w:vAlign w:val="bottom"/>
            <w:hideMark/>
          </w:tcPr>
          <w:p w14:paraId="07B5177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52.3000</w:t>
            </w:r>
          </w:p>
        </w:tc>
        <w:tc>
          <w:tcPr>
            <w:tcW w:w="825" w:type="dxa"/>
            <w:tcBorders>
              <w:top w:val="nil"/>
              <w:left w:val="nil"/>
              <w:bottom w:val="single" w:sz="4" w:space="0" w:color="auto"/>
              <w:right w:val="single" w:sz="4" w:space="0" w:color="auto"/>
            </w:tcBorders>
            <w:shd w:val="clear" w:color="000000" w:fill="E7E6E6"/>
            <w:noWrap/>
            <w:vAlign w:val="bottom"/>
            <w:hideMark/>
          </w:tcPr>
          <w:p w14:paraId="49515B9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52.1431</w:t>
            </w:r>
          </w:p>
        </w:tc>
        <w:tc>
          <w:tcPr>
            <w:tcW w:w="655" w:type="dxa"/>
            <w:tcBorders>
              <w:top w:val="nil"/>
              <w:left w:val="nil"/>
              <w:bottom w:val="single" w:sz="4" w:space="0" w:color="auto"/>
              <w:right w:val="single" w:sz="4" w:space="0" w:color="auto"/>
            </w:tcBorders>
            <w:shd w:val="clear" w:color="auto" w:fill="auto"/>
            <w:noWrap/>
            <w:vAlign w:val="bottom"/>
            <w:hideMark/>
          </w:tcPr>
          <w:p w14:paraId="5132736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29.2880</w:t>
            </w:r>
          </w:p>
        </w:tc>
        <w:tc>
          <w:tcPr>
            <w:tcW w:w="825" w:type="dxa"/>
            <w:tcBorders>
              <w:top w:val="nil"/>
              <w:left w:val="nil"/>
              <w:bottom w:val="single" w:sz="4" w:space="0" w:color="auto"/>
              <w:right w:val="single" w:sz="4" w:space="0" w:color="auto"/>
            </w:tcBorders>
            <w:shd w:val="clear" w:color="000000" w:fill="E7E6E6"/>
            <w:noWrap/>
            <w:vAlign w:val="bottom"/>
            <w:hideMark/>
          </w:tcPr>
          <w:p w14:paraId="178263A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29.2001</w:t>
            </w:r>
          </w:p>
        </w:tc>
        <w:tc>
          <w:tcPr>
            <w:tcW w:w="655" w:type="dxa"/>
            <w:tcBorders>
              <w:top w:val="nil"/>
              <w:left w:val="nil"/>
              <w:bottom w:val="single" w:sz="4" w:space="0" w:color="auto"/>
              <w:right w:val="single" w:sz="4" w:space="0" w:color="auto"/>
            </w:tcBorders>
            <w:shd w:val="clear" w:color="auto" w:fill="auto"/>
            <w:noWrap/>
            <w:vAlign w:val="bottom"/>
            <w:hideMark/>
          </w:tcPr>
          <w:p w14:paraId="0035D5B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13.3993</w:t>
            </w:r>
          </w:p>
        </w:tc>
        <w:tc>
          <w:tcPr>
            <w:tcW w:w="825" w:type="dxa"/>
            <w:tcBorders>
              <w:top w:val="nil"/>
              <w:left w:val="nil"/>
              <w:bottom w:val="single" w:sz="4" w:space="0" w:color="auto"/>
              <w:right w:val="single" w:sz="4" w:space="0" w:color="auto"/>
            </w:tcBorders>
            <w:shd w:val="clear" w:color="000000" w:fill="E7E6E6"/>
            <w:noWrap/>
            <w:vAlign w:val="bottom"/>
            <w:hideMark/>
          </w:tcPr>
          <w:p w14:paraId="2C546B0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13.3591</w:t>
            </w:r>
          </w:p>
        </w:tc>
        <w:tc>
          <w:tcPr>
            <w:tcW w:w="655" w:type="dxa"/>
            <w:tcBorders>
              <w:top w:val="nil"/>
              <w:left w:val="nil"/>
              <w:bottom w:val="single" w:sz="4" w:space="0" w:color="auto"/>
              <w:right w:val="single" w:sz="4" w:space="0" w:color="auto"/>
            </w:tcBorders>
            <w:shd w:val="clear" w:color="auto" w:fill="auto"/>
            <w:noWrap/>
            <w:vAlign w:val="bottom"/>
            <w:hideMark/>
          </w:tcPr>
          <w:p w14:paraId="3D99CE9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2.2855</w:t>
            </w:r>
          </w:p>
        </w:tc>
        <w:tc>
          <w:tcPr>
            <w:tcW w:w="825" w:type="dxa"/>
            <w:tcBorders>
              <w:top w:val="nil"/>
              <w:left w:val="nil"/>
              <w:bottom w:val="single" w:sz="4" w:space="0" w:color="auto"/>
              <w:right w:val="single" w:sz="4" w:space="0" w:color="auto"/>
            </w:tcBorders>
            <w:shd w:val="clear" w:color="000000" w:fill="E7E6E6"/>
            <w:noWrap/>
            <w:vAlign w:val="bottom"/>
            <w:hideMark/>
          </w:tcPr>
          <w:p w14:paraId="50968AA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2.2787</w:t>
            </w:r>
          </w:p>
        </w:tc>
        <w:tc>
          <w:tcPr>
            <w:tcW w:w="655" w:type="dxa"/>
            <w:tcBorders>
              <w:top w:val="nil"/>
              <w:left w:val="nil"/>
              <w:bottom w:val="single" w:sz="4" w:space="0" w:color="auto"/>
              <w:right w:val="single" w:sz="4" w:space="0" w:color="auto"/>
            </w:tcBorders>
            <w:shd w:val="clear" w:color="auto" w:fill="auto"/>
            <w:noWrap/>
            <w:vAlign w:val="bottom"/>
            <w:hideMark/>
          </w:tcPr>
          <w:p w14:paraId="3A52442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0.7240</w:t>
            </w:r>
          </w:p>
        </w:tc>
        <w:tc>
          <w:tcPr>
            <w:tcW w:w="825" w:type="dxa"/>
            <w:tcBorders>
              <w:top w:val="nil"/>
              <w:left w:val="nil"/>
              <w:bottom w:val="single" w:sz="4" w:space="0" w:color="auto"/>
              <w:right w:val="single" w:sz="4" w:space="0" w:color="auto"/>
            </w:tcBorders>
            <w:shd w:val="clear" w:color="000000" w:fill="E7E6E6"/>
            <w:noWrap/>
            <w:vAlign w:val="bottom"/>
            <w:hideMark/>
          </w:tcPr>
          <w:p w14:paraId="010D159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0.7218</w:t>
            </w:r>
          </w:p>
        </w:tc>
      </w:tr>
      <w:tr w:rsidR="00B235E8" w:rsidRPr="004C50A0" w14:paraId="55376B9C"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E0549C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&gt;960 to 2,690 MHz</w:t>
            </w:r>
          </w:p>
        </w:tc>
        <w:tc>
          <w:tcPr>
            <w:tcW w:w="655" w:type="dxa"/>
            <w:tcBorders>
              <w:top w:val="nil"/>
              <w:left w:val="nil"/>
              <w:bottom w:val="single" w:sz="4" w:space="0" w:color="auto"/>
              <w:right w:val="single" w:sz="4" w:space="0" w:color="auto"/>
            </w:tcBorders>
            <w:shd w:val="clear" w:color="auto" w:fill="auto"/>
            <w:noWrap/>
            <w:vAlign w:val="bottom"/>
            <w:hideMark/>
          </w:tcPr>
          <w:p w14:paraId="2BEBAB9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1.2344</w:t>
            </w:r>
          </w:p>
        </w:tc>
        <w:tc>
          <w:tcPr>
            <w:tcW w:w="825" w:type="dxa"/>
            <w:tcBorders>
              <w:top w:val="nil"/>
              <w:left w:val="nil"/>
              <w:bottom w:val="single" w:sz="4" w:space="0" w:color="auto"/>
              <w:right w:val="single" w:sz="4" w:space="0" w:color="auto"/>
            </w:tcBorders>
            <w:shd w:val="clear" w:color="000000" w:fill="E7E6E6"/>
            <w:noWrap/>
            <w:vAlign w:val="bottom"/>
            <w:hideMark/>
          </w:tcPr>
          <w:p w14:paraId="0B235D9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1.2307</w:t>
            </w:r>
          </w:p>
        </w:tc>
        <w:tc>
          <w:tcPr>
            <w:tcW w:w="655" w:type="dxa"/>
            <w:tcBorders>
              <w:top w:val="nil"/>
              <w:left w:val="nil"/>
              <w:bottom w:val="single" w:sz="4" w:space="0" w:color="auto"/>
              <w:right w:val="single" w:sz="4" w:space="0" w:color="auto"/>
            </w:tcBorders>
            <w:shd w:val="clear" w:color="auto" w:fill="auto"/>
            <w:noWrap/>
            <w:vAlign w:val="bottom"/>
            <w:hideMark/>
          </w:tcPr>
          <w:p w14:paraId="66C9014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0.2771</w:t>
            </w:r>
          </w:p>
        </w:tc>
        <w:tc>
          <w:tcPr>
            <w:tcW w:w="825" w:type="dxa"/>
            <w:tcBorders>
              <w:top w:val="nil"/>
              <w:left w:val="nil"/>
              <w:bottom w:val="single" w:sz="4" w:space="0" w:color="auto"/>
              <w:right w:val="single" w:sz="4" w:space="0" w:color="auto"/>
            </w:tcBorders>
            <w:shd w:val="clear" w:color="000000" w:fill="E7E6E6"/>
            <w:noWrap/>
            <w:vAlign w:val="bottom"/>
            <w:hideMark/>
          </w:tcPr>
          <w:p w14:paraId="4842E1D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0.2762</w:t>
            </w:r>
          </w:p>
        </w:tc>
        <w:tc>
          <w:tcPr>
            <w:tcW w:w="655" w:type="dxa"/>
            <w:tcBorders>
              <w:top w:val="nil"/>
              <w:left w:val="nil"/>
              <w:bottom w:val="single" w:sz="4" w:space="0" w:color="auto"/>
              <w:right w:val="single" w:sz="4" w:space="0" w:color="auto"/>
            </w:tcBorders>
            <w:shd w:val="clear" w:color="auto" w:fill="auto"/>
            <w:noWrap/>
            <w:vAlign w:val="bottom"/>
            <w:hideMark/>
          </w:tcPr>
          <w:p w14:paraId="48DE3E1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0.1281</w:t>
            </w:r>
          </w:p>
        </w:tc>
        <w:tc>
          <w:tcPr>
            <w:tcW w:w="825" w:type="dxa"/>
            <w:tcBorders>
              <w:top w:val="nil"/>
              <w:left w:val="nil"/>
              <w:bottom w:val="single" w:sz="4" w:space="0" w:color="auto"/>
              <w:right w:val="single" w:sz="4" w:space="0" w:color="auto"/>
            </w:tcBorders>
            <w:shd w:val="clear" w:color="000000" w:fill="E7E6E6"/>
            <w:noWrap/>
            <w:vAlign w:val="bottom"/>
            <w:hideMark/>
          </w:tcPr>
          <w:p w14:paraId="1101859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0.1277</w:t>
            </w:r>
          </w:p>
        </w:tc>
        <w:tc>
          <w:tcPr>
            <w:tcW w:w="655" w:type="dxa"/>
            <w:tcBorders>
              <w:top w:val="nil"/>
              <w:left w:val="nil"/>
              <w:bottom w:val="single" w:sz="4" w:space="0" w:color="auto"/>
              <w:right w:val="single" w:sz="4" w:space="0" w:color="auto"/>
            </w:tcBorders>
            <w:shd w:val="clear" w:color="auto" w:fill="auto"/>
            <w:noWrap/>
            <w:vAlign w:val="bottom"/>
            <w:hideMark/>
          </w:tcPr>
          <w:p w14:paraId="026E243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0.0644</w:t>
            </w:r>
          </w:p>
        </w:tc>
        <w:tc>
          <w:tcPr>
            <w:tcW w:w="825" w:type="dxa"/>
            <w:tcBorders>
              <w:top w:val="nil"/>
              <w:left w:val="nil"/>
              <w:bottom w:val="single" w:sz="4" w:space="0" w:color="auto"/>
              <w:right w:val="single" w:sz="4" w:space="0" w:color="auto"/>
            </w:tcBorders>
            <w:shd w:val="clear" w:color="000000" w:fill="E7E6E6"/>
            <w:noWrap/>
            <w:vAlign w:val="bottom"/>
            <w:hideMark/>
          </w:tcPr>
          <w:p w14:paraId="5670BE6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0.0642</w:t>
            </w:r>
          </w:p>
        </w:tc>
        <w:tc>
          <w:tcPr>
            <w:tcW w:w="655" w:type="dxa"/>
            <w:tcBorders>
              <w:top w:val="nil"/>
              <w:left w:val="nil"/>
              <w:bottom w:val="single" w:sz="4" w:space="0" w:color="auto"/>
              <w:right w:val="single" w:sz="4" w:space="0" w:color="auto"/>
            </w:tcBorders>
            <w:shd w:val="clear" w:color="auto" w:fill="auto"/>
            <w:noWrap/>
            <w:vAlign w:val="bottom"/>
            <w:hideMark/>
          </w:tcPr>
          <w:p w14:paraId="3E446C0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0.0321</w:t>
            </w:r>
          </w:p>
        </w:tc>
        <w:tc>
          <w:tcPr>
            <w:tcW w:w="825" w:type="dxa"/>
            <w:tcBorders>
              <w:top w:val="nil"/>
              <w:left w:val="nil"/>
              <w:bottom w:val="single" w:sz="4" w:space="0" w:color="auto"/>
              <w:right w:val="single" w:sz="4" w:space="0" w:color="auto"/>
            </w:tcBorders>
            <w:shd w:val="clear" w:color="000000" w:fill="E7E6E6"/>
            <w:noWrap/>
            <w:vAlign w:val="bottom"/>
            <w:hideMark/>
          </w:tcPr>
          <w:p w14:paraId="61F027E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0.0320</w:t>
            </w:r>
          </w:p>
        </w:tc>
      </w:tr>
      <w:tr w:rsidR="00B235E8" w:rsidRPr="004C50A0" w14:paraId="22382E84"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A281D5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&gt;2.69 to 5.0 GHz</w:t>
            </w:r>
          </w:p>
        </w:tc>
        <w:tc>
          <w:tcPr>
            <w:tcW w:w="655" w:type="dxa"/>
            <w:tcBorders>
              <w:top w:val="nil"/>
              <w:left w:val="nil"/>
              <w:bottom w:val="single" w:sz="4" w:space="0" w:color="auto"/>
              <w:right w:val="single" w:sz="4" w:space="0" w:color="auto"/>
            </w:tcBorders>
            <w:shd w:val="clear" w:color="auto" w:fill="auto"/>
            <w:noWrap/>
            <w:vAlign w:val="bottom"/>
            <w:hideMark/>
          </w:tcPr>
          <w:p w14:paraId="7FFA21A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1.2331</w:t>
            </w:r>
          </w:p>
        </w:tc>
        <w:tc>
          <w:tcPr>
            <w:tcW w:w="825" w:type="dxa"/>
            <w:tcBorders>
              <w:top w:val="nil"/>
              <w:left w:val="nil"/>
              <w:bottom w:val="single" w:sz="4" w:space="0" w:color="auto"/>
              <w:right w:val="single" w:sz="4" w:space="0" w:color="auto"/>
            </w:tcBorders>
            <w:shd w:val="clear" w:color="000000" w:fill="E7E6E6"/>
            <w:noWrap/>
            <w:vAlign w:val="bottom"/>
            <w:hideMark/>
          </w:tcPr>
          <w:p w14:paraId="39EA642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1.2294</w:t>
            </w:r>
          </w:p>
        </w:tc>
        <w:tc>
          <w:tcPr>
            <w:tcW w:w="655" w:type="dxa"/>
            <w:tcBorders>
              <w:top w:val="nil"/>
              <w:left w:val="nil"/>
              <w:bottom w:val="single" w:sz="4" w:space="0" w:color="auto"/>
              <w:right w:val="single" w:sz="4" w:space="0" w:color="auto"/>
            </w:tcBorders>
            <w:shd w:val="clear" w:color="auto" w:fill="auto"/>
            <w:noWrap/>
            <w:vAlign w:val="bottom"/>
            <w:hideMark/>
          </w:tcPr>
          <w:p w14:paraId="70110D7F"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0.2291</w:t>
            </w:r>
          </w:p>
        </w:tc>
        <w:tc>
          <w:tcPr>
            <w:tcW w:w="825" w:type="dxa"/>
            <w:tcBorders>
              <w:top w:val="nil"/>
              <w:left w:val="nil"/>
              <w:bottom w:val="single" w:sz="4" w:space="0" w:color="auto"/>
              <w:right w:val="single" w:sz="4" w:space="0" w:color="auto"/>
            </w:tcBorders>
            <w:shd w:val="clear" w:color="000000" w:fill="E7E6E6"/>
            <w:noWrap/>
            <w:vAlign w:val="bottom"/>
            <w:hideMark/>
          </w:tcPr>
          <w:p w14:paraId="593FBF7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0.2284</w:t>
            </w:r>
          </w:p>
        </w:tc>
        <w:tc>
          <w:tcPr>
            <w:tcW w:w="655" w:type="dxa"/>
            <w:tcBorders>
              <w:top w:val="nil"/>
              <w:left w:val="nil"/>
              <w:bottom w:val="single" w:sz="4" w:space="0" w:color="auto"/>
              <w:right w:val="single" w:sz="4" w:space="0" w:color="auto"/>
            </w:tcBorders>
            <w:shd w:val="clear" w:color="auto" w:fill="auto"/>
            <w:noWrap/>
            <w:vAlign w:val="bottom"/>
            <w:hideMark/>
          </w:tcPr>
          <w:p w14:paraId="7DA11BA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0.0928</w:t>
            </w:r>
          </w:p>
        </w:tc>
        <w:tc>
          <w:tcPr>
            <w:tcW w:w="825" w:type="dxa"/>
            <w:tcBorders>
              <w:top w:val="nil"/>
              <w:left w:val="nil"/>
              <w:bottom w:val="single" w:sz="4" w:space="0" w:color="auto"/>
              <w:right w:val="single" w:sz="4" w:space="0" w:color="auto"/>
            </w:tcBorders>
            <w:shd w:val="clear" w:color="000000" w:fill="E7E6E6"/>
            <w:noWrap/>
            <w:vAlign w:val="bottom"/>
            <w:hideMark/>
          </w:tcPr>
          <w:p w14:paraId="28AEFDA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0.0926</w:t>
            </w:r>
          </w:p>
        </w:tc>
        <w:tc>
          <w:tcPr>
            <w:tcW w:w="655" w:type="dxa"/>
            <w:tcBorders>
              <w:top w:val="nil"/>
              <w:left w:val="nil"/>
              <w:bottom w:val="single" w:sz="4" w:space="0" w:color="auto"/>
              <w:right w:val="single" w:sz="4" w:space="0" w:color="auto"/>
            </w:tcBorders>
            <w:shd w:val="clear" w:color="auto" w:fill="auto"/>
            <w:noWrap/>
            <w:vAlign w:val="bottom"/>
            <w:hideMark/>
          </w:tcPr>
          <w:p w14:paraId="5C45F92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0.0769</w:t>
            </w:r>
          </w:p>
        </w:tc>
        <w:tc>
          <w:tcPr>
            <w:tcW w:w="825" w:type="dxa"/>
            <w:tcBorders>
              <w:top w:val="nil"/>
              <w:left w:val="nil"/>
              <w:bottom w:val="single" w:sz="4" w:space="0" w:color="auto"/>
              <w:right w:val="single" w:sz="4" w:space="0" w:color="auto"/>
            </w:tcBorders>
            <w:shd w:val="clear" w:color="000000" w:fill="E7E6E6"/>
            <w:noWrap/>
            <w:vAlign w:val="bottom"/>
            <w:hideMark/>
          </w:tcPr>
          <w:p w14:paraId="03747FA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0.0767</w:t>
            </w:r>
          </w:p>
        </w:tc>
        <w:tc>
          <w:tcPr>
            <w:tcW w:w="655" w:type="dxa"/>
            <w:tcBorders>
              <w:top w:val="nil"/>
              <w:left w:val="nil"/>
              <w:bottom w:val="single" w:sz="4" w:space="0" w:color="auto"/>
              <w:right w:val="single" w:sz="4" w:space="0" w:color="auto"/>
            </w:tcBorders>
            <w:shd w:val="clear" w:color="auto" w:fill="auto"/>
            <w:noWrap/>
            <w:vAlign w:val="bottom"/>
            <w:hideMark/>
          </w:tcPr>
          <w:p w14:paraId="2751D06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0.0384</w:t>
            </w:r>
          </w:p>
        </w:tc>
        <w:tc>
          <w:tcPr>
            <w:tcW w:w="825" w:type="dxa"/>
            <w:tcBorders>
              <w:top w:val="nil"/>
              <w:left w:val="nil"/>
              <w:bottom w:val="single" w:sz="4" w:space="0" w:color="auto"/>
              <w:right w:val="single" w:sz="4" w:space="0" w:color="auto"/>
            </w:tcBorders>
            <w:shd w:val="clear" w:color="000000" w:fill="E7E6E6"/>
            <w:noWrap/>
            <w:vAlign w:val="bottom"/>
            <w:hideMark/>
          </w:tcPr>
          <w:p w14:paraId="08B4FC1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0.0383</w:t>
            </w:r>
          </w:p>
        </w:tc>
      </w:tr>
      <w:tr w:rsidR="00B235E8" w:rsidRPr="004C50A0" w14:paraId="35577AB2"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05D32D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&gt;5.0 to 8.5 GHz</w:t>
            </w:r>
          </w:p>
        </w:tc>
        <w:tc>
          <w:tcPr>
            <w:tcW w:w="655" w:type="dxa"/>
            <w:tcBorders>
              <w:top w:val="nil"/>
              <w:left w:val="nil"/>
              <w:bottom w:val="single" w:sz="4" w:space="0" w:color="auto"/>
              <w:right w:val="single" w:sz="4" w:space="0" w:color="auto"/>
            </w:tcBorders>
            <w:shd w:val="clear" w:color="auto" w:fill="auto"/>
            <w:noWrap/>
            <w:vAlign w:val="bottom"/>
            <w:hideMark/>
          </w:tcPr>
          <w:p w14:paraId="7274B82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1.0411</w:t>
            </w:r>
          </w:p>
        </w:tc>
        <w:tc>
          <w:tcPr>
            <w:tcW w:w="825" w:type="dxa"/>
            <w:tcBorders>
              <w:top w:val="nil"/>
              <w:left w:val="nil"/>
              <w:bottom w:val="single" w:sz="4" w:space="0" w:color="auto"/>
              <w:right w:val="single" w:sz="4" w:space="0" w:color="auto"/>
            </w:tcBorders>
            <w:shd w:val="clear" w:color="000000" w:fill="E7E6E6"/>
            <w:noWrap/>
            <w:vAlign w:val="bottom"/>
            <w:hideMark/>
          </w:tcPr>
          <w:p w14:paraId="02CA6E2B"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0.7785</w:t>
            </w:r>
          </w:p>
        </w:tc>
        <w:tc>
          <w:tcPr>
            <w:tcW w:w="655" w:type="dxa"/>
            <w:tcBorders>
              <w:top w:val="nil"/>
              <w:left w:val="nil"/>
              <w:bottom w:val="single" w:sz="4" w:space="0" w:color="auto"/>
              <w:right w:val="single" w:sz="4" w:space="0" w:color="auto"/>
            </w:tcBorders>
            <w:shd w:val="clear" w:color="auto" w:fill="auto"/>
            <w:noWrap/>
            <w:vAlign w:val="bottom"/>
            <w:hideMark/>
          </w:tcPr>
          <w:p w14:paraId="2AF1169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0.1925</w:t>
            </w:r>
          </w:p>
        </w:tc>
        <w:tc>
          <w:tcPr>
            <w:tcW w:w="825" w:type="dxa"/>
            <w:tcBorders>
              <w:top w:val="nil"/>
              <w:left w:val="nil"/>
              <w:bottom w:val="single" w:sz="4" w:space="0" w:color="auto"/>
              <w:right w:val="single" w:sz="4" w:space="0" w:color="auto"/>
            </w:tcBorders>
            <w:shd w:val="clear" w:color="000000" w:fill="E7E6E6"/>
            <w:noWrap/>
            <w:vAlign w:val="bottom"/>
            <w:hideMark/>
          </w:tcPr>
          <w:p w14:paraId="7DFCE78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0.1439</w:t>
            </w:r>
          </w:p>
        </w:tc>
        <w:tc>
          <w:tcPr>
            <w:tcW w:w="655" w:type="dxa"/>
            <w:tcBorders>
              <w:top w:val="nil"/>
              <w:left w:val="nil"/>
              <w:bottom w:val="single" w:sz="4" w:space="0" w:color="auto"/>
              <w:right w:val="single" w:sz="4" w:space="0" w:color="auto"/>
            </w:tcBorders>
            <w:shd w:val="clear" w:color="auto" w:fill="auto"/>
            <w:noWrap/>
            <w:vAlign w:val="bottom"/>
            <w:hideMark/>
          </w:tcPr>
          <w:p w14:paraId="6A4A8E1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0.0896</w:t>
            </w:r>
          </w:p>
        </w:tc>
        <w:tc>
          <w:tcPr>
            <w:tcW w:w="825" w:type="dxa"/>
            <w:tcBorders>
              <w:top w:val="nil"/>
              <w:left w:val="nil"/>
              <w:bottom w:val="single" w:sz="4" w:space="0" w:color="auto"/>
              <w:right w:val="single" w:sz="4" w:space="0" w:color="auto"/>
            </w:tcBorders>
            <w:shd w:val="clear" w:color="000000" w:fill="E7E6E6"/>
            <w:noWrap/>
            <w:vAlign w:val="bottom"/>
            <w:hideMark/>
          </w:tcPr>
          <w:p w14:paraId="4938F73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0.0670</w:t>
            </w:r>
          </w:p>
        </w:tc>
        <w:tc>
          <w:tcPr>
            <w:tcW w:w="655" w:type="dxa"/>
            <w:tcBorders>
              <w:top w:val="nil"/>
              <w:left w:val="nil"/>
              <w:bottom w:val="single" w:sz="4" w:space="0" w:color="auto"/>
              <w:right w:val="single" w:sz="4" w:space="0" w:color="auto"/>
            </w:tcBorders>
            <w:shd w:val="clear" w:color="auto" w:fill="auto"/>
            <w:noWrap/>
            <w:vAlign w:val="bottom"/>
            <w:hideMark/>
          </w:tcPr>
          <w:p w14:paraId="2970FF6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0.0408</w:t>
            </w:r>
          </w:p>
        </w:tc>
        <w:tc>
          <w:tcPr>
            <w:tcW w:w="825" w:type="dxa"/>
            <w:tcBorders>
              <w:top w:val="nil"/>
              <w:left w:val="nil"/>
              <w:bottom w:val="single" w:sz="4" w:space="0" w:color="auto"/>
              <w:right w:val="single" w:sz="4" w:space="0" w:color="auto"/>
            </w:tcBorders>
            <w:shd w:val="clear" w:color="000000" w:fill="E7E6E6"/>
            <w:noWrap/>
            <w:vAlign w:val="bottom"/>
            <w:hideMark/>
          </w:tcPr>
          <w:p w14:paraId="6F02E70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0.0305</w:t>
            </w:r>
          </w:p>
        </w:tc>
        <w:tc>
          <w:tcPr>
            <w:tcW w:w="655" w:type="dxa"/>
            <w:tcBorders>
              <w:top w:val="nil"/>
              <w:left w:val="nil"/>
              <w:bottom w:val="single" w:sz="4" w:space="0" w:color="auto"/>
              <w:right w:val="single" w:sz="4" w:space="0" w:color="auto"/>
            </w:tcBorders>
            <w:shd w:val="clear" w:color="auto" w:fill="auto"/>
            <w:noWrap/>
            <w:vAlign w:val="bottom"/>
            <w:hideMark/>
          </w:tcPr>
          <w:p w14:paraId="5D653AB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0.0198</w:t>
            </w:r>
          </w:p>
        </w:tc>
        <w:tc>
          <w:tcPr>
            <w:tcW w:w="825" w:type="dxa"/>
            <w:tcBorders>
              <w:top w:val="nil"/>
              <w:left w:val="nil"/>
              <w:bottom w:val="single" w:sz="4" w:space="0" w:color="auto"/>
              <w:right w:val="single" w:sz="4" w:space="0" w:color="auto"/>
            </w:tcBorders>
            <w:shd w:val="clear" w:color="000000" w:fill="E7E6E6"/>
            <w:noWrap/>
            <w:vAlign w:val="bottom"/>
            <w:hideMark/>
          </w:tcPr>
          <w:p w14:paraId="0F89D25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0.0148</w:t>
            </w:r>
          </w:p>
        </w:tc>
      </w:tr>
      <w:tr w:rsidR="00B235E8" w:rsidRPr="004C50A0" w14:paraId="4B3EA883"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80ADABF"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&gt;8.5 to 14.5 GHz</w:t>
            </w:r>
          </w:p>
        </w:tc>
        <w:tc>
          <w:tcPr>
            <w:tcW w:w="655" w:type="dxa"/>
            <w:tcBorders>
              <w:top w:val="nil"/>
              <w:left w:val="nil"/>
              <w:bottom w:val="single" w:sz="4" w:space="0" w:color="auto"/>
              <w:right w:val="single" w:sz="4" w:space="0" w:color="auto"/>
            </w:tcBorders>
            <w:shd w:val="clear" w:color="auto" w:fill="auto"/>
            <w:noWrap/>
            <w:vAlign w:val="bottom"/>
            <w:hideMark/>
          </w:tcPr>
          <w:p w14:paraId="5376DAA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0.4588</w:t>
            </w:r>
          </w:p>
        </w:tc>
        <w:tc>
          <w:tcPr>
            <w:tcW w:w="825" w:type="dxa"/>
            <w:tcBorders>
              <w:top w:val="nil"/>
              <w:left w:val="nil"/>
              <w:bottom w:val="single" w:sz="4" w:space="0" w:color="auto"/>
              <w:right w:val="single" w:sz="4" w:space="0" w:color="auto"/>
            </w:tcBorders>
            <w:shd w:val="clear" w:color="000000" w:fill="E7E6E6"/>
            <w:noWrap/>
            <w:vAlign w:val="bottom"/>
            <w:hideMark/>
          </w:tcPr>
          <w:p w14:paraId="11AF2FE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0.2287</w:t>
            </w:r>
          </w:p>
        </w:tc>
        <w:tc>
          <w:tcPr>
            <w:tcW w:w="655" w:type="dxa"/>
            <w:tcBorders>
              <w:top w:val="nil"/>
              <w:left w:val="nil"/>
              <w:bottom w:val="single" w:sz="4" w:space="0" w:color="auto"/>
              <w:right w:val="single" w:sz="4" w:space="0" w:color="auto"/>
            </w:tcBorders>
            <w:shd w:val="clear" w:color="auto" w:fill="auto"/>
            <w:noWrap/>
            <w:vAlign w:val="bottom"/>
            <w:hideMark/>
          </w:tcPr>
          <w:p w14:paraId="08CCA43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0.1652</w:t>
            </w:r>
          </w:p>
        </w:tc>
        <w:tc>
          <w:tcPr>
            <w:tcW w:w="825" w:type="dxa"/>
            <w:tcBorders>
              <w:top w:val="nil"/>
              <w:left w:val="nil"/>
              <w:bottom w:val="single" w:sz="4" w:space="0" w:color="auto"/>
              <w:right w:val="single" w:sz="4" w:space="0" w:color="auto"/>
            </w:tcBorders>
            <w:shd w:val="clear" w:color="000000" w:fill="E7E6E6"/>
            <w:noWrap/>
            <w:vAlign w:val="bottom"/>
            <w:hideMark/>
          </w:tcPr>
          <w:p w14:paraId="2DC4341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0.0823</w:t>
            </w:r>
          </w:p>
        </w:tc>
        <w:tc>
          <w:tcPr>
            <w:tcW w:w="655" w:type="dxa"/>
            <w:tcBorders>
              <w:top w:val="nil"/>
              <w:left w:val="nil"/>
              <w:bottom w:val="single" w:sz="4" w:space="0" w:color="auto"/>
              <w:right w:val="single" w:sz="4" w:space="0" w:color="auto"/>
            </w:tcBorders>
            <w:shd w:val="clear" w:color="auto" w:fill="auto"/>
            <w:noWrap/>
            <w:vAlign w:val="bottom"/>
            <w:hideMark/>
          </w:tcPr>
          <w:p w14:paraId="5B0EF79F"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0.0391</w:t>
            </w:r>
          </w:p>
        </w:tc>
        <w:tc>
          <w:tcPr>
            <w:tcW w:w="825" w:type="dxa"/>
            <w:tcBorders>
              <w:top w:val="nil"/>
              <w:left w:val="nil"/>
              <w:bottom w:val="single" w:sz="4" w:space="0" w:color="auto"/>
              <w:right w:val="single" w:sz="4" w:space="0" w:color="auto"/>
            </w:tcBorders>
            <w:shd w:val="clear" w:color="000000" w:fill="E7E6E6"/>
            <w:noWrap/>
            <w:vAlign w:val="bottom"/>
            <w:hideMark/>
          </w:tcPr>
          <w:p w14:paraId="683E817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0.0195</w:t>
            </w:r>
          </w:p>
        </w:tc>
        <w:tc>
          <w:tcPr>
            <w:tcW w:w="655" w:type="dxa"/>
            <w:tcBorders>
              <w:top w:val="nil"/>
              <w:left w:val="nil"/>
              <w:bottom w:val="single" w:sz="4" w:space="0" w:color="auto"/>
              <w:right w:val="single" w:sz="4" w:space="0" w:color="auto"/>
            </w:tcBorders>
            <w:shd w:val="clear" w:color="auto" w:fill="auto"/>
            <w:noWrap/>
            <w:vAlign w:val="bottom"/>
            <w:hideMark/>
          </w:tcPr>
          <w:p w14:paraId="40FA02A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0.0028</w:t>
            </w:r>
          </w:p>
        </w:tc>
        <w:tc>
          <w:tcPr>
            <w:tcW w:w="825" w:type="dxa"/>
            <w:tcBorders>
              <w:top w:val="nil"/>
              <w:left w:val="nil"/>
              <w:bottom w:val="single" w:sz="4" w:space="0" w:color="auto"/>
              <w:right w:val="single" w:sz="4" w:space="0" w:color="auto"/>
            </w:tcBorders>
            <w:shd w:val="clear" w:color="000000" w:fill="E7E6E6"/>
            <w:noWrap/>
            <w:vAlign w:val="bottom"/>
            <w:hideMark/>
          </w:tcPr>
          <w:p w14:paraId="5245B37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0.0014</w:t>
            </w:r>
          </w:p>
        </w:tc>
        <w:tc>
          <w:tcPr>
            <w:tcW w:w="655" w:type="dxa"/>
            <w:tcBorders>
              <w:top w:val="nil"/>
              <w:left w:val="nil"/>
              <w:bottom w:val="single" w:sz="4" w:space="0" w:color="auto"/>
              <w:right w:val="single" w:sz="4" w:space="0" w:color="auto"/>
            </w:tcBorders>
            <w:shd w:val="clear" w:color="auto" w:fill="auto"/>
            <w:noWrap/>
            <w:vAlign w:val="bottom"/>
            <w:hideMark/>
          </w:tcPr>
          <w:p w14:paraId="570399E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0.0014</w:t>
            </w:r>
          </w:p>
        </w:tc>
        <w:tc>
          <w:tcPr>
            <w:tcW w:w="825" w:type="dxa"/>
            <w:tcBorders>
              <w:top w:val="nil"/>
              <w:left w:val="nil"/>
              <w:bottom w:val="single" w:sz="4" w:space="0" w:color="auto"/>
              <w:right w:val="single" w:sz="4" w:space="0" w:color="auto"/>
            </w:tcBorders>
            <w:shd w:val="clear" w:color="000000" w:fill="E7E6E6"/>
            <w:noWrap/>
            <w:vAlign w:val="bottom"/>
            <w:hideMark/>
          </w:tcPr>
          <w:p w14:paraId="4034F8E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0.0007</w:t>
            </w:r>
          </w:p>
        </w:tc>
      </w:tr>
      <w:tr w:rsidR="00B235E8" w:rsidRPr="004C50A0" w14:paraId="7F44AC22"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DD3929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&gt;14.5 to 31.3 GHz</w:t>
            </w:r>
          </w:p>
        </w:tc>
        <w:tc>
          <w:tcPr>
            <w:tcW w:w="655" w:type="dxa"/>
            <w:tcBorders>
              <w:top w:val="nil"/>
              <w:left w:val="nil"/>
              <w:bottom w:val="single" w:sz="4" w:space="0" w:color="auto"/>
              <w:right w:val="single" w:sz="4" w:space="0" w:color="auto"/>
            </w:tcBorders>
            <w:shd w:val="clear" w:color="auto" w:fill="auto"/>
            <w:noWrap/>
            <w:vAlign w:val="bottom"/>
            <w:hideMark/>
          </w:tcPr>
          <w:p w14:paraId="78AA8A81"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0.4588</w:t>
            </w:r>
          </w:p>
        </w:tc>
        <w:tc>
          <w:tcPr>
            <w:tcW w:w="825" w:type="dxa"/>
            <w:tcBorders>
              <w:top w:val="nil"/>
              <w:left w:val="nil"/>
              <w:bottom w:val="single" w:sz="4" w:space="0" w:color="auto"/>
              <w:right w:val="single" w:sz="4" w:space="0" w:color="auto"/>
            </w:tcBorders>
            <w:shd w:val="clear" w:color="000000" w:fill="E7E6E6"/>
            <w:noWrap/>
            <w:vAlign w:val="bottom"/>
            <w:hideMark/>
          </w:tcPr>
          <w:p w14:paraId="4190822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0.0457</w:t>
            </w:r>
          </w:p>
        </w:tc>
        <w:tc>
          <w:tcPr>
            <w:tcW w:w="655" w:type="dxa"/>
            <w:tcBorders>
              <w:top w:val="nil"/>
              <w:left w:val="nil"/>
              <w:bottom w:val="single" w:sz="4" w:space="0" w:color="auto"/>
              <w:right w:val="single" w:sz="4" w:space="0" w:color="auto"/>
            </w:tcBorders>
            <w:shd w:val="clear" w:color="auto" w:fill="auto"/>
            <w:noWrap/>
            <w:vAlign w:val="bottom"/>
            <w:hideMark/>
          </w:tcPr>
          <w:p w14:paraId="5FDE05C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0.1221</w:t>
            </w:r>
          </w:p>
        </w:tc>
        <w:tc>
          <w:tcPr>
            <w:tcW w:w="825" w:type="dxa"/>
            <w:tcBorders>
              <w:top w:val="nil"/>
              <w:left w:val="nil"/>
              <w:bottom w:val="single" w:sz="4" w:space="0" w:color="auto"/>
              <w:right w:val="single" w:sz="4" w:space="0" w:color="auto"/>
            </w:tcBorders>
            <w:shd w:val="clear" w:color="000000" w:fill="E7E6E6"/>
            <w:noWrap/>
            <w:vAlign w:val="bottom"/>
            <w:hideMark/>
          </w:tcPr>
          <w:p w14:paraId="6390ADE9"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0.0122</w:t>
            </w:r>
          </w:p>
        </w:tc>
        <w:tc>
          <w:tcPr>
            <w:tcW w:w="655" w:type="dxa"/>
            <w:tcBorders>
              <w:top w:val="nil"/>
              <w:left w:val="nil"/>
              <w:bottom w:val="single" w:sz="4" w:space="0" w:color="auto"/>
              <w:right w:val="single" w:sz="4" w:space="0" w:color="auto"/>
            </w:tcBorders>
            <w:shd w:val="clear" w:color="auto" w:fill="auto"/>
            <w:noWrap/>
            <w:vAlign w:val="bottom"/>
            <w:hideMark/>
          </w:tcPr>
          <w:p w14:paraId="406C9ED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0.0268</w:t>
            </w:r>
          </w:p>
        </w:tc>
        <w:tc>
          <w:tcPr>
            <w:tcW w:w="825" w:type="dxa"/>
            <w:tcBorders>
              <w:top w:val="nil"/>
              <w:left w:val="nil"/>
              <w:bottom w:val="single" w:sz="4" w:space="0" w:color="auto"/>
              <w:right w:val="single" w:sz="4" w:space="0" w:color="auto"/>
            </w:tcBorders>
            <w:shd w:val="clear" w:color="000000" w:fill="E7E6E6"/>
            <w:noWrap/>
            <w:vAlign w:val="bottom"/>
            <w:hideMark/>
          </w:tcPr>
          <w:p w14:paraId="22162D6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0.0027</w:t>
            </w:r>
          </w:p>
        </w:tc>
        <w:tc>
          <w:tcPr>
            <w:tcW w:w="655" w:type="dxa"/>
            <w:tcBorders>
              <w:top w:val="nil"/>
              <w:left w:val="nil"/>
              <w:bottom w:val="single" w:sz="4" w:space="0" w:color="auto"/>
              <w:right w:val="single" w:sz="4" w:space="0" w:color="auto"/>
            </w:tcBorders>
            <w:shd w:val="clear" w:color="auto" w:fill="auto"/>
            <w:noWrap/>
            <w:vAlign w:val="bottom"/>
            <w:hideMark/>
          </w:tcPr>
          <w:p w14:paraId="47D8314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0.0028</w:t>
            </w:r>
          </w:p>
        </w:tc>
        <w:tc>
          <w:tcPr>
            <w:tcW w:w="825" w:type="dxa"/>
            <w:tcBorders>
              <w:top w:val="nil"/>
              <w:left w:val="nil"/>
              <w:bottom w:val="single" w:sz="4" w:space="0" w:color="auto"/>
              <w:right w:val="single" w:sz="4" w:space="0" w:color="auto"/>
            </w:tcBorders>
            <w:shd w:val="clear" w:color="000000" w:fill="E7E6E6"/>
            <w:noWrap/>
            <w:vAlign w:val="bottom"/>
            <w:hideMark/>
          </w:tcPr>
          <w:p w14:paraId="4BE6D2A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712CE99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0.0014</w:t>
            </w:r>
          </w:p>
        </w:tc>
        <w:tc>
          <w:tcPr>
            <w:tcW w:w="825" w:type="dxa"/>
            <w:tcBorders>
              <w:top w:val="nil"/>
              <w:left w:val="nil"/>
              <w:bottom w:val="single" w:sz="4" w:space="0" w:color="auto"/>
              <w:right w:val="single" w:sz="4" w:space="0" w:color="auto"/>
            </w:tcBorders>
            <w:shd w:val="clear" w:color="000000" w:fill="E7E6E6"/>
            <w:noWrap/>
            <w:vAlign w:val="bottom"/>
            <w:hideMark/>
          </w:tcPr>
          <w:p w14:paraId="6309851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0.0001</w:t>
            </w:r>
          </w:p>
        </w:tc>
      </w:tr>
      <w:tr w:rsidR="00B235E8" w:rsidRPr="004C50A0" w14:paraId="313F49D9"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88C853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&gt;31.3 to 51.4 GHz</w:t>
            </w:r>
          </w:p>
        </w:tc>
        <w:tc>
          <w:tcPr>
            <w:tcW w:w="655" w:type="dxa"/>
            <w:tcBorders>
              <w:top w:val="nil"/>
              <w:left w:val="nil"/>
              <w:bottom w:val="single" w:sz="4" w:space="0" w:color="auto"/>
              <w:right w:val="single" w:sz="4" w:space="0" w:color="auto"/>
            </w:tcBorders>
            <w:shd w:val="clear" w:color="auto" w:fill="auto"/>
            <w:noWrap/>
            <w:vAlign w:val="bottom"/>
            <w:hideMark/>
          </w:tcPr>
          <w:p w14:paraId="11DE97E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0.1251</w:t>
            </w:r>
          </w:p>
        </w:tc>
        <w:tc>
          <w:tcPr>
            <w:tcW w:w="825" w:type="dxa"/>
            <w:tcBorders>
              <w:top w:val="nil"/>
              <w:left w:val="nil"/>
              <w:bottom w:val="single" w:sz="4" w:space="0" w:color="auto"/>
              <w:right w:val="single" w:sz="4" w:space="0" w:color="auto"/>
            </w:tcBorders>
            <w:shd w:val="clear" w:color="000000" w:fill="E7E6E6"/>
            <w:noWrap/>
            <w:vAlign w:val="bottom"/>
            <w:hideMark/>
          </w:tcPr>
          <w:p w14:paraId="2376FA8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0.0125</w:t>
            </w:r>
          </w:p>
        </w:tc>
        <w:tc>
          <w:tcPr>
            <w:tcW w:w="655" w:type="dxa"/>
            <w:tcBorders>
              <w:top w:val="nil"/>
              <w:left w:val="nil"/>
              <w:bottom w:val="single" w:sz="4" w:space="0" w:color="auto"/>
              <w:right w:val="single" w:sz="4" w:space="0" w:color="auto"/>
            </w:tcBorders>
            <w:shd w:val="clear" w:color="auto" w:fill="auto"/>
            <w:noWrap/>
            <w:vAlign w:val="bottom"/>
            <w:hideMark/>
          </w:tcPr>
          <w:p w14:paraId="2675AC97"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0.0666</w:t>
            </w:r>
          </w:p>
        </w:tc>
        <w:tc>
          <w:tcPr>
            <w:tcW w:w="825" w:type="dxa"/>
            <w:tcBorders>
              <w:top w:val="nil"/>
              <w:left w:val="nil"/>
              <w:bottom w:val="single" w:sz="4" w:space="0" w:color="auto"/>
              <w:right w:val="single" w:sz="4" w:space="0" w:color="auto"/>
            </w:tcBorders>
            <w:shd w:val="clear" w:color="000000" w:fill="E7E6E6"/>
            <w:noWrap/>
            <w:vAlign w:val="bottom"/>
            <w:hideMark/>
          </w:tcPr>
          <w:p w14:paraId="0B6AE26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0.0066</w:t>
            </w:r>
          </w:p>
        </w:tc>
        <w:tc>
          <w:tcPr>
            <w:tcW w:w="655" w:type="dxa"/>
            <w:tcBorders>
              <w:top w:val="nil"/>
              <w:left w:val="nil"/>
              <w:bottom w:val="single" w:sz="4" w:space="0" w:color="auto"/>
              <w:right w:val="single" w:sz="4" w:space="0" w:color="auto"/>
            </w:tcBorders>
            <w:shd w:val="clear" w:color="auto" w:fill="auto"/>
            <w:noWrap/>
            <w:vAlign w:val="bottom"/>
            <w:hideMark/>
          </w:tcPr>
          <w:p w14:paraId="1E7BDF6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0.0145</w:t>
            </w:r>
          </w:p>
        </w:tc>
        <w:tc>
          <w:tcPr>
            <w:tcW w:w="825" w:type="dxa"/>
            <w:tcBorders>
              <w:top w:val="nil"/>
              <w:left w:val="nil"/>
              <w:bottom w:val="single" w:sz="4" w:space="0" w:color="auto"/>
              <w:right w:val="single" w:sz="4" w:space="0" w:color="auto"/>
            </w:tcBorders>
            <w:shd w:val="clear" w:color="000000" w:fill="E7E6E6"/>
            <w:noWrap/>
            <w:vAlign w:val="bottom"/>
            <w:hideMark/>
          </w:tcPr>
          <w:p w14:paraId="11359044"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0.0014</w:t>
            </w:r>
          </w:p>
        </w:tc>
        <w:tc>
          <w:tcPr>
            <w:tcW w:w="655" w:type="dxa"/>
            <w:tcBorders>
              <w:top w:val="nil"/>
              <w:left w:val="nil"/>
              <w:bottom w:val="single" w:sz="4" w:space="0" w:color="auto"/>
              <w:right w:val="single" w:sz="4" w:space="0" w:color="auto"/>
            </w:tcBorders>
            <w:shd w:val="clear" w:color="auto" w:fill="auto"/>
            <w:noWrap/>
            <w:vAlign w:val="bottom"/>
            <w:hideMark/>
          </w:tcPr>
          <w:p w14:paraId="4EEC362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0.0005</w:t>
            </w:r>
          </w:p>
        </w:tc>
        <w:tc>
          <w:tcPr>
            <w:tcW w:w="825" w:type="dxa"/>
            <w:tcBorders>
              <w:top w:val="nil"/>
              <w:left w:val="nil"/>
              <w:bottom w:val="single" w:sz="4" w:space="0" w:color="auto"/>
              <w:right w:val="single" w:sz="4" w:space="0" w:color="auto"/>
            </w:tcBorders>
            <w:shd w:val="clear" w:color="000000" w:fill="E7E6E6"/>
            <w:noWrap/>
            <w:vAlign w:val="bottom"/>
            <w:hideMark/>
          </w:tcPr>
          <w:p w14:paraId="56E5570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37483C26"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0.0002</w:t>
            </w:r>
          </w:p>
        </w:tc>
        <w:tc>
          <w:tcPr>
            <w:tcW w:w="825" w:type="dxa"/>
            <w:tcBorders>
              <w:top w:val="nil"/>
              <w:left w:val="nil"/>
              <w:bottom w:val="single" w:sz="4" w:space="0" w:color="auto"/>
              <w:right w:val="single" w:sz="4" w:space="0" w:color="auto"/>
            </w:tcBorders>
            <w:shd w:val="clear" w:color="000000" w:fill="E7E6E6"/>
            <w:noWrap/>
            <w:vAlign w:val="bottom"/>
            <w:hideMark/>
          </w:tcPr>
          <w:p w14:paraId="693855C5"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r>
      <w:tr w:rsidR="00B235E8" w:rsidRPr="004C50A0" w14:paraId="3754F361" w14:textId="77777777" w:rsidTr="004C50A0">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400D728"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&gt;51.4 GHz</w:t>
            </w:r>
          </w:p>
        </w:tc>
        <w:tc>
          <w:tcPr>
            <w:tcW w:w="655" w:type="dxa"/>
            <w:tcBorders>
              <w:top w:val="nil"/>
              <w:left w:val="nil"/>
              <w:bottom w:val="single" w:sz="4" w:space="0" w:color="auto"/>
              <w:right w:val="single" w:sz="4" w:space="0" w:color="auto"/>
            </w:tcBorders>
            <w:shd w:val="clear" w:color="auto" w:fill="auto"/>
            <w:noWrap/>
            <w:vAlign w:val="bottom"/>
            <w:hideMark/>
          </w:tcPr>
          <w:p w14:paraId="0F4B04C2"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0.0124</w:t>
            </w:r>
          </w:p>
        </w:tc>
        <w:tc>
          <w:tcPr>
            <w:tcW w:w="825" w:type="dxa"/>
            <w:tcBorders>
              <w:top w:val="nil"/>
              <w:left w:val="nil"/>
              <w:bottom w:val="single" w:sz="4" w:space="0" w:color="auto"/>
              <w:right w:val="single" w:sz="4" w:space="0" w:color="auto"/>
            </w:tcBorders>
            <w:shd w:val="clear" w:color="000000" w:fill="E7E6E6"/>
            <w:noWrap/>
            <w:vAlign w:val="bottom"/>
            <w:hideMark/>
          </w:tcPr>
          <w:p w14:paraId="4C02372E"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0.0012</w:t>
            </w:r>
          </w:p>
        </w:tc>
        <w:tc>
          <w:tcPr>
            <w:tcW w:w="655" w:type="dxa"/>
            <w:tcBorders>
              <w:top w:val="nil"/>
              <w:left w:val="nil"/>
              <w:bottom w:val="single" w:sz="4" w:space="0" w:color="auto"/>
              <w:right w:val="single" w:sz="4" w:space="0" w:color="auto"/>
            </w:tcBorders>
            <w:shd w:val="clear" w:color="auto" w:fill="auto"/>
            <w:noWrap/>
            <w:vAlign w:val="bottom"/>
            <w:hideMark/>
          </w:tcPr>
          <w:p w14:paraId="0C0BBC1A"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0.0012</w:t>
            </w:r>
          </w:p>
        </w:tc>
        <w:tc>
          <w:tcPr>
            <w:tcW w:w="825" w:type="dxa"/>
            <w:tcBorders>
              <w:top w:val="nil"/>
              <w:left w:val="nil"/>
              <w:bottom w:val="single" w:sz="4" w:space="0" w:color="auto"/>
              <w:right w:val="single" w:sz="4" w:space="0" w:color="auto"/>
            </w:tcBorders>
            <w:shd w:val="clear" w:color="000000" w:fill="E7E6E6"/>
            <w:noWrap/>
            <w:vAlign w:val="bottom"/>
            <w:hideMark/>
          </w:tcPr>
          <w:p w14:paraId="393BE38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499365DD"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0.0012</w:t>
            </w:r>
          </w:p>
        </w:tc>
        <w:tc>
          <w:tcPr>
            <w:tcW w:w="825" w:type="dxa"/>
            <w:tcBorders>
              <w:top w:val="nil"/>
              <w:left w:val="nil"/>
              <w:bottom w:val="single" w:sz="4" w:space="0" w:color="auto"/>
              <w:right w:val="single" w:sz="4" w:space="0" w:color="auto"/>
            </w:tcBorders>
            <w:shd w:val="clear" w:color="000000" w:fill="E7E6E6"/>
            <w:noWrap/>
            <w:vAlign w:val="bottom"/>
            <w:hideMark/>
          </w:tcPr>
          <w:p w14:paraId="36B7AA40"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3F0B205B"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28E52B5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7ABD3C43"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48BDE05C" w14:textId="77777777" w:rsidR="004C50A0" w:rsidRPr="004C50A0" w:rsidRDefault="004C50A0" w:rsidP="004C50A0">
            <w:pPr>
              <w:spacing w:after="0" w:line="240" w:lineRule="auto"/>
              <w:rPr>
                <w:rFonts w:cs="Arial"/>
                <w:color w:val="000000"/>
                <w:sz w:val="12"/>
                <w:szCs w:val="12"/>
              </w:rPr>
            </w:pPr>
            <w:r w:rsidRPr="004C50A0">
              <w:rPr>
                <w:rFonts w:cs="Arial"/>
                <w:color w:val="000000"/>
                <w:sz w:val="12"/>
                <w:szCs w:val="12"/>
              </w:rPr>
              <w:t>0.0000</w:t>
            </w:r>
          </w:p>
        </w:tc>
      </w:tr>
    </w:tbl>
    <w:p w14:paraId="0C53CE2E" w14:textId="749E0213" w:rsidR="007837EB" w:rsidRDefault="00661276" w:rsidP="00CA6638">
      <w:pPr>
        <w:pStyle w:val="Tableorfigurenote"/>
      </w:pPr>
      <w:r>
        <w:t>* These taxes relate to Table 402 in the Transmitter Licence Tax Determination and Table 302 of the Receiver Licence Tax Determination.</w:t>
      </w:r>
    </w:p>
    <w:p w14:paraId="6B1CE285" w14:textId="135C8D3A" w:rsidR="005B19EB" w:rsidRPr="00046DA5" w:rsidRDefault="005B19EB">
      <w:pPr>
        <w:pStyle w:val="Heading3"/>
        <w:spacing w:after="80"/>
      </w:pPr>
      <w:r>
        <w:t>Division</w:t>
      </w:r>
      <w:r w:rsidR="004716AD">
        <w:t>s</w:t>
      </w:r>
      <w:r>
        <w:t xml:space="preserve"> 3</w:t>
      </w:r>
      <w:r w:rsidR="004716AD">
        <w:t xml:space="preserve"> </w:t>
      </w:r>
      <w:r w:rsidR="00754DCC">
        <w:t>of the</w:t>
      </w:r>
      <w:r w:rsidR="000C6D91">
        <w:t xml:space="preserve"> Apparatus Licence Fee Schedule</w:t>
      </w:r>
      <w:r w:rsidR="000C6D91" w:rsidDel="000C6D91">
        <w:t xml:space="preserve"> </w:t>
      </w:r>
      <w:r w:rsidR="000C6D91">
        <w:t>– f</w:t>
      </w:r>
      <w:r w:rsidR="007444DC">
        <w:t>ixed point-to-multipoint licen</w:t>
      </w:r>
      <w:r w:rsidR="00B837F2">
        <w:t>c</w:t>
      </w:r>
      <w:r w:rsidR="007444DC">
        <w:t>es</w:t>
      </w:r>
      <w:r w:rsidR="004716AD">
        <w:t xml:space="preserve"> </w:t>
      </w:r>
    </w:p>
    <w:p w14:paraId="463CAFF9" w14:textId="4FC99BBE" w:rsidR="005B19EB" w:rsidRDefault="005B19EB" w:rsidP="005B19EB">
      <w:pPr>
        <w:pStyle w:val="Paragraph"/>
        <w:tabs>
          <w:tab w:val="left" w:pos="720"/>
        </w:tabs>
        <w:spacing w:after="80"/>
      </w:pPr>
      <w:r>
        <w:t xml:space="preserve">Table </w:t>
      </w:r>
      <w:r w:rsidR="006615BA">
        <w:t>12</w:t>
      </w:r>
      <w:r w:rsidR="00AB31E0">
        <w:t xml:space="preserve"> </w:t>
      </w:r>
      <w:r w:rsidR="00A65128">
        <w:t>of the</w:t>
      </w:r>
      <w:r w:rsidR="000C6D91">
        <w:t xml:space="preserve"> Apparatus Licence Fee Schedule</w:t>
      </w:r>
      <w:r>
        <w:t>. Annual licen</w:t>
      </w:r>
      <w:r w:rsidR="00B837F2">
        <w:t>c</w:t>
      </w:r>
      <w:r>
        <w:t xml:space="preserve">e tax </w:t>
      </w:r>
      <w:r w:rsidR="004D5ADC">
        <w:br/>
      </w:r>
      <w:r>
        <w:t>($ per kHz</w:t>
      </w:r>
      <w:proofErr w:type="gramStart"/>
      <w:r>
        <w:t>)</w:t>
      </w:r>
      <w:r w:rsidR="000C6D91">
        <w:t>.</w:t>
      </w:r>
      <w:r w:rsidR="00DD4C35">
        <w:t>*</w:t>
      </w:r>
      <w:proofErr w:type="gramEnd"/>
      <w:r w:rsidR="000C6D91">
        <w:t xml:space="preserve"> </w:t>
      </w:r>
    </w:p>
    <w:tbl>
      <w:tblPr>
        <w:tblW w:w="8853" w:type="dxa"/>
        <w:tblLook w:val="04A0" w:firstRow="1" w:lastRow="0" w:firstColumn="1" w:lastColumn="0" w:noHBand="0" w:noVBand="1"/>
      </w:tblPr>
      <w:tblGrid>
        <w:gridCol w:w="1420"/>
        <w:gridCol w:w="732"/>
        <w:gridCol w:w="804"/>
        <w:gridCol w:w="731"/>
        <w:gridCol w:w="804"/>
        <w:gridCol w:w="650"/>
        <w:gridCol w:w="804"/>
        <w:gridCol w:w="650"/>
        <w:gridCol w:w="804"/>
        <w:gridCol w:w="650"/>
        <w:gridCol w:w="804"/>
      </w:tblGrid>
      <w:tr w:rsidR="00164414" w:rsidRPr="00164414" w14:paraId="295FE153" w14:textId="77777777" w:rsidTr="00D57A1E">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491BBEE7"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Spectrum location</w:t>
            </w:r>
          </w:p>
        </w:tc>
        <w:tc>
          <w:tcPr>
            <w:tcW w:w="7433" w:type="dxa"/>
            <w:gridSpan w:val="10"/>
            <w:tcBorders>
              <w:top w:val="nil"/>
              <w:left w:val="nil"/>
              <w:bottom w:val="nil"/>
              <w:right w:val="nil"/>
            </w:tcBorders>
            <w:shd w:val="clear" w:color="000000" w:fill="404040"/>
            <w:noWrap/>
            <w:vAlign w:val="bottom"/>
            <w:hideMark/>
          </w:tcPr>
          <w:p w14:paraId="48777211"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Geographic location</w:t>
            </w:r>
          </w:p>
        </w:tc>
      </w:tr>
      <w:tr w:rsidR="00164414" w:rsidRPr="00164414" w14:paraId="312282F9" w14:textId="77777777" w:rsidTr="00D57A1E">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5E53FD40" w14:textId="77777777" w:rsidR="00164414" w:rsidRPr="00164414" w:rsidRDefault="00164414" w:rsidP="00164414">
            <w:pPr>
              <w:spacing w:after="0" w:line="240" w:lineRule="auto"/>
              <w:rPr>
                <w:rFonts w:cs="Arial"/>
                <w:b/>
                <w:bCs/>
                <w:color w:val="FFFFFF"/>
                <w:sz w:val="12"/>
                <w:szCs w:val="12"/>
              </w:rPr>
            </w:pPr>
          </w:p>
        </w:tc>
        <w:tc>
          <w:tcPr>
            <w:tcW w:w="1536" w:type="dxa"/>
            <w:gridSpan w:val="2"/>
            <w:tcBorders>
              <w:top w:val="single" w:sz="4" w:space="0" w:color="auto"/>
              <w:left w:val="nil"/>
              <w:bottom w:val="nil"/>
              <w:right w:val="single" w:sz="4" w:space="0" w:color="000000"/>
            </w:tcBorders>
            <w:shd w:val="clear" w:color="000000" w:fill="404040"/>
            <w:noWrap/>
            <w:vAlign w:val="bottom"/>
            <w:hideMark/>
          </w:tcPr>
          <w:p w14:paraId="572760C2"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Australia-wide</w:t>
            </w:r>
          </w:p>
        </w:tc>
        <w:tc>
          <w:tcPr>
            <w:tcW w:w="1535" w:type="dxa"/>
            <w:gridSpan w:val="2"/>
            <w:tcBorders>
              <w:top w:val="single" w:sz="4" w:space="0" w:color="auto"/>
              <w:left w:val="nil"/>
              <w:bottom w:val="nil"/>
              <w:right w:val="single" w:sz="4" w:space="0" w:color="000000"/>
            </w:tcBorders>
            <w:shd w:val="clear" w:color="000000" w:fill="404040"/>
            <w:noWrap/>
            <w:vAlign w:val="bottom"/>
            <w:hideMark/>
          </w:tcPr>
          <w:p w14:paraId="1CB7CA85"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High density</w:t>
            </w:r>
          </w:p>
        </w:tc>
        <w:tc>
          <w:tcPr>
            <w:tcW w:w="1454" w:type="dxa"/>
            <w:gridSpan w:val="2"/>
            <w:tcBorders>
              <w:top w:val="single" w:sz="4" w:space="0" w:color="auto"/>
              <w:left w:val="nil"/>
              <w:bottom w:val="nil"/>
              <w:right w:val="single" w:sz="4" w:space="0" w:color="000000"/>
            </w:tcBorders>
            <w:shd w:val="clear" w:color="000000" w:fill="404040"/>
            <w:noWrap/>
            <w:vAlign w:val="bottom"/>
            <w:hideMark/>
          </w:tcPr>
          <w:p w14:paraId="51E11433"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Medium density</w:t>
            </w:r>
          </w:p>
        </w:tc>
        <w:tc>
          <w:tcPr>
            <w:tcW w:w="1454" w:type="dxa"/>
            <w:gridSpan w:val="2"/>
            <w:tcBorders>
              <w:top w:val="single" w:sz="4" w:space="0" w:color="auto"/>
              <w:left w:val="nil"/>
              <w:bottom w:val="nil"/>
              <w:right w:val="single" w:sz="4" w:space="0" w:color="000000"/>
            </w:tcBorders>
            <w:shd w:val="clear" w:color="000000" w:fill="404040"/>
            <w:noWrap/>
            <w:vAlign w:val="bottom"/>
            <w:hideMark/>
          </w:tcPr>
          <w:p w14:paraId="42D0D819"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Low density</w:t>
            </w:r>
          </w:p>
        </w:tc>
        <w:tc>
          <w:tcPr>
            <w:tcW w:w="1454" w:type="dxa"/>
            <w:gridSpan w:val="2"/>
            <w:tcBorders>
              <w:top w:val="nil"/>
              <w:left w:val="nil"/>
              <w:bottom w:val="nil"/>
              <w:right w:val="nil"/>
            </w:tcBorders>
            <w:shd w:val="clear" w:color="000000" w:fill="404040"/>
            <w:noWrap/>
            <w:vAlign w:val="bottom"/>
            <w:hideMark/>
          </w:tcPr>
          <w:p w14:paraId="60FEFC50"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Remote density</w:t>
            </w:r>
          </w:p>
        </w:tc>
      </w:tr>
      <w:tr w:rsidR="00164414" w:rsidRPr="00164414" w14:paraId="048E22F9" w14:textId="77777777" w:rsidTr="00D57A1E">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1407523E" w14:textId="77777777" w:rsidR="00164414" w:rsidRPr="00164414" w:rsidRDefault="00164414" w:rsidP="00164414">
            <w:pPr>
              <w:spacing w:after="0" w:line="240" w:lineRule="auto"/>
              <w:rPr>
                <w:rFonts w:cs="Arial"/>
                <w:b/>
                <w:bCs/>
                <w:color w:val="FFFFFF"/>
                <w:sz w:val="12"/>
                <w:szCs w:val="12"/>
              </w:rPr>
            </w:pPr>
          </w:p>
        </w:tc>
        <w:tc>
          <w:tcPr>
            <w:tcW w:w="732" w:type="dxa"/>
            <w:tcBorders>
              <w:top w:val="nil"/>
              <w:left w:val="nil"/>
              <w:bottom w:val="single" w:sz="4" w:space="0" w:color="auto"/>
              <w:right w:val="single" w:sz="4" w:space="0" w:color="auto"/>
            </w:tcBorders>
            <w:shd w:val="clear" w:color="000000" w:fill="404040"/>
            <w:noWrap/>
            <w:vAlign w:val="bottom"/>
            <w:hideMark/>
          </w:tcPr>
          <w:p w14:paraId="77EAC872"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Current</w:t>
            </w:r>
          </w:p>
        </w:tc>
        <w:tc>
          <w:tcPr>
            <w:tcW w:w="804" w:type="dxa"/>
            <w:tcBorders>
              <w:top w:val="nil"/>
              <w:left w:val="nil"/>
              <w:bottom w:val="single" w:sz="4" w:space="0" w:color="auto"/>
              <w:right w:val="single" w:sz="4" w:space="0" w:color="auto"/>
            </w:tcBorders>
            <w:shd w:val="clear" w:color="000000" w:fill="404040"/>
            <w:noWrap/>
            <w:vAlign w:val="bottom"/>
            <w:hideMark/>
          </w:tcPr>
          <w:p w14:paraId="0518B8E6"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Proposed</w:t>
            </w:r>
          </w:p>
        </w:tc>
        <w:tc>
          <w:tcPr>
            <w:tcW w:w="731" w:type="dxa"/>
            <w:tcBorders>
              <w:top w:val="nil"/>
              <w:left w:val="nil"/>
              <w:bottom w:val="single" w:sz="4" w:space="0" w:color="auto"/>
              <w:right w:val="single" w:sz="4" w:space="0" w:color="auto"/>
            </w:tcBorders>
            <w:shd w:val="clear" w:color="000000" w:fill="404040"/>
            <w:noWrap/>
            <w:vAlign w:val="bottom"/>
            <w:hideMark/>
          </w:tcPr>
          <w:p w14:paraId="207A1038"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Current</w:t>
            </w:r>
          </w:p>
        </w:tc>
        <w:tc>
          <w:tcPr>
            <w:tcW w:w="804" w:type="dxa"/>
            <w:tcBorders>
              <w:top w:val="nil"/>
              <w:left w:val="nil"/>
              <w:bottom w:val="single" w:sz="4" w:space="0" w:color="auto"/>
              <w:right w:val="single" w:sz="4" w:space="0" w:color="auto"/>
            </w:tcBorders>
            <w:shd w:val="clear" w:color="000000" w:fill="404040"/>
            <w:noWrap/>
            <w:vAlign w:val="bottom"/>
            <w:hideMark/>
          </w:tcPr>
          <w:p w14:paraId="05CD04D2"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Proposed</w:t>
            </w:r>
          </w:p>
        </w:tc>
        <w:tc>
          <w:tcPr>
            <w:tcW w:w="650" w:type="dxa"/>
            <w:tcBorders>
              <w:top w:val="nil"/>
              <w:left w:val="nil"/>
              <w:bottom w:val="single" w:sz="4" w:space="0" w:color="auto"/>
              <w:right w:val="single" w:sz="4" w:space="0" w:color="auto"/>
            </w:tcBorders>
            <w:shd w:val="clear" w:color="000000" w:fill="404040"/>
            <w:noWrap/>
            <w:vAlign w:val="bottom"/>
            <w:hideMark/>
          </w:tcPr>
          <w:p w14:paraId="253EA2EA"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Current</w:t>
            </w:r>
          </w:p>
        </w:tc>
        <w:tc>
          <w:tcPr>
            <w:tcW w:w="804" w:type="dxa"/>
            <w:tcBorders>
              <w:top w:val="nil"/>
              <w:left w:val="nil"/>
              <w:bottom w:val="single" w:sz="4" w:space="0" w:color="auto"/>
              <w:right w:val="single" w:sz="4" w:space="0" w:color="auto"/>
            </w:tcBorders>
            <w:shd w:val="clear" w:color="000000" w:fill="404040"/>
            <w:noWrap/>
            <w:vAlign w:val="bottom"/>
            <w:hideMark/>
          </w:tcPr>
          <w:p w14:paraId="6EFCAE71"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Proposed</w:t>
            </w:r>
          </w:p>
        </w:tc>
        <w:tc>
          <w:tcPr>
            <w:tcW w:w="650" w:type="dxa"/>
            <w:tcBorders>
              <w:top w:val="nil"/>
              <w:left w:val="nil"/>
              <w:bottom w:val="single" w:sz="4" w:space="0" w:color="auto"/>
              <w:right w:val="single" w:sz="4" w:space="0" w:color="auto"/>
            </w:tcBorders>
            <w:shd w:val="clear" w:color="000000" w:fill="404040"/>
            <w:noWrap/>
            <w:vAlign w:val="bottom"/>
            <w:hideMark/>
          </w:tcPr>
          <w:p w14:paraId="6EBD112B"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Current</w:t>
            </w:r>
          </w:p>
        </w:tc>
        <w:tc>
          <w:tcPr>
            <w:tcW w:w="804" w:type="dxa"/>
            <w:tcBorders>
              <w:top w:val="nil"/>
              <w:left w:val="nil"/>
              <w:bottom w:val="single" w:sz="4" w:space="0" w:color="auto"/>
              <w:right w:val="single" w:sz="4" w:space="0" w:color="auto"/>
            </w:tcBorders>
            <w:shd w:val="clear" w:color="000000" w:fill="404040"/>
            <w:noWrap/>
            <w:vAlign w:val="bottom"/>
            <w:hideMark/>
          </w:tcPr>
          <w:p w14:paraId="6648A304"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Proposed</w:t>
            </w:r>
          </w:p>
        </w:tc>
        <w:tc>
          <w:tcPr>
            <w:tcW w:w="650" w:type="dxa"/>
            <w:tcBorders>
              <w:top w:val="nil"/>
              <w:left w:val="nil"/>
              <w:bottom w:val="single" w:sz="4" w:space="0" w:color="auto"/>
              <w:right w:val="single" w:sz="4" w:space="0" w:color="auto"/>
            </w:tcBorders>
            <w:shd w:val="clear" w:color="000000" w:fill="404040"/>
            <w:noWrap/>
            <w:vAlign w:val="bottom"/>
            <w:hideMark/>
          </w:tcPr>
          <w:p w14:paraId="0BA2CF29"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Current</w:t>
            </w:r>
          </w:p>
        </w:tc>
        <w:tc>
          <w:tcPr>
            <w:tcW w:w="804" w:type="dxa"/>
            <w:tcBorders>
              <w:top w:val="nil"/>
              <w:left w:val="nil"/>
              <w:bottom w:val="single" w:sz="4" w:space="0" w:color="auto"/>
              <w:right w:val="single" w:sz="4" w:space="0" w:color="auto"/>
            </w:tcBorders>
            <w:shd w:val="clear" w:color="000000" w:fill="404040"/>
            <w:noWrap/>
            <w:vAlign w:val="bottom"/>
            <w:hideMark/>
          </w:tcPr>
          <w:p w14:paraId="7FF21149" w14:textId="77777777" w:rsidR="00164414" w:rsidRPr="00164414" w:rsidRDefault="00164414" w:rsidP="00164414">
            <w:pPr>
              <w:spacing w:after="0" w:line="240" w:lineRule="auto"/>
              <w:rPr>
                <w:rFonts w:cs="Arial"/>
                <w:b/>
                <w:bCs/>
                <w:color w:val="FFFFFF"/>
                <w:sz w:val="12"/>
                <w:szCs w:val="12"/>
              </w:rPr>
            </w:pPr>
            <w:r w:rsidRPr="00164414">
              <w:rPr>
                <w:rFonts w:cs="Arial"/>
                <w:b/>
                <w:bCs/>
                <w:color w:val="FFFFFF"/>
                <w:sz w:val="12"/>
                <w:szCs w:val="12"/>
              </w:rPr>
              <w:t>Proposed</w:t>
            </w:r>
          </w:p>
        </w:tc>
      </w:tr>
      <w:tr w:rsidR="00164414" w:rsidRPr="00164414" w14:paraId="6A24EF69"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BE04AE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 xml:space="preserve"> 0 to 30 MHz</w:t>
            </w:r>
          </w:p>
        </w:tc>
        <w:tc>
          <w:tcPr>
            <w:tcW w:w="732" w:type="dxa"/>
            <w:tcBorders>
              <w:top w:val="nil"/>
              <w:left w:val="nil"/>
              <w:bottom w:val="single" w:sz="4" w:space="0" w:color="auto"/>
              <w:right w:val="single" w:sz="4" w:space="0" w:color="auto"/>
            </w:tcBorders>
            <w:shd w:val="clear" w:color="auto" w:fill="auto"/>
            <w:noWrap/>
            <w:vAlign w:val="bottom"/>
            <w:hideMark/>
          </w:tcPr>
          <w:p w14:paraId="46A64C5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90.2690</w:t>
            </w:r>
          </w:p>
        </w:tc>
        <w:tc>
          <w:tcPr>
            <w:tcW w:w="804" w:type="dxa"/>
            <w:tcBorders>
              <w:top w:val="nil"/>
              <w:left w:val="nil"/>
              <w:bottom w:val="single" w:sz="4" w:space="0" w:color="auto"/>
              <w:right w:val="single" w:sz="4" w:space="0" w:color="auto"/>
            </w:tcBorders>
            <w:shd w:val="clear" w:color="000000" w:fill="E7E6E6"/>
            <w:noWrap/>
            <w:vAlign w:val="bottom"/>
            <w:hideMark/>
          </w:tcPr>
          <w:p w14:paraId="74CBB04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89.9990</w:t>
            </w:r>
          </w:p>
        </w:tc>
        <w:tc>
          <w:tcPr>
            <w:tcW w:w="731" w:type="dxa"/>
            <w:tcBorders>
              <w:top w:val="nil"/>
              <w:left w:val="nil"/>
              <w:bottom w:val="single" w:sz="4" w:space="0" w:color="auto"/>
              <w:right w:val="single" w:sz="4" w:space="0" w:color="auto"/>
            </w:tcBorders>
            <w:shd w:val="clear" w:color="auto" w:fill="auto"/>
            <w:noWrap/>
            <w:vAlign w:val="bottom"/>
            <w:hideMark/>
          </w:tcPr>
          <w:p w14:paraId="453735C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90.2698</w:t>
            </w:r>
          </w:p>
        </w:tc>
        <w:tc>
          <w:tcPr>
            <w:tcW w:w="804" w:type="dxa"/>
            <w:tcBorders>
              <w:top w:val="nil"/>
              <w:left w:val="nil"/>
              <w:bottom w:val="single" w:sz="4" w:space="0" w:color="auto"/>
              <w:right w:val="single" w:sz="4" w:space="0" w:color="auto"/>
            </w:tcBorders>
            <w:shd w:val="clear" w:color="000000" w:fill="E7E6E6"/>
            <w:noWrap/>
            <w:vAlign w:val="bottom"/>
            <w:hideMark/>
          </w:tcPr>
          <w:p w14:paraId="7216783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89.9990</w:t>
            </w:r>
          </w:p>
        </w:tc>
        <w:tc>
          <w:tcPr>
            <w:tcW w:w="650" w:type="dxa"/>
            <w:tcBorders>
              <w:top w:val="nil"/>
              <w:left w:val="nil"/>
              <w:bottom w:val="single" w:sz="4" w:space="0" w:color="auto"/>
              <w:right w:val="single" w:sz="4" w:space="0" w:color="auto"/>
            </w:tcBorders>
            <w:shd w:val="clear" w:color="auto" w:fill="auto"/>
            <w:noWrap/>
            <w:vAlign w:val="bottom"/>
            <w:hideMark/>
          </w:tcPr>
          <w:p w14:paraId="630FCCC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90.2698</w:t>
            </w:r>
          </w:p>
        </w:tc>
        <w:tc>
          <w:tcPr>
            <w:tcW w:w="804" w:type="dxa"/>
            <w:tcBorders>
              <w:top w:val="nil"/>
              <w:left w:val="nil"/>
              <w:bottom w:val="single" w:sz="4" w:space="0" w:color="auto"/>
              <w:right w:val="single" w:sz="4" w:space="0" w:color="auto"/>
            </w:tcBorders>
            <w:shd w:val="clear" w:color="000000" w:fill="E7E6E6"/>
            <w:noWrap/>
            <w:vAlign w:val="bottom"/>
            <w:hideMark/>
          </w:tcPr>
          <w:p w14:paraId="702F914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89.9990</w:t>
            </w:r>
          </w:p>
        </w:tc>
        <w:tc>
          <w:tcPr>
            <w:tcW w:w="650" w:type="dxa"/>
            <w:tcBorders>
              <w:top w:val="nil"/>
              <w:left w:val="nil"/>
              <w:bottom w:val="single" w:sz="4" w:space="0" w:color="auto"/>
              <w:right w:val="single" w:sz="4" w:space="0" w:color="auto"/>
            </w:tcBorders>
            <w:shd w:val="clear" w:color="auto" w:fill="auto"/>
            <w:noWrap/>
            <w:vAlign w:val="bottom"/>
            <w:hideMark/>
          </w:tcPr>
          <w:p w14:paraId="6BE570B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90.2698</w:t>
            </w:r>
          </w:p>
        </w:tc>
        <w:tc>
          <w:tcPr>
            <w:tcW w:w="804" w:type="dxa"/>
            <w:tcBorders>
              <w:top w:val="nil"/>
              <w:left w:val="nil"/>
              <w:bottom w:val="single" w:sz="4" w:space="0" w:color="auto"/>
              <w:right w:val="single" w:sz="4" w:space="0" w:color="auto"/>
            </w:tcBorders>
            <w:shd w:val="clear" w:color="000000" w:fill="E7E6E6"/>
            <w:noWrap/>
            <w:vAlign w:val="bottom"/>
            <w:hideMark/>
          </w:tcPr>
          <w:p w14:paraId="5C2101C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89.9990</w:t>
            </w:r>
          </w:p>
        </w:tc>
        <w:tc>
          <w:tcPr>
            <w:tcW w:w="650" w:type="dxa"/>
            <w:tcBorders>
              <w:top w:val="nil"/>
              <w:left w:val="nil"/>
              <w:bottom w:val="single" w:sz="4" w:space="0" w:color="auto"/>
              <w:right w:val="single" w:sz="4" w:space="0" w:color="auto"/>
            </w:tcBorders>
            <w:shd w:val="clear" w:color="auto" w:fill="auto"/>
            <w:noWrap/>
            <w:vAlign w:val="bottom"/>
            <w:hideMark/>
          </w:tcPr>
          <w:p w14:paraId="794D1FA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56.5913</w:t>
            </w:r>
          </w:p>
        </w:tc>
        <w:tc>
          <w:tcPr>
            <w:tcW w:w="804" w:type="dxa"/>
            <w:tcBorders>
              <w:top w:val="nil"/>
              <w:left w:val="nil"/>
              <w:bottom w:val="single" w:sz="4" w:space="0" w:color="auto"/>
              <w:right w:val="single" w:sz="4" w:space="0" w:color="auto"/>
            </w:tcBorders>
            <w:shd w:val="clear" w:color="000000" w:fill="E7E6E6"/>
            <w:noWrap/>
            <w:vAlign w:val="bottom"/>
            <w:hideMark/>
          </w:tcPr>
          <w:p w14:paraId="1EC4420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56.4214</w:t>
            </w:r>
          </w:p>
        </w:tc>
      </w:tr>
      <w:tr w:rsidR="00164414" w:rsidRPr="00164414" w14:paraId="713D2107"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01813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&gt;30 to 70 MHz</w:t>
            </w:r>
          </w:p>
        </w:tc>
        <w:tc>
          <w:tcPr>
            <w:tcW w:w="732" w:type="dxa"/>
            <w:tcBorders>
              <w:top w:val="nil"/>
              <w:left w:val="nil"/>
              <w:bottom w:val="single" w:sz="4" w:space="0" w:color="auto"/>
              <w:right w:val="single" w:sz="4" w:space="0" w:color="auto"/>
            </w:tcBorders>
            <w:shd w:val="clear" w:color="auto" w:fill="auto"/>
            <w:noWrap/>
            <w:vAlign w:val="bottom"/>
            <w:hideMark/>
          </w:tcPr>
          <w:p w14:paraId="22C5D37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203.9072</w:t>
            </w:r>
          </w:p>
        </w:tc>
        <w:tc>
          <w:tcPr>
            <w:tcW w:w="804" w:type="dxa"/>
            <w:tcBorders>
              <w:top w:val="nil"/>
              <w:left w:val="nil"/>
              <w:bottom w:val="single" w:sz="4" w:space="0" w:color="auto"/>
              <w:right w:val="single" w:sz="4" w:space="0" w:color="auto"/>
            </w:tcBorders>
            <w:shd w:val="clear" w:color="000000" w:fill="E7E6E6"/>
            <w:noWrap/>
            <w:vAlign w:val="bottom"/>
            <w:hideMark/>
          </w:tcPr>
          <w:p w14:paraId="1A4DA16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203.2955</w:t>
            </w:r>
          </w:p>
        </w:tc>
        <w:tc>
          <w:tcPr>
            <w:tcW w:w="731" w:type="dxa"/>
            <w:tcBorders>
              <w:top w:val="nil"/>
              <w:left w:val="nil"/>
              <w:bottom w:val="single" w:sz="4" w:space="0" w:color="auto"/>
              <w:right w:val="single" w:sz="4" w:space="0" w:color="auto"/>
            </w:tcBorders>
            <w:shd w:val="clear" w:color="auto" w:fill="auto"/>
            <w:noWrap/>
            <w:vAlign w:val="bottom"/>
            <w:hideMark/>
          </w:tcPr>
          <w:p w14:paraId="2F365A0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79.6424</w:t>
            </w:r>
          </w:p>
        </w:tc>
        <w:tc>
          <w:tcPr>
            <w:tcW w:w="804" w:type="dxa"/>
            <w:tcBorders>
              <w:top w:val="nil"/>
              <w:left w:val="nil"/>
              <w:bottom w:val="single" w:sz="4" w:space="0" w:color="auto"/>
              <w:right w:val="single" w:sz="4" w:space="0" w:color="auto"/>
            </w:tcBorders>
            <w:shd w:val="clear" w:color="000000" w:fill="E7E6E6"/>
            <w:noWrap/>
            <w:vAlign w:val="bottom"/>
            <w:hideMark/>
          </w:tcPr>
          <w:p w14:paraId="5328249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79.4035</w:t>
            </w:r>
          </w:p>
        </w:tc>
        <w:tc>
          <w:tcPr>
            <w:tcW w:w="650" w:type="dxa"/>
            <w:tcBorders>
              <w:top w:val="nil"/>
              <w:left w:val="nil"/>
              <w:bottom w:val="single" w:sz="4" w:space="0" w:color="auto"/>
              <w:right w:val="single" w:sz="4" w:space="0" w:color="auto"/>
            </w:tcBorders>
            <w:shd w:val="clear" w:color="auto" w:fill="auto"/>
            <w:noWrap/>
            <w:vAlign w:val="bottom"/>
            <w:hideMark/>
          </w:tcPr>
          <w:p w14:paraId="4611A11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42.3630</w:t>
            </w:r>
          </w:p>
        </w:tc>
        <w:tc>
          <w:tcPr>
            <w:tcW w:w="804" w:type="dxa"/>
            <w:tcBorders>
              <w:top w:val="nil"/>
              <w:left w:val="nil"/>
              <w:bottom w:val="single" w:sz="4" w:space="0" w:color="auto"/>
              <w:right w:val="single" w:sz="4" w:space="0" w:color="auto"/>
            </w:tcBorders>
            <w:shd w:val="clear" w:color="000000" w:fill="E7E6E6"/>
            <w:noWrap/>
            <w:vAlign w:val="bottom"/>
            <w:hideMark/>
          </w:tcPr>
          <w:p w14:paraId="2D5D7AB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42.2359</w:t>
            </w:r>
          </w:p>
        </w:tc>
        <w:tc>
          <w:tcPr>
            <w:tcW w:w="650" w:type="dxa"/>
            <w:tcBorders>
              <w:top w:val="nil"/>
              <w:left w:val="nil"/>
              <w:bottom w:val="single" w:sz="4" w:space="0" w:color="auto"/>
              <w:right w:val="single" w:sz="4" w:space="0" w:color="auto"/>
            </w:tcBorders>
            <w:shd w:val="clear" w:color="auto" w:fill="auto"/>
            <w:noWrap/>
            <w:vAlign w:val="bottom"/>
            <w:hideMark/>
          </w:tcPr>
          <w:p w14:paraId="763ABC3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9.1420</w:t>
            </w:r>
          </w:p>
        </w:tc>
        <w:tc>
          <w:tcPr>
            <w:tcW w:w="804" w:type="dxa"/>
            <w:tcBorders>
              <w:top w:val="nil"/>
              <w:left w:val="nil"/>
              <w:bottom w:val="single" w:sz="4" w:space="0" w:color="auto"/>
              <w:right w:val="single" w:sz="4" w:space="0" w:color="auto"/>
            </w:tcBorders>
            <w:shd w:val="clear" w:color="000000" w:fill="E7E6E6"/>
            <w:noWrap/>
            <w:vAlign w:val="bottom"/>
            <w:hideMark/>
          </w:tcPr>
          <w:p w14:paraId="46545B9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9.1146</w:t>
            </w:r>
          </w:p>
        </w:tc>
        <w:tc>
          <w:tcPr>
            <w:tcW w:w="650" w:type="dxa"/>
            <w:tcBorders>
              <w:top w:val="nil"/>
              <w:left w:val="nil"/>
              <w:bottom w:val="single" w:sz="4" w:space="0" w:color="auto"/>
              <w:right w:val="single" w:sz="4" w:space="0" w:color="auto"/>
            </w:tcBorders>
            <w:shd w:val="clear" w:color="auto" w:fill="auto"/>
            <w:noWrap/>
            <w:vAlign w:val="bottom"/>
            <w:hideMark/>
          </w:tcPr>
          <w:p w14:paraId="2D4B356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2.8591</w:t>
            </w:r>
          </w:p>
        </w:tc>
        <w:tc>
          <w:tcPr>
            <w:tcW w:w="804" w:type="dxa"/>
            <w:tcBorders>
              <w:top w:val="nil"/>
              <w:left w:val="nil"/>
              <w:bottom w:val="single" w:sz="4" w:space="0" w:color="auto"/>
              <w:right w:val="single" w:sz="4" w:space="0" w:color="auto"/>
            </w:tcBorders>
            <w:shd w:val="clear" w:color="000000" w:fill="E7E6E6"/>
            <w:noWrap/>
            <w:vAlign w:val="bottom"/>
            <w:hideMark/>
          </w:tcPr>
          <w:p w14:paraId="394D9AE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2.8505</w:t>
            </w:r>
          </w:p>
        </w:tc>
      </w:tr>
      <w:tr w:rsidR="00164414" w:rsidRPr="00164414" w14:paraId="44D56204"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290CD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&gt;70 to 399.9 MHz</w:t>
            </w:r>
          </w:p>
        </w:tc>
        <w:tc>
          <w:tcPr>
            <w:tcW w:w="732" w:type="dxa"/>
            <w:tcBorders>
              <w:top w:val="nil"/>
              <w:left w:val="nil"/>
              <w:bottom w:val="single" w:sz="4" w:space="0" w:color="auto"/>
              <w:right w:val="single" w:sz="4" w:space="0" w:color="auto"/>
            </w:tcBorders>
            <w:shd w:val="clear" w:color="auto" w:fill="auto"/>
            <w:noWrap/>
            <w:vAlign w:val="bottom"/>
            <w:hideMark/>
          </w:tcPr>
          <w:p w14:paraId="2EDD90C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209.2000</w:t>
            </w:r>
          </w:p>
        </w:tc>
        <w:tc>
          <w:tcPr>
            <w:tcW w:w="804" w:type="dxa"/>
            <w:tcBorders>
              <w:top w:val="nil"/>
              <w:left w:val="nil"/>
              <w:bottom w:val="single" w:sz="4" w:space="0" w:color="auto"/>
              <w:right w:val="single" w:sz="4" w:space="0" w:color="auto"/>
            </w:tcBorders>
            <w:shd w:val="clear" w:color="000000" w:fill="E7E6E6"/>
            <w:noWrap/>
            <w:vAlign w:val="bottom"/>
            <w:hideMark/>
          </w:tcPr>
          <w:p w14:paraId="05072C5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208.5724</w:t>
            </w:r>
          </w:p>
        </w:tc>
        <w:tc>
          <w:tcPr>
            <w:tcW w:w="731" w:type="dxa"/>
            <w:tcBorders>
              <w:top w:val="nil"/>
              <w:left w:val="nil"/>
              <w:bottom w:val="single" w:sz="4" w:space="0" w:color="auto"/>
              <w:right w:val="single" w:sz="4" w:space="0" w:color="auto"/>
            </w:tcBorders>
            <w:shd w:val="clear" w:color="auto" w:fill="auto"/>
            <w:noWrap/>
            <w:vAlign w:val="bottom"/>
            <w:hideMark/>
          </w:tcPr>
          <w:p w14:paraId="7F3D7CA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85.8557</w:t>
            </w:r>
          </w:p>
        </w:tc>
        <w:tc>
          <w:tcPr>
            <w:tcW w:w="804" w:type="dxa"/>
            <w:tcBorders>
              <w:top w:val="nil"/>
              <w:left w:val="nil"/>
              <w:bottom w:val="single" w:sz="4" w:space="0" w:color="auto"/>
              <w:right w:val="single" w:sz="4" w:space="0" w:color="auto"/>
            </w:tcBorders>
            <w:shd w:val="clear" w:color="000000" w:fill="E7E6E6"/>
            <w:noWrap/>
            <w:vAlign w:val="bottom"/>
            <w:hideMark/>
          </w:tcPr>
          <w:p w14:paraId="74E39AC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85.5981</w:t>
            </w:r>
          </w:p>
        </w:tc>
        <w:tc>
          <w:tcPr>
            <w:tcW w:w="650" w:type="dxa"/>
            <w:tcBorders>
              <w:top w:val="nil"/>
              <w:left w:val="nil"/>
              <w:bottom w:val="single" w:sz="4" w:space="0" w:color="auto"/>
              <w:right w:val="single" w:sz="4" w:space="0" w:color="auto"/>
            </w:tcBorders>
            <w:shd w:val="clear" w:color="auto" w:fill="auto"/>
            <w:noWrap/>
            <w:vAlign w:val="bottom"/>
            <w:hideMark/>
          </w:tcPr>
          <w:p w14:paraId="5AB4F5F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39.2878</w:t>
            </w:r>
          </w:p>
        </w:tc>
        <w:tc>
          <w:tcPr>
            <w:tcW w:w="804" w:type="dxa"/>
            <w:tcBorders>
              <w:top w:val="nil"/>
              <w:left w:val="nil"/>
              <w:bottom w:val="single" w:sz="4" w:space="0" w:color="auto"/>
              <w:right w:val="single" w:sz="4" w:space="0" w:color="auto"/>
            </w:tcBorders>
            <w:shd w:val="clear" w:color="000000" w:fill="E7E6E6"/>
            <w:noWrap/>
            <w:vAlign w:val="bottom"/>
            <w:hideMark/>
          </w:tcPr>
          <w:p w14:paraId="6B4DF24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39.1699</w:t>
            </w:r>
          </w:p>
        </w:tc>
        <w:tc>
          <w:tcPr>
            <w:tcW w:w="650" w:type="dxa"/>
            <w:tcBorders>
              <w:top w:val="nil"/>
              <w:left w:val="nil"/>
              <w:bottom w:val="single" w:sz="4" w:space="0" w:color="auto"/>
              <w:right w:val="single" w:sz="4" w:space="0" w:color="auto"/>
            </w:tcBorders>
            <w:shd w:val="clear" w:color="auto" w:fill="auto"/>
            <w:noWrap/>
            <w:vAlign w:val="bottom"/>
            <w:hideMark/>
          </w:tcPr>
          <w:p w14:paraId="28557CC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8.8073</w:t>
            </w:r>
          </w:p>
        </w:tc>
        <w:tc>
          <w:tcPr>
            <w:tcW w:w="804" w:type="dxa"/>
            <w:tcBorders>
              <w:top w:val="nil"/>
              <w:left w:val="nil"/>
              <w:bottom w:val="single" w:sz="4" w:space="0" w:color="auto"/>
              <w:right w:val="single" w:sz="4" w:space="0" w:color="auto"/>
            </w:tcBorders>
            <w:shd w:val="clear" w:color="000000" w:fill="E7E6E6"/>
            <w:noWrap/>
            <w:vAlign w:val="bottom"/>
            <w:hideMark/>
          </w:tcPr>
          <w:p w14:paraId="72A1454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8.7809</w:t>
            </w:r>
          </w:p>
        </w:tc>
        <w:tc>
          <w:tcPr>
            <w:tcW w:w="650" w:type="dxa"/>
            <w:tcBorders>
              <w:top w:val="nil"/>
              <w:left w:val="nil"/>
              <w:bottom w:val="single" w:sz="4" w:space="0" w:color="auto"/>
              <w:right w:val="single" w:sz="4" w:space="0" w:color="auto"/>
            </w:tcBorders>
            <w:shd w:val="clear" w:color="auto" w:fill="auto"/>
            <w:noWrap/>
            <w:vAlign w:val="bottom"/>
            <w:hideMark/>
          </w:tcPr>
          <w:p w14:paraId="2FEC4E6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2.7542</w:t>
            </w:r>
          </w:p>
        </w:tc>
        <w:tc>
          <w:tcPr>
            <w:tcW w:w="804" w:type="dxa"/>
            <w:tcBorders>
              <w:top w:val="nil"/>
              <w:left w:val="nil"/>
              <w:bottom w:val="single" w:sz="4" w:space="0" w:color="auto"/>
              <w:right w:val="single" w:sz="4" w:space="0" w:color="auto"/>
            </w:tcBorders>
            <w:shd w:val="clear" w:color="000000" w:fill="E7E6E6"/>
            <w:noWrap/>
            <w:vAlign w:val="bottom"/>
            <w:hideMark/>
          </w:tcPr>
          <w:p w14:paraId="178783B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2.7459</w:t>
            </w:r>
          </w:p>
        </w:tc>
      </w:tr>
      <w:tr w:rsidR="00164414" w:rsidRPr="00164414" w14:paraId="54940A6F"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91E1F6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&gt;399.9 to 403 MHz</w:t>
            </w:r>
          </w:p>
        </w:tc>
        <w:tc>
          <w:tcPr>
            <w:tcW w:w="732" w:type="dxa"/>
            <w:tcBorders>
              <w:top w:val="nil"/>
              <w:left w:val="nil"/>
              <w:bottom w:val="single" w:sz="4" w:space="0" w:color="auto"/>
              <w:right w:val="single" w:sz="4" w:space="0" w:color="auto"/>
            </w:tcBorders>
            <w:shd w:val="clear" w:color="auto" w:fill="auto"/>
            <w:noWrap/>
            <w:vAlign w:val="bottom"/>
            <w:hideMark/>
          </w:tcPr>
          <w:p w14:paraId="23A868A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209.2000</w:t>
            </w:r>
          </w:p>
        </w:tc>
        <w:tc>
          <w:tcPr>
            <w:tcW w:w="804" w:type="dxa"/>
            <w:tcBorders>
              <w:top w:val="nil"/>
              <w:left w:val="nil"/>
              <w:bottom w:val="single" w:sz="4" w:space="0" w:color="auto"/>
              <w:right w:val="single" w:sz="4" w:space="0" w:color="auto"/>
            </w:tcBorders>
            <w:shd w:val="clear" w:color="000000" w:fill="E7E6E6"/>
            <w:noWrap/>
            <w:vAlign w:val="bottom"/>
            <w:hideMark/>
          </w:tcPr>
          <w:p w14:paraId="0EC2754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208.5724</w:t>
            </w:r>
          </w:p>
        </w:tc>
        <w:tc>
          <w:tcPr>
            <w:tcW w:w="731" w:type="dxa"/>
            <w:tcBorders>
              <w:top w:val="nil"/>
              <w:left w:val="nil"/>
              <w:bottom w:val="single" w:sz="4" w:space="0" w:color="auto"/>
              <w:right w:val="single" w:sz="4" w:space="0" w:color="auto"/>
            </w:tcBorders>
            <w:shd w:val="clear" w:color="auto" w:fill="auto"/>
            <w:noWrap/>
            <w:vAlign w:val="bottom"/>
            <w:hideMark/>
          </w:tcPr>
          <w:p w14:paraId="551AE72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117.1520</w:t>
            </w:r>
          </w:p>
        </w:tc>
        <w:tc>
          <w:tcPr>
            <w:tcW w:w="804" w:type="dxa"/>
            <w:tcBorders>
              <w:top w:val="nil"/>
              <w:left w:val="nil"/>
              <w:bottom w:val="single" w:sz="4" w:space="0" w:color="auto"/>
              <w:right w:val="single" w:sz="4" w:space="0" w:color="auto"/>
            </w:tcBorders>
            <w:shd w:val="clear" w:color="000000" w:fill="E7E6E6"/>
            <w:noWrap/>
            <w:vAlign w:val="bottom"/>
            <w:hideMark/>
          </w:tcPr>
          <w:p w14:paraId="0421ED3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116.8005</w:t>
            </w:r>
          </w:p>
        </w:tc>
        <w:tc>
          <w:tcPr>
            <w:tcW w:w="650" w:type="dxa"/>
            <w:tcBorders>
              <w:top w:val="nil"/>
              <w:left w:val="nil"/>
              <w:bottom w:val="single" w:sz="4" w:space="0" w:color="auto"/>
              <w:right w:val="single" w:sz="4" w:space="0" w:color="auto"/>
            </w:tcBorders>
            <w:shd w:val="clear" w:color="auto" w:fill="auto"/>
            <w:noWrap/>
            <w:vAlign w:val="bottom"/>
            <w:hideMark/>
          </w:tcPr>
          <w:p w14:paraId="249696C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53.5970</w:t>
            </w:r>
          </w:p>
        </w:tc>
        <w:tc>
          <w:tcPr>
            <w:tcW w:w="804" w:type="dxa"/>
            <w:tcBorders>
              <w:top w:val="nil"/>
              <w:left w:val="nil"/>
              <w:bottom w:val="single" w:sz="4" w:space="0" w:color="auto"/>
              <w:right w:val="single" w:sz="4" w:space="0" w:color="auto"/>
            </w:tcBorders>
            <w:shd w:val="clear" w:color="000000" w:fill="E7E6E6"/>
            <w:noWrap/>
            <w:vAlign w:val="bottom"/>
            <w:hideMark/>
          </w:tcPr>
          <w:p w14:paraId="4023E9F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53.4362</w:t>
            </w:r>
          </w:p>
        </w:tc>
        <w:tc>
          <w:tcPr>
            <w:tcW w:w="650" w:type="dxa"/>
            <w:tcBorders>
              <w:top w:val="nil"/>
              <w:left w:val="nil"/>
              <w:bottom w:val="single" w:sz="4" w:space="0" w:color="auto"/>
              <w:right w:val="single" w:sz="4" w:space="0" w:color="auto"/>
            </w:tcBorders>
            <w:shd w:val="clear" w:color="auto" w:fill="auto"/>
            <w:noWrap/>
            <w:vAlign w:val="bottom"/>
            <w:hideMark/>
          </w:tcPr>
          <w:p w14:paraId="3CD2E0F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9.1420</w:t>
            </w:r>
          </w:p>
        </w:tc>
        <w:tc>
          <w:tcPr>
            <w:tcW w:w="804" w:type="dxa"/>
            <w:tcBorders>
              <w:top w:val="nil"/>
              <w:left w:val="nil"/>
              <w:bottom w:val="single" w:sz="4" w:space="0" w:color="auto"/>
              <w:right w:val="single" w:sz="4" w:space="0" w:color="auto"/>
            </w:tcBorders>
            <w:shd w:val="clear" w:color="000000" w:fill="E7E6E6"/>
            <w:noWrap/>
            <w:vAlign w:val="bottom"/>
            <w:hideMark/>
          </w:tcPr>
          <w:p w14:paraId="010CA3A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9.1146</w:t>
            </w:r>
          </w:p>
        </w:tc>
        <w:tc>
          <w:tcPr>
            <w:tcW w:w="650" w:type="dxa"/>
            <w:tcBorders>
              <w:top w:val="nil"/>
              <w:left w:val="nil"/>
              <w:bottom w:val="single" w:sz="4" w:space="0" w:color="auto"/>
              <w:right w:val="single" w:sz="4" w:space="0" w:color="auto"/>
            </w:tcBorders>
            <w:shd w:val="clear" w:color="auto" w:fill="auto"/>
            <w:noWrap/>
            <w:vAlign w:val="bottom"/>
            <w:hideMark/>
          </w:tcPr>
          <w:p w14:paraId="5CEFA55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2.8591</w:t>
            </w:r>
          </w:p>
        </w:tc>
        <w:tc>
          <w:tcPr>
            <w:tcW w:w="804" w:type="dxa"/>
            <w:tcBorders>
              <w:top w:val="nil"/>
              <w:left w:val="nil"/>
              <w:bottom w:val="single" w:sz="4" w:space="0" w:color="auto"/>
              <w:right w:val="single" w:sz="4" w:space="0" w:color="auto"/>
            </w:tcBorders>
            <w:shd w:val="clear" w:color="000000" w:fill="E7E6E6"/>
            <w:noWrap/>
            <w:vAlign w:val="bottom"/>
            <w:hideMark/>
          </w:tcPr>
          <w:p w14:paraId="70A7131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2.8505</w:t>
            </w:r>
          </w:p>
        </w:tc>
      </w:tr>
      <w:tr w:rsidR="00164414" w:rsidRPr="00164414" w14:paraId="774E7226"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E611D4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 403 to 520 MHz</w:t>
            </w:r>
          </w:p>
        </w:tc>
        <w:tc>
          <w:tcPr>
            <w:tcW w:w="732" w:type="dxa"/>
            <w:tcBorders>
              <w:top w:val="nil"/>
              <w:left w:val="nil"/>
              <w:bottom w:val="single" w:sz="4" w:space="0" w:color="auto"/>
              <w:right w:val="single" w:sz="4" w:space="0" w:color="auto"/>
            </w:tcBorders>
            <w:shd w:val="clear" w:color="auto" w:fill="auto"/>
            <w:noWrap/>
            <w:vAlign w:val="bottom"/>
            <w:hideMark/>
          </w:tcPr>
          <w:p w14:paraId="7EAC847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209.2000</w:t>
            </w:r>
          </w:p>
        </w:tc>
        <w:tc>
          <w:tcPr>
            <w:tcW w:w="804" w:type="dxa"/>
            <w:tcBorders>
              <w:top w:val="nil"/>
              <w:left w:val="nil"/>
              <w:bottom w:val="single" w:sz="4" w:space="0" w:color="auto"/>
              <w:right w:val="single" w:sz="4" w:space="0" w:color="auto"/>
            </w:tcBorders>
            <w:shd w:val="clear" w:color="000000" w:fill="E7E6E6"/>
            <w:noWrap/>
            <w:vAlign w:val="bottom"/>
            <w:hideMark/>
          </w:tcPr>
          <w:p w14:paraId="3B63472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208.5724</w:t>
            </w:r>
          </w:p>
        </w:tc>
        <w:tc>
          <w:tcPr>
            <w:tcW w:w="731" w:type="dxa"/>
            <w:tcBorders>
              <w:top w:val="nil"/>
              <w:left w:val="nil"/>
              <w:bottom w:val="single" w:sz="4" w:space="0" w:color="auto"/>
              <w:right w:val="single" w:sz="4" w:space="0" w:color="auto"/>
            </w:tcBorders>
            <w:shd w:val="clear" w:color="auto" w:fill="auto"/>
            <w:noWrap/>
            <w:vAlign w:val="bottom"/>
            <w:hideMark/>
          </w:tcPr>
          <w:p w14:paraId="6AADE00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155.0465</w:t>
            </w:r>
          </w:p>
        </w:tc>
        <w:tc>
          <w:tcPr>
            <w:tcW w:w="804" w:type="dxa"/>
            <w:tcBorders>
              <w:top w:val="nil"/>
              <w:left w:val="nil"/>
              <w:bottom w:val="single" w:sz="4" w:space="0" w:color="auto"/>
              <w:right w:val="single" w:sz="4" w:space="0" w:color="auto"/>
            </w:tcBorders>
            <w:shd w:val="clear" w:color="000000" w:fill="E7E6E6"/>
            <w:noWrap/>
            <w:vAlign w:val="bottom"/>
            <w:hideMark/>
          </w:tcPr>
          <w:p w14:paraId="2B799C6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154.5730</w:t>
            </w:r>
          </w:p>
        </w:tc>
        <w:tc>
          <w:tcPr>
            <w:tcW w:w="650" w:type="dxa"/>
            <w:tcBorders>
              <w:top w:val="nil"/>
              <w:left w:val="nil"/>
              <w:bottom w:val="single" w:sz="4" w:space="0" w:color="auto"/>
              <w:right w:val="single" w:sz="4" w:space="0" w:color="auto"/>
            </w:tcBorders>
            <w:shd w:val="clear" w:color="auto" w:fill="auto"/>
            <w:noWrap/>
            <w:vAlign w:val="bottom"/>
            <w:hideMark/>
          </w:tcPr>
          <w:p w14:paraId="737300E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53.5970</w:t>
            </w:r>
          </w:p>
        </w:tc>
        <w:tc>
          <w:tcPr>
            <w:tcW w:w="804" w:type="dxa"/>
            <w:tcBorders>
              <w:top w:val="nil"/>
              <w:left w:val="nil"/>
              <w:bottom w:val="single" w:sz="4" w:space="0" w:color="auto"/>
              <w:right w:val="single" w:sz="4" w:space="0" w:color="auto"/>
            </w:tcBorders>
            <w:shd w:val="clear" w:color="000000" w:fill="E7E6E6"/>
            <w:noWrap/>
            <w:vAlign w:val="bottom"/>
            <w:hideMark/>
          </w:tcPr>
          <w:p w14:paraId="1DF668B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53.4362</w:t>
            </w:r>
          </w:p>
        </w:tc>
        <w:tc>
          <w:tcPr>
            <w:tcW w:w="650" w:type="dxa"/>
            <w:tcBorders>
              <w:top w:val="nil"/>
              <w:left w:val="nil"/>
              <w:bottom w:val="single" w:sz="4" w:space="0" w:color="auto"/>
              <w:right w:val="single" w:sz="4" w:space="0" w:color="auto"/>
            </w:tcBorders>
            <w:shd w:val="clear" w:color="auto" w:fill="auto"/>
            <w:noWrap/>
            <w:vAlign w:val="bottom"/>
            <w:hideMark/>
          </w:tcPr>
          <w:p w14:paraId="111B594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9.1420</w:t>
            </w:r>
          </w:p>
        </w:tc>
        <w:tc>
          <w:tcPr>
            <w:tcW w:w="804" w:type="dxa"/>
            <w:tcBorders>
              <w:top w:val="nil"/>
              <w:left w:val="nil"/>
              <w:bottom w:val="single" w:sz="4" w:space="0" w:color="auto"/>
              <w:right w:val="single" w:sz="4" w:space="0" w:color="auto"/>
            </w:tcBorders>
            <w:shd w:val="clear" w:color="000000" w:fill="E7E6E6"/>
            <w:noWrap/>
            <w:vAlign w:val="bottom"/>
            <w:hideMark/>
          </w:tcPr>
          <w:p w14:paraId="613D69E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9.1146</w:t>
            </w:r>
          </w:p>
        </w:tc>
        <w:tc>
          <w:tcPr>
            <w:tcW w:w="650" w:type="dxa"/>
            <w:tcBorders>
              <w:top w:val="nil"/>
              <w:left w:val="nil"/>
              <w:bottom w:val="single" w:sz="4" w:space="0" w:color="auto"/>
              <w:right w:val="single" w:sz="4" w:space="0" w:color="auto"/>
            </w:tcBorders>
            <w:shd w:val="clear" w:color="auto" w:fill="auto"/>
            <w:noWrap/>
            <w:vAlign w:val="bottom"/>
            <w:hideMark/>
          </w:tcPr>
          <w:p w14:paraId="0C14FD6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c>
          <w:tcPr>
            <w:tcW w:w="804" w:type="dxa"/>
            <w:tcBorders>
              <w:top w:val="nil"/>
              <w:left w:val="nil"/>
              <w:bottom w:val="single" w:sz="4" w:space="0" w:color="auto"/>
              <w:right w:val="single" w:sz="4" w:space="0" w:color="auto"/>
            </w:tcBorders>
            <w:shd w:val="clear" w:color="000000" w:fill="E7E6E6"/>
            <w:noWrap/>
            <w:vAlign w:val="bottom"/>
            <w:hideMark/>
          </w:tcPr>
          <w:p w14:paraId="1C4AA95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r>
      <w:tr w:rsidR="00164414" w:rsidRPr="00164414" w14:paraId="7E61AC1D"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77E00F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 520 to 960 MHz</w:t>
            </w:r>
          </w:p>
        </w:tc>
        <w:tc>
          <w:tcPr>
            <w:tcW w:w="732" w:type="dxa"/>
            <w:tcBorders>
              <w:top w:val="nil"/>
              <w:left w:val="nil"/>
              <w:bottom w:val="single" w:sz="4" w:space="0" w:color="auto"/>
              <w:right w:val="single" w:sz="4" w:space="0" w:color="auto"/>
            </w:tcBorders>
            <w:shd w:val="clear" w:color="auto" w:fill="auto"/>
            <w:noWrap/>
            <w:vAlign w:val="bottom"/>
            <w:hideMark/>
          </w:tcPr>
          <w:p w14:paraId="57F7993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209.2000</w:t>
            </w:r>
          </w:p>
        </w:tc>
        <w:tc>
          <w:tcPr>
            <w:tcW w:w="804" w:type="dxa"/>
            <w:tcBorders>
              <w:top w:val="nil"/>
              <w:left w:val="nil"/>
              <w:bottom w:val="single" w:sz="4" w:space="0" w:color="auto"/>
              <w:right w:val="single" w:sz="4" w:space="0" w:color="auto"/>
            </w:tcBorders>
            <w:shd w:val="clear" w:color="000000" w:fill="E7E6E6"/>
            <w:noWrap/>
            <w:vAlign w:val="bottom"/>
            <w:hideMark/>
          </w:tcPr>
          <w:p w14:paraId="50BE71A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208.5724</w:t>
            </w:r>
          </w:p>
        </w:tc>
        <w:tc>
          <w:tcPr>
            <w:tcW w:w="731" w:type="dxa"/>
            <w:tcBorders>
              <w:top w:val="nil"/>
              <w:left w:val="nil"/>
              <w:bottom w:val="single" w:sz="4" w:space="0" w:color="auto"/>
              <w:right w:val="single" w:sz="4" w:space="0" w:color="auto"/>
            </w:tcBorders>
            <w:shd w:val="clear" w:color="auto" w:fill="auto"/>
            <w:noWrap/>
            <w:vAlign w:val="bottom"/>
            <w:hideMark/>
          </w:tcPr>
          <w:p w14:paraId="351B123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117.1520</w:t>
            </w:r>
          </w:p>
        </w:tc>
        <w:tc>
          <w:tcPr>
            <w:tcW w:w="804" w:type="dxa"/>
            <w:tcBorders>
              <w:top w:val="nil"/>
              <w:left w:val="nil"/>
              <w:bottom w:val="single" w:sz="4" w:space="0" w:color="auto"/>
              <w:right w:val="single" w:sz="4" w:space="0" w:color="auto"/>
            </w:tcBorders>
            <w:shd w:val="clear" w:color="000000" w:fill="E7E6E6"/>
            <w:noWrap/>
            <w:vAlign w:val="bottom"/>
            <w:hideMark/>
          </w:tcPr>
          <w:p w14:paraId="6A96E68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116.8005</w:t>
            </w:r>
          </w:p>
        </w:tc>
        <w:tc>
          <w:tcPr>
            <w:tcW w:w="650" w:type="dxa"/>
            <w:tcBorders>
              <w:top w:val="nil"/>
              <w:left w:val="nil"/>
              <w:bottom w:val="single" w:sz="4" w:space="0" w:color="auto"/>
              <w:right w:val="single" w:sz="4" w:space="0" w:color="auto"/>
            </w:tcBorders>
            <w:shd w:val="clear" w:color="auto" w:fill="auto"/>
            <w:noWrap/>
            <w:vAlign w:val="bottom"/>
            <w:hideMark/>
          </w:tcPr>
          <w:p w14:paraId="3A16B05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53.5970</w:t>
            </w:r>
          </w:p>
        </w:tc>
        <w:tc>
          <w:tcPr>
            <w:tcW w:w="804" w:type="dxa"/>
            <w:tcBorders>
              <w:top w:val="nil"/>
              <w:left w:val="nil"/>
              <w:bottom w:val="single" w:sz="4" w:space="0" w:color="auto"/>
              <w:right w:val="single" w:sz="4" w:space="0" w:color="auto"/>
            </w:tcBorders>
            <w:shd w:val="clear" w:color="000000" w:fill="E7E6E6"/>
            <w:noWrap/>
            <w:vAlign w:val="bottom"/>
            <w:hideMark/>
          </w:tcPr>
          <w:p w14:paraId="1378F27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53.4362</w:t>
            </w:r>
          </w:p>
        </w:tc>
        <w:tc>
          <w:tcPr>
            <w:tcW w:w="650" w:type="dxa"/>
            <w:tcBorders>
              <w:top w:val="nil"/>
              <w:left w:val="nil"/>
              <w:bottom w:val="single" w:sz="4" w:space="0" w:color="auto"/>
              <w:right w:val="single" w:sz="4" w:space="0" w:color="auto"/>
            </w:tcBorders>
            <w:shd w:val="clear" w:color="auto" w:fill="auto"/>
            <w:noWrap/>
            <w:vAlign w:val="bottom"/>
            <w:hideMark/>
          </w:tcPr>
          <w:p w14:paraId="21FBBEA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9.1420</w:t>
            </w:r>
          </w:p>
        </w:tc>
        <w:tc>
          <w:tcPr>
            <w:tcW w:w="804" w:type="dxa"/>
            <w:tcBorders>
              <w:top w:val="nil"/>
              <w:left w:val="nil"/>
              <w:bottom w:val="single" w:sz="4" w:space="0" w:color="auto"/>
              <w:right w:val="single" w:sz="4" w:space="0" w:color="auto"/>
            </w:tcBorders>
            <w:shd w:val="clear" w:color="000000" w:fill="E7E6E6"/>
            <w:noWrap/>
            <w:vAlign w:val="bottom"/>
            <w:hideMark/>
          </w:tcPr>
          <w:p w14:paraId="51CD5E8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9.1146</w:t>
            </w:r>
          </w:p>
        </w:tc>
        <w:tc>
          <w:tcPr>
            <w:tcW w:w="650" w:type="dxa"/>
            <w:tcBorders>
              <w:top w:val="nil"/>
              <w:left w:val="nil"/>
              <w:bottom w:val="single" w:sz="4" w:space="0" w:color="auto"/>
              <w:right w:val="single" w:sz="4" w:space="0" w:color="auto"/>
            </w:tcBorders>
            <w:shd w:val="clear" w:color="auto" w:fill="auto"/>
            <w:noWrap/>
            <w:vAlign w:val="bottom"/>
            <w:hideMark/>
          </w:tcPr>
          <w:p w14:paraId="4EAFA5A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2.8591</w:t>
            </w:r>
          </w:p>
        </w:tc>
        <w:tc>
          <w:tcPr>
            <w:tcW w:w="804" w:type="dxa"/>
            <w:tcBorders>
              <w:top w:val="nil"/>
              <w:left w:val="nil"/>
              <w:bottom w:val="single" w:sz="4" w:space="0" w:color="auto"/>
              <w:right w:val="single" w:sz="4" w:space="0" w:color="auto"/>
            </w:tcBorders>
            <w:shd w:val="clear" w:color="000000" w:fill="E7E6E6"/>
            <w:noWrap/>
            <w:vAlign w:val="bottom"/>
            <w:hideMark/>
          </w:tcPr>
          <w:p w14:paraId="4371C36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2.8505</w:t>
            </w:r>
          </w:p>
        </w:tc>
      </w:tr>
      <w:tr w:rsidR="00164414" w:rsidRPr="00164414" w14:paraId="2BB3BB03"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14DE1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&gt;960 to 2,690 MHz</w:t>
            </w:r>
          </w:p>
        </w:tc>
        <w:tc>
          <w:tcPr>
            <w:tcW w:w="732" w:type="dxa"/>
            <w:tcBorders>
              <w:top w:val="nil"/>
              <w:left w:val="nil"/>
              <w:bottom w:val="single" w:sz="4" w:space="0" w:color="auto"/>
              <w:right w:val="single" w:sz="4" w:space="0" w:color="auto"/>
            </w:tcBorders>
            <w:shd w:val="clear" w:color="auto" w:fill="auto"/>
            <w:noWrap/>
            <w:vAlign w:val="bottom"/>
            <w:hideMark/>
          </w:tcPr>
          <w:p w14:paraId="2F99782B"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1.2344</w:t>
            </w:r>
          </w:p>
        </w:tc>
        <w:tc>
          <w:tcPr>
            <w:tcW w:w="804" w:type="dxa"/>
            <w:tcBorders>
              <w:top w:val="nil"/>
              <w:left w:val="nil"/>
              <w:bottom w:val="single" w:sz="4" w:space="0" w:color="auto"/>
              <w:right w:val="single" w:sz="4" w:space="0" w:color="auto"/>
            </w:tcBorders>
            <w:shd w:val="clear" w:color="000000" w:fill="E7E6E6"/>
            <w:noWrap/>
            <w:vAlign w:val="bottom"/>
            <w:hideMark/>
          </w:tcPr>
          <w:p w14:paraId="2DA3D29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1.2307</w:t>
            </w:r>
          </w:p>
        </w:tc>
        <w:tc>
          <w:tcPr>
            <w:tcW w:w="731" w:type="dxa"/>
            <w:tcBorders>
              <w:top w:val="nil"/>
              <w:left w:val="nil"/>
              <w:bottom w:val="single" w:sz="4" w:space="0" w:color="auto"/>
              <w:right w:val="single" w:sz="4" w:space="0" w:color="auto"/>
            </w:tcBorders>
            <w:shd w:val="clear" w:color="auto" w:fill="auto"/>
            <w:noWrap/>
            <w:vAlign w:val="bottom"/>
            <w:hideMark/>
          </w:tcPr>
          <w:p w14:paraId="00D334A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0.2771</w:t>
            </w:r>
          </w:p>
        </w:tc>
        <w:tc>
          <w:tcPr>
            <w:tcW w:w="804" w:type="dxa"/>
            <w:tcBorders>
              <w:top w:val="nil"/>
              <w:left w:val="nil"/>
              <w:bottom w:val="single" w:sz="4" w:space="0" w:color="auto"/>
              <w:right w:val="single" w:sz="4" w:space="0" w:color="auto"/>
            </w:tcBorders>
            <w:shd w:val="clear" w:color="000000" w:fill="E7E6E6"/>
            <w:noWrap/>
            <w:vAlign w:val="bottom"/>
            <w:hideMark/>
          </w:tcPr>
          <w:p w14:paraId="4197312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0.2762</w:t>
            </w:r>
          </w:p>
        </w:tc>
        <w:tc>
          <w:tcPr>
            <w:tcW w:w="650" w:type="dxa"/>
            <w:tcBorders>
              <w:top w:val="nil"/>
              <w:left w:val="nil"/>
              <w:bottom w:val="single" w:sz="4" w:space="0" w:color="auto"/>
              <w:right w:val="single" w:sz="4" w:space="0" w:color="auto"/>
            </w:tcBorders>
            <w:shd w:val="clear" w:color="auto" w:fill="auto"/>
            <w:noWrap/>
            <w:vAlign w:val="bottom"/>
            <w:hideMark/>
          </w:tcPr>
          <w:p w14:paraId="60445F4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0.1281</w:t>
            </w:r>
          </w:p>
        </w:tc>
        <w:tc>
          <w:tcPr>
            <w:tcW w:w="804" w:type="dxa"/>
            <w:tcBorders>
              <w:top w:val="nil"/>
              <w:left w:val="nil"/>
              <w:bottom w:val="single" w:sz="4" w:space="0" w:color="auto"/>
              <w:right w:val="single" w:sz="4" w:space="0" w:color="auto"/>
            </w:tcBorders>
            <w:shd w:val="clear" w:color="000000" w:fill="E7E6E6"/>
            <w:noWrap/>
            <w:vAlign w:val="bottom"/>
            <w:hideMark/>
          </w:tcPr>
          <w:p w14:paraId="3A083D7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0.1277</w:t>
            </w:r>
          </w:p>
        </w:tc>
        <w:tc>
          <w:tcPr>
            <w:tcW w:w="650" w:type="dxa"/>
            <w:tcBorders>
              <w:top w:val="nil"/>
              <w:left w:val="nil"/>
              <w:bottom w:val="single" w:sz="4" w:space="0" w:color="auto"/>
              <w:right w:val="single" w:sz="4" w:space="0" w:color="auto"/>
            </w:tcBorders>
            <w:shd w:val="clear" w:color="auto" w:fill="auto"/>
            <w:noWrap/>
            <w:vAlign w:val="bottom"/>
            <w:hideMark/>
          </w:tcPr>
          <w:p w14:paraId="692B2F8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0.0644</w:t>
            </w:r>
          </w:p>
        </w:tc>
        <w:tc>
          <w:tcPr>
            <w:tcW w:w="804" w:type="dxa"/>
            <w:tcBorders>
              <w:top w:val="nil"/>
              <w:left w:val="nil"/>
              <w:bottom w:val="single" w:sz="4" w:space="0" w:color="auto"/>
              <w:right w:val="single" w:sz="4" w:space="0" w:color="auto"/>
            </w:tcBorders>
            <w:shd w:val="clear" w:color="000000" w:fill="E7E6E6"/>
            <w:noWrap/>
            <w:vAlign w:val="bottom"/>
            <w:hideMark/>
          </w:tcPr>
          <w:p w14:paraId="38CA854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0.0642</w:t>
            </w:r>
          </w:p>
        </w:tc>
        <w:tc>
          <w:tcPr>
            <w:tcW w:w="650" w:type="dxa"/>
            <w:tcBorders>
              <w:top w:val="nil"/>
              <w:left w:val="nil"/>
              <w:bottom w:val="single" w:sz="4" w:space="0" w:color="auto"/>
              <w:right w:val="single" w:sz="4" w:space="0" w:color="auto"/>
            </w:tcBorders>
            <w:shd w:val="clear" w:color="auto" w:fill="auto"/>
            <w:noWrap/>
            <w:vAlign w:val="bottom"/>
            <w:hideMark/>
          </w:tcPr>
          <w:p w14:paraId="4C68336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0.0321</w:t>
            </w:r>
          </w:p>
        </w:tc>
        <w:tc>
          <w:tcPr>
            <w:tcW w:w="804" w:type="dxa"/>
            <w:tcBorders>
              <w:top w:val="nil"/>
              <w:left w:val="nil"/>
              <w:bottom w:val="single" w:sz="4" w:space="0" w:color="auto"/>
              <w:right w:val="single" w:sz="4" w:space="0" w:color="auto"/>
            </w:tcBorders>
            <w:shd w:val="clear" w:color="000000" w:fill="E7E6E6"/>
            <w:noWrap/>
            <w:vAlign w:val="bottom"/>
            <w:hideMark/>
          </w:tcPr>
          <w:p w14:paraId="5489209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0.0320</w:t>
            </w:r>
          </w:p>
        </w:tc>
      </w:tr>
      <w:tr w:rsidR="00164414" w:rsidRPr="00164414" w14:paraId="27AFAB77"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91A357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&gt;2.69 to 5.0 GHz</w:t>
            </w:r>
          </w:p>
        </w:tc>
        <w:tc>
          <w:tcPr>
            <w:tcW w:w="732" w:type="dxa"/>
            <w:tcBorders>
              <w:top w:val="nil"/>
              <w:left w:val="nil"/>
              <w:bottom w:val="single" w:sz="4" w:space="0" w:color="auto"/>
              <w:right w:val="single" w:sz="4" w:space="0" w:color="auto"/>
            </w:tcBorders>
            <w:shd w:val="clear" w:color="auto" w:fill="auto"/>
            <w:noWrap/>
            <w:vAlign w:val="bottom"/>
            <w:hideMark/>
          </w:tcPr>
          <w:p w14:paraId="6D82B64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1.2331</w:t>
            </w:r>
          </w:p>
        </w:tc>
        <w:tc>
          <w:tcPr>
            <w:tcW w:w="804" w:type="dxa"/>
            <w:tcBorders>
              <w:top w:val="nil"/>
              <w:left w:val="nil"/>
              <w:bottom w:val="single" w:sz="4" w:space="0" w:color="auto"/>
              <w:right w:val="single" w:sz="4" w:space="0" w:color="auto"/>
            </w:tcBorders>
            <w:shd w:val="clear" w:color="000000" w:fill="E7E6E6"/>
            <w:noWrap/>
            <w:vAlign w:val="bottom"/>
            <w:hideMark/>
          </w:tcPr>
          <w:p w14:paraId="4A96BE2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1.2294</w:t>
            </w:r>
          </w:p>
        </w:tc>
        <w:tc>
          <w:tcPr>
            <w:tcW w:w="731" w:type="dxa"/>
            <w:tcBorders>
              <w:top w:val="nil"/>
              <w:left w:val="nil"/>
              <w:bottom w:val="single" w:sz="4" w:space="0" w:color="auto"/>
              <w:right w:val="single" w:sz="4" w:space="0" w:color="auto"/>
            </w:tcBorders>
            <w:shd w:val="clear" w:color="auto" w:fill="auto"/>
            <w:noWrap/>
            <w:vAlign w:val="bottom"/>
            <w:hideMark/>
          </w:tcPr>
          <w:p w14:paraId="140965E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0.2291</w:t>
            </w:r>
          </w:p>
        </w:tc>
        <w:tc>
          <w:tcPr>
            <w:tcW w:w="804" w:type="dxa"/>
            <w:tcBorders>
              <w:top w:val="nil"/>
              <w:left w:val="nil"/>
              <w:bottom w:val="single" w:sz="4" w:space="0" w:color="auto"/>
              <w:right w:val="single" w:sz="4" w:space="0" w:color="auto"/>
            </w:tcBorders>
            <w:shd w:val="clear" w:color="000000" w:fill="E7E6E6"/>
            <w:noWrap/>
            <w:vAlign w:val="bottom"/>
            <w:hideMark/>
          </w:tcPr>
          <w:p w14:paraId="4796842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0.2284</w:t>
            </w:r>
          </w:p>
        </w:tc>
        <w:tc>
          <w:tcPr>
            <w:tcW w:w="650" w:type="dxa"/>
            <w:tcBorders>
              <w:top w:val="nil"/>
              <w:left w:val="nil"/>
              <w:bottom w:val="single" w:sz="4" w:space="0" w:color="auto"/>
              <w:right w:val="single" w:sz="4" w:space="0" w:color="auto"/>
            </w:tcBorders>
            <w:shd w:val="clear" w:color="auto" w:fill="auto"/>
            <w:noWrap/>
            <w:vAlign w:val="bottom"/>
            <w:hideMark/>
          </w:tcPr>
          <w:p w14:paraId="7458284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0.0928</w:t>
            </w:r>
          </w:p>
        </w:tc>
        <w:tc>
          <w:tcPr>
            <w:tcW w:w="804" w:type="dxa"/>
            <w:tcBorders>
              <w:top w:val="nil"/>
              <w:left w:val="nil"/>
              <w:bottom w:val="single" w:sz="4" w:space="0" w:color="auto"/>
              <w:right w:val="single" w:sz="4" w:space="0" w:color="auto"/>
            </w:tcBorders>
            <w:shd w:val="clear" w:color="000000" w:fill="E7E6E6"/>
            <w:noWrap/>
            <w:vAlign w:val="bottom"/>
            <w:hideMark/>
          </w:tcPr>
          <w:p w14:paraId="750E056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0.0926</w:t>
            </w:r>
          </w:p>
        </w:tc>
        <w:tc>
          <w:tcPr>
            <w:tcW w:w="650" w:type="dxa"/>
            <w:tcBorders>
              <w:top w:val="nil"/>
              <w:left w:val="nil"/>
              <w:bottom w:val="single" w:sz="4" w:space="0" w:color="auto"/>
              <w:right w:val="single" w:sz="4" w:space="0" w:color="auto"/>
            </w:tcBorders>
            <w:shd w:val="clear" w:color="auto" w:fill="auto"/>
            <w:noWrap/>
            <w:vAlign w:val="bottom"/>
            <w:hideMark/>
          </w:tcPr>
          <w:p w14:paraId="35F249E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0.0769</w:t>
            </w:r>
          </w:p>
        </w:tc>
        <w:tc>
          <w:tcPr>
            <w:tcW w:w="804" w:type="dxa"/>
            <w:tcBorders>
              <w:top w:val="nil"/>
              <w:left w:val="nil"/>
              <w:bottom w:val="single" w:sz="4" w:space="0" w:color="auto"/>
              <w:right w:val="single" w:sz="4" w:space="0" w:color="auto"/>
            </w:tcBorders>
            <w:shd w:val="clear" w:color="000000" w:fill="E7E6E6"/>
            <w:noWrap/>
            <w:vAlign w:val="bottom"/>
            <w:hideMark/>
          </w:tcPr>
          <w:p w14:paraId="2B0A557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0.0767</w:t>
            </w:r>
          </w:p>
        </w:tc>
        <w:tc>
          <w:tcPr>
            <w:tcW w:w="650" w:type="dxa"/>
            <w:tcBorders>
              <w:top w:val="nil"/>
              <w:left w:val="nil"/>
              <w:bottom w:val="single" w:sz="4" w:space="0" w:color="auto"/>
              <w:right w:val="single" w:sz="4" w:space="0" w:color="auto"/>
            </w:tcBorders>
            <w:shd w:val="clear" w:color="auto" w:fill="auto"/>
            <w:noWrap/>
            <w:vAlign w:val="bottom"/>
            <w:hideMark/>
          </w:tcPr>
          <w:p w14:paraId="467DD70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0.0384</w:t>
            </w:r>
          </w:p>
        </w:tc>
        <w:tc>
          <w:tcPr>
            <w:tcW w:w="804" w:type="dxa"/>
            <w:tcBorders>
              <w:top w:val="nil"/>
              <w:left w:val="nil"/>
              <w:bottom w:val="single" w:sz="4" w:space="0" w:color="auto"/>
              <w:right w:val="single" w:sz="4" w:space="0" w:color="auto"/>
            </w:tcBorders>
            <w:shd w:val="clear" w:color="000000" w:fill="E7E6E6"/>
            <w:noWrap/>
            <w:vAlign w:val="bottom"/>
            <w:hideMark/>
          </w:tcPr>
          <w:p w14:paraId="64AEF9B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0.0383</w:t>
            </w:r>
          </w:p>
        </w:tc>
      </w:tr>
      <w:tr w:rsidR="00164414" w:rsidRPr="00164414" w14:paraId="4AC315C6"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951CBF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&gt;5.0 to 8.5 GHz</w:t>
            </w:r>
          </w:p>
        </w:tc>
        <w:tc>
          <w:tcPr>
            <w:tcW w:w="732" w:type="dxa"/>
            <w:tcBorders>
              <w:top w:val="nil"/>
              <w:left w:val="nil"/>
              <w:bottom w:val="single" w:sz="4" w:space="0" w:color="auto"/>
              <w:right w:val="single" w:sz="4" w:space="0" w:color="auto"/>
            </w:tcBorders>
            <w:shd w:val="clear" w:color="auto" w:fill="auto"/>
            <w:noWrap/>
            <w:vAlign w:val="bottom"/>
            <w:hideMark/>
          </w:tcPr>
          <w:p w14:paraId="720ADDD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1.0411</w:t>
            </w:r>
          </w:p>
        </w:tc>
        <w:tc>
          <w:tcPr>
            <w:tcW w:w="804" w:type="dxa"/>
            <w:tcBorders>
              <w:top w:val="nil"/>
              <w:left w:val="nil"/>
              <w:bottom w:val="single" w:sz="4" w:space="0" w:color="auto"/>
              <w:right w:val="single" w:sz="4" w:space="0" w:color="auto"/>
            </w:tcBorders>
            <w:shd w:val="clear" w:color="000000" w:fill="E7E6E6"/>
            <w:noWrap/>
            <w:vAlign w:val="bottom"/>
            <w:hideMark/>
          </w:tcPr>
          <w:p w14:paraId="25ED0E1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0.7785</w:t>
            </w:r>
          </w:p>
        </w:tc>
        <w:tc>
          <w:tcPr>
            <w:tcW w:w="731" w:type="dxa"/>
            <w:tcBorders>
              <w:top w:val="nil"/>
              <w:left w:val="nil"/>
              <w:bottom w:val="single" w:sz="4" w:space="0" w:color="auto"/>
              <w:right w:val="single" w:sz="4" w:space="0" w:color="auto"/>
            </w:tcBorders>
            <w:shd w:val="clear" w:color="auto" w:fill="auto"/>
            <w:noWrap/>
            <w:vAlign w:val="bottom"/>
            <w:hideMark/>
          </w:tcPr>
          <w:p w14:paraId="12418C5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0.1925</w:t>
            </w:r>
          </w:p>
        </w:tc>
        <w:tc>
          <w:tcPr>
            <w:tcW w:w="804" w:type="dxa"/>
            <w:tcBorders>
              <w:top w:val="nil"/>
              <w:left w:val="nil"/>
              <w:bottom w:val="single" w:sz="4" w:space="0" w:color="auto"/>
              <w:right w:val="single" w:sz="4" w:space="0" w:color="auto"/>
            </w:tcBorders>
            <w:shd w:val="clear" w:color="000000" w:fill="E7E6E6"/>
            <w:noWrap/>
            <w:vAlign w:val="bottom"/>
            <w:hideMark/>
          </w:tcPr>
          <w:p w14:paraId="77B21AE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0.1439</w:t>
            </w:r>
          </w:p>
        </w:tc>
        <w:tc>
          <w:tcPr>
            <w:tcW w:w="650" w:type="dxa"/>
            <w:tcBorders>
              <w:top w:val="nil"/>
              <w:left w:val="nil"/>
              <w:bottom w:val="single" w:sz="4" w:space="0" w:color="auto"/>
              <w:right w:val="single" w:sz="4" w:space="0" w:color="auto"/>
            </w:tcBorders>
            <w:shd w:val="clear" w:color="auto" w:fill="auto"/>
            <w:noWrap/>
            <w:vAlign w:val="bottom"/>
            <w:hideMark/>
          </w:tcPr>
          <w:p w14:paraId="06C00C2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0.0896</w:t>
            </w:r>
          </w:p>
        </w:tc>
        <w:tc>
          <w:tcPr>
            <w:tcW w:w="804" w:type="dxa"/>
            <w:tcBorders>
              <w:top w:val="nil"/>
              <w:left w:val="nil"/>
              <w:bottom w:val="single" w:sz="4" w:space="0" w:color="auto"/>
              <w:right w:val="single" w:sz="4" w:space="0" w:color="auto"/>
            </w:tcBorders>
            <w:shd w:val="clear" w:color="000000" w:fill="E7E6E6"/>
            <w:noWrap/>
            <w:vAlign w:val="bottom"/>
            <w:hideMark/>
          </w:tcPr>
          <w:p w14:paraId="10A013F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0.0670</w:t>
            </w:r>
          </w:p>
        </w:tc>
        <w:tc>
          <w:tcPr>
            <w:tcW w:w="650" w:type="dxa"/>
            <w:tcBorders>
              <w:top w:val="nil"/>
              <w:left w:val="nil"/>
              <w:bottom w:val="single" w:sz="4" w:space="0" w:color="auto"/>
              <w:right w:val="single" w:sz="4" w:space="0" w:color="auto"/>
            </w:tcBorders>
            <w:shd w:val="clear" w:color="auto" w:fill="auto"/>
            <w:noWrap/>
            <w:vAlign w:val="bottom"/>
            <w:hideMark/>
          </w:tcPr>
          <w:p w14:paraId="682A704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0.0408</w:t>
            </w:r>
          </w:p>
        </w:tc>
        <w:tc>
          <w:tcPr>
            <w:tcW w:w="804" w:type="dxa"/>
            <w:tcBorders>
              <w:top w:val="nil"/>
              <w:left w:val="nil"/>
              <w:bottom w:val="single" w:sz="4" w:space="0" w:color="auto"/>
              <w:right w:val="single" w:sz="4" w:space="0" w:color="auto"/>
            </w:tcBorders>
            <w:shd w:val="clear" w:color="000000" w:fill="E7E6E6"/>
            <w:noWrap/>
            <w:vAlign w:val="bottom"/>
            <w:hideMark/>
          </w:tcPr>
          <w:p w14:paraId="3F22183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0.0305</w:t>
            </w:r>
          </w:p>
        </w:tc>
        <w:tc>
          <w:tcPr>
            <w:tcW w:w="650" w:type="dxa"/>
            <w:tcBorders>
              <w:top w:val="nil"/>
              <w:left w:val="nil"/>
              <w:bottom w:val="single" w:sz="4" w:space="0" w:color="auto"/>
              <w:right w:val="single" w:sz="4" w:space="0" w:color="auto"/>
            </w:tcBorders>
            <w:shd w:val="clear" w:color="auto" w:fill="auto"/>
            <w:noWrap/>
            <w:vAlign w:val="bottom"/>
            <w:hideMark/>
          </w:tcPr>
          <w:p w14:paraId="1A07568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0.0198</w:t>
            </w:r>
          </w:p>
        </w:tc>
        <w:tc>
          <w:tcPr>
            <w:tcW w:w="804" w:type="dxa"/>
            <w:tcBorders>
              <w:top w:val="nil"/>
              <w:left w:val="nil"/>
              <w:bottom w:val="single" w:sz="4" w:space="0" w:color="auto"/>
              <w:right w:val="single" w:sz="4" w:space="0" w:color="auto"/>
            </w:tcBorders>
            <w:shd w:val="clear" w:color="000000" w:fill="E7E6E6"/>
            <w:noWrap/>
            <w:vAlign w:val="bottom"/>
            <w:hideMark/>
          </w:tcPr>
          <w:p w14:paraId="268EAE5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0.0148</w:t>
            </w:r>
          </w:p>
        </w:tc>
      </w:tr>
      <w:tr w:rsidR="00164414" w:rsidRPr="00164414" w14:paraId="7800645B"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927226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&gt;8.5 to 14.5 GHz</w:t>
            </w:r>
          </w:p>
        </w:tc>
        <w:tc>
          <w:tcPr>
            <w:tcW w:w="732" w:type="dxa"/>
            <w:tcBorders>
              <w:top w:val="nil"/>
              <w:left w:val="nil"/>
              <w:bottom w:val="single" w:sz="4" w:space="0" w:color="auto"/>
              <w:right w:val="single" w:sz="4" w:space="0" w:color="auto"/>
            </w:tcBorders>
            <w:shd w:val="clear" w:color="auto" w:fill="auto"/>
            <w:noWrap/>
            <w:vAlign w:val="bottom"/>
            <w:hideMark/>
          </w:tcPr>
          <w:p w14:paraId="2D606CB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0.4588</w:t>
            </w:r>
          </w:p>
        </w:tc>
        <w:tc>
          <w:tcPr>
            <w:tcW w:w="804" w:type="dxa"/>
            <w:tcBorders>
              <w:top w:val="nil"/>
              <w:left w:val="nil"/>
              <w:bottom w:val="single" w:sz="4" w:space="0" w:color="auto"/>
              <w:right w:val="single" w:sz="4" w:space="0" w:color="auto"/>
            </w:tcBorders>
            <w:shd w:val="clear" w:color="000000" w:fill="E7E6E6"/>
            <w:noWrap/>
            <w:vAlign w:val="bottom"/>
            <w:hideMark/>
          </w:tcPr>
          <w:p w14:paraId="673870E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0.2287</w:t>
            </w:r>
          </w:p>
        </w:tc>
        <w:tc>
          <w:tcPr>
            <w:tcW w:w="731" w:type="dxa"/>
            <w:tcBorders>
              <w:top w:val="nil"/>
              <w:left w:val="nil"/>
              <w:bottom w:val="single" w:sz="4" w:space="0" w:color="auto"/>
              <w:right w:val="single" w:sz="4" w:space="0" w:color="auto"/>
            </w:tcBorders>
            <w:shd w:val="clear" w:color="auto" w:fill="auto"/>
            <w:noWrap/>
            <w:vAlign w:val="bottom"/>
            <w:hideMark/>
          </w:tcPr>
          <w:p w14:paraId="7B4FB9A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0.1652</w:t>
            </w:r>
          </w:p>
        </w:tc>
        <w:tc>
          <w:tcPr>
            <w:tcW w:w="804" w:type="dxa"/>
            <w:tcBorders>
              <w:top w:val="nil"/>
              <w:left w:val="nil"/>
              <w:bottom w:val="single" w:sz="4" w:space="0" w:color="auto"/>
              <w:right w:val="single" w:sz="4" w:space="0" w:color="auto"/>
            </w:tcBorders>
            <w:shd w:val="clear" w:color="000000" w:fill="E7E6E6"/>
            <w:noWrap/>
            <w:vAlign w:val="bottom"/>
            <w:hideMark/>
          </w:tcPr>
          <w:p w14:paraId="3C936D2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0.0823</w:t>
            </w:r>
          </w:p>
        </w:tc>
        <w:tc>
          <w:tcPr>
            <w:tcW w:w="650" w:type="dxa"/>
            <w:tcBorders>
              <w:top w:val="nil"/>
              <w:left w:val="nil"/>
              <w:bottom w:val="single" w:sz="4" w:space="0" w:color="auto"/>
              <w:right w:val="single" w:sz="4" w:space="0" w:color="auto"/>
            </w:tcBorders>
            <w:shd w:val="clear" w:color="auto" w:fill="auto"/>
            <w:noWrap/>
            <w:vAlign w:val="bottom"/>
            <w:hideMark/>
          </w:tcPr>
          <w:p w14:paraId="7ECE5CE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0.0391</w:t>
            </w:r>
          </w:p>
        </w:tc>
        <w:tc>
          <w:tcPr>
            <w:tcW w:w="804" w:type="dxa"/>
            <w:tcBorders>
              <w:top w:val="nil"/>
              <w:left w:val="nil"/>
              <w:bottom w:val="single" w:sz="4" w:space="0" w:color="auto"/>
              <w:right w:val="single" w:sz="4" w:space="0" w:color="auto"/>
            </w:tcBorders>
            <w:shd w:val="clear" w:color="000000" w:fill="E7E6E6"/>
            <w:noWrap/>
            <w:vAlign w:val="bottom"/>
            <w:hideMark/>
          </w:tcPr>
          <w:p w14:paraId="4DCE386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0.0195</w:t>
            </w:r>
          </w:p>
        </w:tc>
        <w:tc>
          <w:tcPr>
            <w:tcW w:w="650" w:type="dxa"/>
            <w:tcBorders>
              <w:top w:val="nil"/>
              <w:left w:val="nil"/>
              <w:bottom w:val="single" w:sz="4" w:space="0" w:color="auto"/>
              <w:right w:val="single" w:sz="4" w:space="0" w:color="auto"/>
            </w:tcBorders>
            <w:shd w:val="clear" w:color="auto" w:fill="auto"/>
            <w:noWrap/>
            <w:vAlign w:val="bottom"/>
            <w:hideMark/>
          </w:tcPr>
          <w:p w14:paraId="7B5662E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0.0028</w:t>
            </w:r>
          </w:p>
        </w:tc>
        <w:tc>
          <w:tcPr>
            <w:tcW w:w="804" w:type="dxa"/>
            <w:tcBorders>
              <w:top w:val="nil"/>
              <w:left w:val="nil"/>
              <w:bottom w:val="single" w:sz="4" w:space="0" w:color="auto"/>
              <w:right w:val="single" w:sz="4" w:space="0" w:color="auto"/>
            </w:tcBorders>
            <w:shd w:val="clear" w:color="000000" w:fill="E7E6E6"/>
            <w:noWrap/>
            <w:vAlign w:val="bottom"/>
            <w:hideMark/>
          </w:tcPr>
          <w:p w14:paraId="3C1D9E4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0.0014</w:t>
            </w:r>
          </w:p>
        </w:tc>
        <w:tc>
          <w:tcPr>
            <w:tcW w:w="650" w:type="dxa"/>
            <w:tcBorders>
              <w:top w:val="nil"/>
              <w:left w:val="nil"/>
              <w:bottom w:val="single" w:sz="4" w:space="0" w:color="auto"/>
              <w:right w:val="single" w:sz="4" w:space="0" w:color="auto"/>
            </w:tcBorders>
            <w:shd w:val="clear" w:color="auto" w:fill="auto"/>
            <w:noWrap/>
            <w:vAlign w:val="bottom"/>
            <w:hideMark/>
          </w:tcPr>
          <w:p w14:paraId="574CBED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0.0014</w:t>
            </w:r>
          </w:p>
        </w:tc>
        <w:tc>
          <w:tcPr>
            <w:tcW w:w="804" w:type="dxa"/>
            <w:tcBorders>
              <w:top w:val="nil"/>
              <w:left w:val="nil"/>
              <w:bottom w:val="single" w:sz="4" w:space="0" w:color="auto"/>
              <w:right w:val="single" w:sz="4" w:space="0" w:color="auto"/>
            </w:tcBorders>
            <w:shd w:val="clear" w:color="000000" w:fill="E7E6E6"/>
            <w:noWrap/>
            <w:vAlign w:val="bottom"/>
            <w:hideMark/>
          </w:tcPr>
          <w:p w14:paraId="364108E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0.0007</w:t>
            </w:r>
          </w:p>
        </w:tc>
      </w:tr>
      <w:tr w:rsidR="00164414" w:rsidRPr="00164414" w14:paraId="05D3F11E"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216E55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&gt;14.5 to 31.3 GHz</w:t>
            </w:r>
          </w:p>
        </w:tc>
        <w:tc>
          <w:tcPr>
            <w:tcW w:w="732" w:type="dxa"/>
            <w:tcBorders>
              <w:top w:val="nil"/>
              <w:left w:val="nil"/>
              <w:bottom w:val="single" w:sz="4" w:space="0" w:color="auto"/>
              <w:right w:val="single" w:sz="4" w:space="0" w:color="auto"/>
            </w:tcBorders>
            <w:shd w:val="clear" w:color="auto" w:fill="auto"/>
            <w:noWrap/>
            <w:vAlign w:val="bottom"/>
            <w:hideMark/>
          </w:tcPr>
          <w:p w14:paraId="036995E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0.4588</w:t>
            </w:r>
          </w:p>
        </w:tc>
        <w:tc>
          <w:tcPr>
            <w:tcW w:w="804" w:type="dxa"/>
            <w:tcBorders>
              <w:top w:val="nil"/>
              <w:left w:val="nil"/>
              <w:bottom w:val="single" w:sz="4" w:space="0" w:color="auto"/>
              <w:right w:val="single" w:sz="4" w:space="0" w:color="auto"/>
            </w:tcBorders>
            <w:shd w:val="clear" w:color="000000" w:fill="E7E6E6"/>
            <w:noWrap/>
            <w:vAlign w:val="bottom"/>
            <w:hideMark/>
          </w:tcPr>
          <w:p w14:paraId="04A94B9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0.0457</w:t>
            </w:r>
          </w:p>
        </w:tc>
        <w:tc>
          <w:tcPr>
            <w:tcW w:w="731" w:type="dxa"/>
            <w:tcBorders>
              <w:top w:val="nil"/>
              <w:left w:val="nil"/>
              <w:bottom w:val="single" w:sz="4" w:space="0" w:color="auto"/>
              <w:right w:val="single" w:sz="4" w:space="0" w:color="auto"/>
            </w:tcBorders>
            <w:shd w:val="clear" w:color="auto" w:fill="auto"/>
            <w:noWrap/>
            <w:vAlign w:val="bottom"/>
            <w:hideMark/>
          </w:tcPr>
          <w:p w14:paraId="6DC6877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0.1221</w:t>
            </w:r>
          </w:p>
        </w:tc>
        <w:tc>
          <w:tcPr>
            <w:tcW w:w="804" w:type="dxa"/>
            <w:tcBorders>
              <w:top w:val="nil"/>
              <w:left w:val="nil"/>
              <w:bottom w:val="single" w:sz="4" w:space="0" w:color="auto"/>
              <w:right w:val="single" w:sz="4" w:space="0" w:color="auto"/>
            </w:tcBorders>
            <w:shd w:val="clear" w:color="000000" w:fill="E7E6E6"/>
            <w:noWrap/>
            <w:vAlign w:val="bottom"/>
            <w:hideMark/>
          </w:tcPr>
          <w:p w14:paraId="7447103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0.0122</w:t>
            </w:r>
          </w:p>
        </w:tc>
        <w:tc>
          <w:tcPr>
            <w:tcW w:w="650" w:type="dxa"/>
            <w:tcBorders>
              <w:top w:val="nil"/>
              <w:left w:val="nil"/>
              <w:bottom w:val="single" w:sz="4" w:space="0" w:color="auto"/>
              <w:right w:val="single" w:sz="4" w:space="0" w:color="auto"/>
            </w:tcBorders>
            <w:shd w:val="clear" w:color="auto" w:fill="auto"/>
            <w:noWrap/>
            <w:vAlign w:val="bottom"/>
            <w:hideMark/>
          </w:tcPr>
          <w:p w14:paraId="65459B6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0.0268</w:t>
            </w:r>
          </w:p>
        </w:tc>
        <w:tc>
          <w:tcPr>
            <w:tcW w:w="804" w:type="dxa"/>
            <w:tcBorders>
              <w:top w:val="nil"/>
              <w:left w:val="nil"/>
              <w:bottom w:val="single" w:sz="4" w:space="0" w:color="auto"/>
              <w:right w:val="single" w:sz="4" w:space="0" w:color="auto"/>
            </w:tcBorders>
            <w:shd w:val="clear" w:color="000000" w:fill="E7E6E6"/>
            <w:noWrap/>
            <w:vAlign w:val="bottom"/>
            <w:hideMark/>
          </w:tcPr>
          <w:p w14:paraId="3A6738F3"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0.0027</w:t>
            </w:r>
          </w:p>
        </w:tc>
        <w:tc>
          <w:tcPr>
            <w:tcW w:w="650" w:type="dxa"/>
            <w:tcBorders>
              <w:top w:val="nil"/>
              <w:left w:val="nil"/>
              <w:bottom w:val="single" w:sz="4" w:space="0" w:color="auto"/>
              <w:right w:val="single" w:sz="4" w:space="0" w:color="auto"/>
            </w:tcBorders>
            <w:shd w:val="clear" w:color="auto" w:fill="auto"/>
            <w:noWrap/>
            <w:vAlign w:val="bottom"/>
            <w:hideMark/>
          </w:tcPr>
          <w:p w14:paraId="2500922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0.0028</w:t>
            </w:r>
          </w:p>
        </w:tc>
        <w:tc>
          <w:tcPr>
            <w:tcW w:w="804" w:type="dxa"/>
            <w:tcBorders>
              <w:top w:val="nil"/>
              <w:left w:val="nil"/>
              <w:bottom w:val="single" w:sz="4" w:space="0" w:color="auto"/>
              <w:right w:val="single" w:sz="4" w:space="0" w:color="auto"/>
            </w:tcBorders>
            <w:shd w:val="clear" w:color="000000" w:fill="E7E6E6"/>
            <w:noWrap/>
            <w:vAlign w:val="bottom"/>
            <w:hideMark/>
          </w:tcPr>
          <w:p w14:paraId="21F3ADC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0.0003</w:t>
            </w:r>
          </w:p>
        </w:tc>
        <w:tc>
          <w:tcPr>
            <w:tcW w:w="650" w:type="dxa"/>
            <w:tcBorders>
              <w:top w:val="nil"/>
              <w:left w:val="nil"/>
              <w:bottom w:val="single" w:sz="4" w:space="0" w:color="auto"/>
              <w:right w:val="single" w:sz="4" w:space="0" w:color="auto"/>
            </w:tcBorders>
            <w:shd w:val="clear" w:color="auto" w:fill="auto"/>
            <w:noWrap/>
            <w:vAlign w:val="bottom"/>
            <w:hideMark/>
          </w:tcPr>
          <w:p w14:paraId="1C5E42F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0.0014</w:t>
            </w:r>
          </w:p>
        </w:tc>
        <w:tc>
          <w:tcPr>
            <w:tcW w:w="804" w:type="dxa"/>
            <w:tcBorders>
              <w:top w:val="nil"/>
              <w:left w:val="nil"/>
              <w:bottom w:val="single" w:sz="4" w:space="0" w:color="auto"/>
              <w:right w:val="single" w:sz="4" w:space="0" w:color="auto"/>
            </w:tcBorders>
            <w:shd w:val="clear" w:color="000000" w:fill="E7E6E6"/>
            <w:noWrap/>
            <w:vAlign w:val="bottom"/>
            <w:hideMark/>
          </w:tcPr>
          <w:p w14:paraId="673C0D3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0.0001</w:t>
            </w:r>
          </w:p>
        </w:tc>
      </w:tr>
      <w:tr w:rsidR="00164414" w:rsidRPr="00164414" w14:paraId="3F743717"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ED5C23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&gt;31.3 to 51.4 GHz</w:t>
            </w:r>
          </w:p>
        </w:tc>
        <w:tc>
          <w:tcPr>
            <w:tcW w:w="732" w:type="dxa"/>
            <w:tcBorders>
              <w:top w:val="nil"/>
              <w:left w:val="nil"/>
              <w:bottom w:val="single" w:sz="4" w:space="0" w:color="auto"/>
              <w:right w:val="single" w:sz="4" w:space="0" w:color="auto"/>
            </w:tcBorders>
            <w:shd w:val="clear" w:color="auto" w:fill="auto"/>
            <w:noWrap/>
            <w:vAlign w:val="bottom"/>
            <w:hideMark/>
          </w:tcPr>
          <w:p w14:paraId="5988D2A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0.1251</w:t>
            </w:r>
          </w:p>
        </w:tc>
        <w:tc>
          <w:tcPr>
            <w:tcW w:w="804" w:type="dxa"/>
            <w:tcBorders>
              <w:top w:val="nil"/>
              <w:left w:val="nil"/>
              <w:bottom w:val="single" w:sz="4" w:space="0" w:color="auto"/>
              <w:right w:val="single" w:sz="4" w:space="0" w:color="auto"/>
            </w:tcBorders>
            <w:shd w:val="clear" w:color="000000" w:fill="E7E6E6"/>
            <w:noWrap/>
            <w:vAlign w:val="bottom"/>
            <w:hideMark/>
          </w:tcPr>
          <w:p w14:paraId="7105671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0.0125</w:t>
            </w:r>
          </w:p>
        </w:tc>
        <w:tc>
          <w:tcPr>
            <w:tcW w:w="731" w:type="dxa"/>
            <w:tcBorders>
              <w:top w:val="nil"/>
              <w:left w:val="nil"/>
              <w:bottom w:val="single" w:sz="4" w:space="0" w:color="auto"/>
              <w:right w:val="single" w:sz="4" w:space="0" w:color="auto"/>
            </w:tcBorders>
            <w:shd w:val="clear" w:color="auto" w:fill="auto"/>
            <w:noWrap/>
            <w:vAlign w:val="bottom"/>
            <w:hideMark/>
          </w:tcPr>
          <w:p w14:paraId="7750E02D"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0.0666</w:t>
            </w:r>
          </w:p>
        </w:tc>
        <w:tc>
          <w:tcPr>
            <w:tcW w:w="804" w:type="dxa"/>
            <w:tcBorders>
              <w:top w:val="nil"/>
              <w:left w:val="nil"/>
              <w:bottom w:val="single" w:sz="4" w:space="0" w:color="auto"/>
              <w:right w:val="single" w:sz="4" w:space="0" w:color="auto"/>
            </w:tcBorders>
            <w:shd w:val="clear" w:color="000000" w:fill="E7E6E6"/>
            <w:noWrap/>
            <w:vAlign w:val="bottom"/>
            <w:hideMark/>
          </w:tcPr>
          <w:p w14:paraId="74B5243E"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0.0066</w:t>
            </w:r>
          </w:p>
        </w:tc>
        <w:tc>
          <w:tcPr>
            <w:tcW w:w="650" w:type="dxa"/>
            <w:tcBorders>
              <w:top w:val="nil"/>
              <w:left w:val="nil"/>
              <w:bottom w:val="single" w:sz="4" w:space="0" w:color="auto"/>
              <w:right w:val="single" w:sz="4" w:space="0" w:color="auto"/>
            </w:tcBorders>
            <w:shd w:val="clear" w:color="auto" w:fill="auto"/>
            <w:noWrap/>
            <w:vAlign w:val="bottom"/>
            <w:hideMark/>
          </w:tcPr>
          <w:p w14:paraId="643C4F24"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0.0145</w:t>
            </w:r>
          </w:p>
        </w:tc>
        <w:tc>
          <w:tcPr>
            <w:tcW w:w="804" w:type="dxa"/>
            <w:tcBorders>
              <w:top w:val="nil"/>
              <w:left w:val="nil"/>
              <w:bottom w:val="single" w:sz="4" w:space="0" w:color="auto"/>
              <w:right w:val="single" w:sz="4" w:space="0" w:color="auto"/>
            </w:tcBorders>
            <w:shd w:val="clear" w:color="000000" w:fill="E7E6E6"/>
            <w:noWrap/>
            <w:vAlign w:val="bottom"/>
            <w:hideMark/>
          </w:tcPr>
          <w:p w14:paraId="78B4F237"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0.0014</w:t>
            </w:r>
          </w:p>
        </w:tc>
        <w:tc>
          <w:tcPr>
            <w:tcW w:w="650" w:type="dxa"/>
            <w:tcBorders>
              <w:top w:val="nil"/>
              <w:left w:val="nil"/>
              <w:bottom w:val="single" w:sz="4" w:space="0" w:color="auto"/>
              <w:right w:val="single" w:sz="4" w:space="0" w:color="auto"/>
            </w:tcBorders>
            <w:shd w:val="clear" w:color="auto" w:fill="auto"/>
            <w:noWrap/>
            <w:vAlign w:val="bottom"/>
            <w:hideMark/>
          </w:tcPr>
          <w:p w14:paraId="50BD158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0.0005</w:t>
            </w:r>
          </w:p>
        </w:tc>
        <w:tc>
          <w:tcPr>
            <w:tcW w:w="804" w:type="dxa"/>
            <w:tcBorders>
              <w:top w:val="nil"/>
              <w:left w:val="nil"/>
              <w:bottom w:val="single" w:sz="4" w:space="0" w:color="auto"/>
              <w:right w:val="single" w:sz="4" w:space="0" w:color="auto"/>
            </w:tcBorders>
            <w:shd w:val="clear" w:color="000000" w:fill="E7E6E6"/>
            <w:noWrap/>
            <w:vAlign w:val="bottom"/>
            <w:hideMark/>
          </w:tcPr>
          <w:p w14:paraId="00EFA51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c>
          <w:tcPr>
            <w:tcW w:w="650" w:type="dxa"/>
            <w:tcBorders>
              <w:top w:val="nil"/>
              <w:left w:val="nil"/>
              <w:bottom w:val="single" w:sz="4" w:space="0" w:color="auto"/>
              <w:right w:val="single" w:sz="4" w:space="0" w:color="auto"/>
            </w:tcBorders>
            <w:shd w:val="clear" w:color="auto" w:fill="auto"/>
            <w:noWrap/>
            <w:vAlign w:val="bottom"/>
            <w:hideMark/>
          </w:tcPr>
          <w:p w14:paraId="049D8DBF"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0.0002</w:t>
            </w:r>
          </w:p>
        </w:tc>
        <w:tc>
          <w:tcPr>
            <w:tcW w:w="804" w:type="dxa"/>
            <w:tcBorders>
              <w:top w:val="nil"/>
              <w:left w:val="nil"/>
              <w:bottom w:val="single" w:sz="4" w:space="0" w:color="auto"/>
              <w:right w:val="single" w:sz="4" w:space="0" w:color="auto"/>
            </w:tcBorders>
            <w:shd w:val="clear" w:color="000000" w:fill="E7E6E6"/>
            <w:noWrap/>
            <w:vAlign w:val="bottom"/>
            <w:hideMark/>
          </w:tcPr>
          <w:p w14:paraId="2B538DD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r>
      <w:tr w:rsidR="00164414" w:rsidRPr="00164414" w14:paraId="60ABB6F8" w14:textId="77777777" w:rsidTr="00D57A1E">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87255B1"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&gt;51.4 GHz</w:t>
            </w:r>
          </w:p>
        </w:tc>
        <w:tc>
          <w:tcPr>
            <w:tcW w:w="732" w:type="dxa"/>
            <w:tcBorders>
              <w:top w:val="nil"/>
              <w:left w:val="nil"/>
              <w:bottom w:val="single" w:sz="4" w:space="0" w:color="auto"/>
              <w:right w:val="single" w:sz="4" w:space="0" w:color="auto"/>
            </w:tcBorders>
            <w:shd w:val="clear" w:color="auto" w:fill="auto"/>
            <w:noWrap/>
            <w:vAlign w:val="bottom"/>
            <w:hideMark/>
          </w:tcPr>
          <w:p w14:paraId="054E51DA"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0.0124</w:t>
            </w:r>
          </w:p>
        </w:tc>
        <w:tc>
          <w:tcPr>
            <w:tcW w:w="804" w:type="dxa"/>
            <w:tcBorders>
              <w:top w:val="nil"/>
              <w:left w:val="nil"/>
              <w:bottom w:val="single" w:sz="4" w:space="0" w:color="auto"/>
              <w:right w:val="single" w:sz="4" w:space="0" w:color="auto"/>
            </w:tcBorders>
            <w:shd w:val="clear" w:color="000000" w:fill="E7E6E6"/>
            <w:noWrap/>
            <w:vAlign w:val="bottom"/>
            <w:hideMark/>
          </w:tcPr>
          <w:p w14:paraId="28A6D6E9"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0.0012</w:t>
            </w:r>
          </w:p>
        </w:tc>
        <w:tc>
          <w:tcPr>
            <w:tcW w:w="731" w:type="dxa"/>
            <w:tcBorders>
              <w:top w:val="nil"/>
              <w:left w:val="nil"/>
              <w:bottom w:val="single" w:sz="4" w:space="0" w:color="auto"/>
              <w:right w:val="single" w:sz="4" w:space="0" w:color="auto"/>
            </w:tcBorders>
            <w:shd w:val="clear" w:color="auto" w:fill="auto"/>
            <w:noWrap/>
            <w:vAlign w:val="bottom"/>
            <w:hideMark/>
          </w:tcPr>
          <w:p w14:paraId="238F83C2"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0.0012</w:t>
            </w:r>
          </w:p>
        </w:tc>
        <w:tc>
          <w:tcPr>
            <w:tcW w:w="804" w:type="dxa"/>
            <w:tcBorders>
              <w:top w:val="nil"/>
              <w:left w:val="nil"/>
              <w:bottom w:val="single" w:sz="4" w:space="0" w:color="auto"/>
              <w:right w:val="single" w:sz="4" w:space="0" w:color="auto"/>
            </w:tcBorders>
            <w:shd w:val="clear" w:color="000000" w:fill="E7E6E6"/>
            <w:noWrap/>
            <w:vAlign w:val="bottom"/>
            <w:hideMark/>
          </w:tcPr>
          <w:p w14:paraId="53BE7E85"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0.0001</w:t>
            </w:r>
          </w:p>
        </w:tc>
        <w:tc>
          <w:tcPr>
            <w:tcW w:w="650" w:type="dxa"/>
            <w:tcBorders>
              <w:top w:val="nil"/>
              <w:left w:val="nil"/>
              <w:bottom w:val="single" w:sz="4" w:space="0" w:color="auto"/>
              <w:right w:val="single" w:sz="4" w:space="0" w:color="auto"/>
            </w:tcBorders>
            <w:shd w:val="clear" w:color="auto" w:fill="auto"/>
            <w:noWrap/>
            <w:vAlign w:val="bottom"/>
            <w:hideMark/>
          </w:tcPr>
          <w:p w14:paraId="4E089460"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0.0012</w:t>
            </w:r>
          </w:p>
        </w:tc>
        <w:tc>
          <w:tcPr>
            <w:tcW w:w="804" w:type="dxa"/>
            <w:tcBorders>
              <w:top w:val="nil"/>
              <w:left w:val="nil"/>
              <w:bottom w:val="single" w:sz="4" w:space="0" w:color="auto"/>
              <w:right w:val="single" w:sz="4" w:space="0" w:color="auto"/>
            </w:tcBorders>
            <w:shd w:val="clear" w:color="000000" w:fill="E7E6E6"/>
            <w:noWrap/>
            <w:vAlign w:val="bottom"/>
            <w:hideMark/>
          </w:tcPr>
          <w:p w14:paraId="3A30FB78"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0.0001</w:t>
            </w:r>
          </w:p>
        </w:tc>
        <w:tc>
          <w:tcPr>
            <w:tcW w:w="650" w:type="dxa"/>
            <w:tcBorders>
              <w:top w:val="nil"/>
              <w:left w:val="nil"/>
              <w:bottom w:val="single" w:sz="4" w:space="0" w:color="auto"/>
              <w:right w:val="single" w:sz="4" w:space="0" w:color="auto"/>
            </w:tcBorders>
            <w:shd w:val="clear" w:color="auto" w:fill="auto"/>
            <w:noWrap/>
            <w:vAlign w:val="bottom"/>
            <w:hideMark/>
          </w:tcPr>
          <w:p w14:paraId="042C073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0.0001</w:t>
            </w:r>
          </w:p>
        </w:tc>
        <w:tc>
          <w:tcPr>
            <w:tcW w:w="804" w:type="dxa"/>
            <w:tcBorders>
              <w:top w:val="nil"/>
              <w:left w:val="nil"/>
              <w:bottom w:val="single" w:sz="4" w:space="0" w:color="auto"/>
              <w:right w:val="single" w:sz="4" w:space="0" w:color="auto"/>
            </w:tcBorders>
            <w:shd w:val="clear" w:color="000000" w:fill="E7E6E6"/>
            <w:noWrap/>
            <w:vAlign w:val="bottom"/>
            <w:hideMark/>
          </w:tcPr>
          <w:p w14:paraId="281D433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c>
          <w:tcPr>
            <w:tcW w:w="650" w:type="dxa"/>
            <w:tcBorders>
              <w:top w:val="nil"/>
              <w:left w:val="nil"/>
              <w:bottom w:val="single" w:sz="4" w:space="0" w:color="auto"/>
              <w:right w:val="single" w:sz="4" w:space="0" w:color="auto"/>
            </w:tcBorders>
            <w:shd w:val="clear" w:color="auto" w:fill="auto"/>
            <w:noWrap/>
            <w:vAlign w:val="bottom"/>
            <w:hideMark/>
          </w:tcPr>
          <w:p w14:paraId="05A848FC"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0.0001</w:t>
            </w:r>
          </w:p>
        </w:tc>
        <w:tc>
          <w:tcPr>
            <w:tcW w:w="804" w:type="dxa"/>
            <w:tcBorders>
              <w:top w:val="nil"/>
              <w:left w:val="nil"/>
              <w:bottom w:val="single" w:sz="4" w:space="0" w:color="auto"/>
              <w:right w:val="single" w:sz="4" w:space="0" w:color="auto"/>
            </w:tcBorders>
            <w:shd w:val="clear" w:color="000000" w:fill="E7E6E6"/>
            <w:noWrap/>
            <w:vAlign w:val="bottom"/>
            <w:hideMark/>
          </w:tcPr>
          <w:p w14:paraId="2404A146" w14:textId="77777777" w:rsidR="00164414" w:rsidRPr="00164414" w:rsidRDefault="00164414" w:rsidP="00164414">
            <w:pPr>
              <w:spacing w:after="0" w:line="240" w:lineRule="auto"/>
              <w:rPr>
                <w:rFonts w:cs="Arial"/>
                <w:color w:val="000000"/>
                <w:sz w:val="12"/>
                <w:szCs w:val="12"/>
              </w:rPr>
            </w:pPr>
            <w:r w:rsidRPr="00164414">
              <w:rPr>
                <w:rFonts w:cs="Arial"/>
                <w:color w:val="000000"/>
                <w:sz w:val="12"/>
                <w:szCs w:val="12"/>
              </w:rPr>
              <w:t>0.0000</w:t>
            </w:r>
          </w:p>
        </w:tc>
      </w:tr>
    </w:tbl>
    <w:p w14:paraId="55ACC6DC" w14:textId="04D1AE05" w:rsidR="00C92B01" w:rsidRPr="009D7417" w:rsidRDefault="00D57A1E" w:rsidP="004D5ADC">
      <w:pPr>
        <w:pStyle w:val="Tableorfigurenote"/>
      </w:pPr>
      <w:r w:rsidRPr="009D7417">
        <w:t>*</w:t>
      </w:r>
      <w:r w:rsidRPr="008C20C5">
        <w:t xml:space="preserve"> These taxes relate to Tab</w:t>
      </w:r>
      <w:r w:rsidRPr="00BD5436">
        <w:t xml:space="preserve">le </w:t>
      </w:r>
      <w:r w:rsidR="000656C7" w:rsidRPr="00580405">
        <w:t xml:space="preserve">502 </w:t>
      </w:r>
      <w:r w:rsidRPr="00DB4773">
        <w:t xml:space="preserve">in the Transmitter Licence </w:t>
      </w:r>
      <w:r w:rsidRPr="00434E92">
        <w:t>Tax Determination</w:t>
      </w:r>
      <w:r w:rsidR="00E514C4" w:rsidRPr="00A65717">
        <w:t>.</w:t>
      </w:r>
      <w:r w:rsidRPr="00A65717">
        <w:t xml:space="preserve"> </w:t>
      </w:r>
      <w:r w:rsidR="007A0B8B">
        <w:t>T</w:t>
      </w:r>
      <w:r w:rsidR="00170AEA">
        <w:t xml:space="preserve">able 15 of the </w:t>
      </w:r>
      <w:r w:rsidR="009142E3">
        <w:t>a</w:t>
      </w:r>
      <w:r w:rsidR="00170AEA">
        <w:t xml:space="preserve">pparatus licence </w:t>
      </w:r>
      <w:r w:rsidR="009142E3">
        <w:t>f</w:t>
      </w:r>
      <w:r w:rsidR="00170AEA">
        <w:t xml:space="preserve">ee </w:t>
      </w:r>
      <w:r w:rsidR="009142E3">
        <w:t>s</w:t>
      </w:r>
      <w:r w:rsidR="00170AEA">
        <w:t>chedule sets out taxes</w:t>
      </w:r>
      <w:r w:rsidR="00DF2FDB">
        <w:t xml:space="preserve"> for </w:t>
      </w:r>
      <w:r w:rsidR="00805AA1">
        <w:t>‘</w:t>
      </w:r>
      <w:r w:rsidR="00DF2FDB">
        <w:t>assigned licences in high</w:t>
      </w:r>
      <w:r w:rsidR="00805AA1">
        <w:t xml:space="preserve"> </w:t>
      </w:r>
      <w:r w:rsidR="00DF2FDB">
        <w:t>frequency bands</w:t>
      </w:r>
      <w:r w:rsidR="00805AA1">
        <w:t>’</w:t>
      </w:r>
      <w:r w:rsidR="00A03E40">
        <w:t xml:space="preserve"> for fre</w:t>
      </w:r>
      <w:r w:rsidR="001D7D59">
        <w:t xml:space="preserve">quency ranges up to 960 </w:t>
      </w:r>
      <w:proofErr w:type="spellStart"/>
      <w:r w:rsidR="001D7D59">
        <w:t>MHz</w:t>
      </w:r>
      <w:r w:rsidR="007F334E">
        <w:t>.</w:t>
      </w:r>
      <w:proofErr w:type="spellEnd"/>
      <w:r w:rsidR="007F334E">
        <w:t xml:space="preserve"> The taxes</w:t>
      </w:r>
      <w:r w:rsidR="00357414">
        <w:t xml:space="preserve"> in Table 15</w:t>
      </w:r>
      <w:r w:rsidR="007F334E">
        <w:t xml:space="preserve"> are the same as </w:t>
      </w:r>
      <w:r w:rsidR="000E2D44">
        <w:t>Table 12</w:t>
      </w:r>
      <w:r w:rsidR="007F334E">
        <w:t xml:space="preserve"> </w:t>
      </w:r>
      <w:r w:rsidR="00796919">
        <w:t xml:space="preserve">for the </w:t>
      </w:r>
      <w:r w:rsidR="00F81F28">
        <w:t xml:space="preserve">same </w:t>
      </w:r>
      <w:r w:rsidR="007F334E">
        <w:t>frequency</w:t>
      </w:r>
      <w:r w:rsidR="009A5DEC">
        <w:t xml:space="preserve"> range</w:t>
      </w:r>
      <w:r w:rsidR="00796919">
        <w:t>.</w:t>
      </w:r>
      <w:r w:rsidR="003D6FB2">
        <w:t xml:space="preserve"> </w:t>
      </w:r>
      <w:r w:rsidR="00261D6B">
        <w:t>However, t</w:t>
      </w:r>
      <w:r w:rsidR="003D6FB2">
        <w:t>he taxes in Table 15</w:t>
      </w:r>
      <w:r w:rsidR="00127933">
        <w:t xml:space="preserve"> relate to Table 302 of the Transmitter Licence Tax Determination</w:t>
      </w:r>
      <w:r w:rsidR="005D5415">
        <w:t>. For taxes</w:t>
      </w:r>
      <w:r w:rsidR="006A015D">
        <w:t xml:space="preserve"> </w:t>
      </w:r>
      <w:r w:rsidR="00BC34F5">
        <w:t xml:space="preserve">determined in </w:t>
      </w:r>
      <w:r w:rsidR="00316183">
        <w:t>Table 302</w:t>
      </w:r>
      <w:r w:rsidR="00221AC4">
        <w:t>,</w:t>
      </w:r>
      <w:r w:rsidR="00316183">
        <w:t xml:space="preserve"> similar</w:t>
      </w:r>
      <w:r w:rsidR="007C446C">
        <w:t xml:space="preserve"> reductions </w:t>
      </w:r>
      <w:r w:rsidR="009F3F7F">
        <w:t>of 25% to 90%</w:t>
      </w:r>
      <w:r w:rsidR="00DB489B">
        <w:t xml:space="preserve"> </w:t>
      </w:r>
      <w:r w:rsidR="007C446C">
        <w:t xml:space="preserve">apply </w:t>
      </w:r>
      <w:r w:rsidR="00DB489B">
        <w:t>to taxes</w:t>
      </w:r>
      <w:r w:rsidR="00261D6B">
        <w:t xml:space="preserve"> </w:t>
      </w:r>
      <w:r w:rsidR="007C446C">
        <w:t>for services operating in frequency ranges greater than 5 GHz</w:t>
      </w:r>
      <w:r w:rsidR="00CB5B4D">
        <w:t xml:space="preserve"> as </w:t>
      </w:r>
      <w:r w:rsidR="00E34D24">
        <w:t>outlined in this paper</w:t>
      </w:r>
      <w:r w:rsidR="00DB003A">
        <w:t>.</w:t>
      </w:r>
    </w:p>
    <w:p w14:paraId="653C142D" w14:textId="38739212" w:rsidR="00627634" w:rsidRPr="00046DA5" w:rsidRDefault="00627634" w:rsidP="00793A49">
      <w:pPr>
        <w:pStyle w:val="Heading3"/>
      </w:pPr>
      <w:r>
        <w:t xml:space="preserve">Division </w:t>
      </w:r>
      <w:r w:rsidR="00464B47">
        <w:t>5</w:t>
      </w:r>
      <w:r w:rsidR="006C4A6B">
        <w:t xml:space="preserve"> of the </w:t>
      </w:r>
      <w:r w:rsidR="000C6D91">
        <w:t>Apparatus Licence Fee Schedule</w:t>
      </w:r>
      <w:r w:rsidR="000C6D91" w:rsidDel="000C6D91">
        <w:t xml:space="preserve"> </w:t>
      </w:r>
      <w:r w:rsidR="000C6D91">
        <w:t>– t</w:t>
      </w:r>
      <w:r w:rsidR="0041765C">
        <w:t>elevision outside broadcast licen</w:t>
      </w:r>
      <w:r w:rsidR="00B837F2">
        <w:t>c</w:t>
      </w:r>
      <w:r w:rsidR="0041765C">
        <w:t>es</w:t>
      </w:r>
    </w:p>
    <w:p w14:paraId="6CA667CA" w14:textId="3CFA9D39" w:rsidR="00627634" w:rsidRDefault="00627634" w:rsidP="00793A49">
      <w:pPr>
        <w:pStyle w:val="Paragraph"/>
        <w:keepNext/>
        <w:keepLines/>
        <w:tabs>
          <w:tab w:val="left" w:pos="720"/>
        </w:tabs>
        <w:spacing w:after="80"/>
      </w:pPr>
      <w:r>
        <w:t>Table 1</w:t>
      </w:r>
      <w:r w:rsidR="0041765C">
        <w:t>9</w:t>
      </w:r>
      <w:r w:rsidR="006C4A6B">
        <w:t xml:space="preserve"> of the </w:t>
      </w:r>
      <w:r w:rsidR="000C6D91">
        <w:t>Apparatus Licence Fee Schedule</w:t>
      </w:r>
      <w:r>
        <w:t>. Annual licen</w:t>
      </w:r>
      <w:r w:rsidR="00B837F2">
        <w:t>c</w:t>
      </w:r>
      <w:r>
        <w:t xml:space="preserve">e tax </w:t>
      </w:r>
      <w:r w:rsidR="00BE5177">
        <w:t>television outside broadcast station ($ per kHz</w:t>
      </w:r>
      <w:proofErr w:type="gramStart"/>
      <w:r w:rsidR="00BE5177">
        <w:t>)</w:t>
      </w:r>
      <w:r w:rsidR="000C6D91">
        <w:t>.</w:t>
      </w:r>
      <w:r w:rsidR="00D11066">
        <w:t>*</w:t>
      </w:r>
      <w:proofErr w:type="gramEnd"/>
      <w:r w:rsidR="000C6D91">
        <w:t xml:space="preserve"> </w:t>
      </w:r>
    </w:p>
    <w:tbl>
      <w:tblPr>
        <w:tblW w:w="8820" w:type="dxa"/>
        <w:tblLook w:val="04A0" w:firstRow="1" w:lastRow="0" w:firstColumn="1" w:lastColumn="0" w:noHBand="0" w:noVBand="1"/>
      </w:tblPr>
      <w:tblGrid>
        <w:gridCol w:w="1420"/>
        <w:gridCol w:w="655"/>
        <w:gridCol w:w="825"/>
        <w:gridCol w:w="655"/>
        <w:gridCol w:w="825"/>
        <w:gridCol w:w="655"/>
        <w:gridCol w:w="825"/>
        <w:gridCol w:w="655"/>
        <w:gridCol w:w="825"/>
        <w:gridCol w:w="655"/>
        <w:gridCol w:w="825"/>
      </w:tblGrid>
      <w:tr w:rsidR="009500C6" w:rsidRPr="009500C6" w14:paraId="4645D0D7" w14:textId="77777777" w:rsidTr="009500C6">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0C1B94D0"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Spectrum location</w:t>
            </w:r>
          </w:p>
        </w:tc>
        <w:tc>
          <w:tcPr>
            <w:tcW w:w="7400" w:type="dxa"/>
            <w:gridSpan w:val="10"/>
            <w:tcBorders>
              <w:top w:val="nil"/>
              <w:left w:val="nil"/>
              <w:bottom w:val="nil"/>
              <w:right w:val="nil"/>
            </w:tcBorders>
            <w:shd w:val="clear" w:color="000000" w:fill="404040"/>
            <w:noWrap/>
            <w:vAlign w:val="bottom"/>
            <w:hideMark/>
          </w:tcPr>
          <w:p w14:paraId="19289E18"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Geographic location</w:t>
            </w:r>
          </w:p>
        </w:tc>
      </w:tr>
      <w:tr w:rsidR="009500C6" w:rsidRPr="009500C6" w14:paraId="33F22DCC" w14:textId="77777777" w:rsidTr="009500C6">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7F69A4F0" w14:textId="77777777" w:rsidR="009500C6" w:rsidRPr="009500C6" w:rsidRDefault="009500C6" w:rsidP="00793A49">
            <w:pPr>
              <w:keepNext/>
              <w:keepLines/>
              <w:spacing w:after="0" w:line="240" w:lineRule="auto"/>
              <w:rPr>
                <w:rFonts w:cs="Arial"/>
                <w:b/>
                <w:bCs/>
                <w:color w:val="FFFFFF"/>
                <w:sz w:val="12"/>
                <w:szCs w:val="12"/>
              </w:rPr>
            </w:pP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12E98D6A"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Australia-wide</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24E2E9A9"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High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302ABD2E"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Medium density</w:t>
            </w:r>
          </w:p>
        </w:tc>
        <w:tc>
          <w:tcPr>
            <w:tcW w:w="1480" w:type="dxa"/>
            <w:gridSpan w:val="2"/>
            <w:tcBorders>
              <w:top w:val="single" w:sz="4" w:space="0" w:color="auto"/>
              <w:left w:val="nil"/>
              <w:bottom w:val="nil"/>
              <w:right w:val="single" w:sz="4" w:space="0" w:color="000000"/>
            </w:tcBorders>
            <w:shd w:val="clear" w:color="000000" w:fill="404040"/>
            <w:noWrap/>
            <w:vAlign w:val="bottom"/>
            <w:hideMark/>
          </w:tcPr>
          <w:p w14:paraId="72A85DCE"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Low density</w:t>
            </w:r>
          </w:p>
        </w:tc>
        <w:tc>
          <w:tcPr>
            <w:tcW w:w="1480" w:type="dxa"/>
            <w:gridSpan w:val="2"/>
            <w:tcBorders>
              <w:top w:val="nil"/>
              <w:left w:val="nil"/>
              <w:bottom w:val="nil"/>
              <w:right w:val="nil"/>
            </w:tcBorders>
            <w:shd w:val="clear" w:color="000000" w:fill="404040"/>
            <w:noWrap/>
            <w:vAlign w:val="bottom"/>
            <w:hideMark/>
          </w:tcPr>
          <w:p w14:paraId="4023AEB5"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Remote density</w:t>
            </w:r>
          </w:p>
        </w:tc>
      </w:tr>
      <w:tr w:rsidR="009500C6" w:rsidRPr="009500C6" w14:paraId="529F9DFD" w14:textId="77777777" w:rsidTr="009500C6">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6CD3AEFE" w14:textId="77777777" w:rsidR="009500C6" w:rsidRPr="009500C6" w:rsidRDefault="009500C6" w:rsidP="00793A49">
            <w:pPr>
              <w:keepNext/>
              <w:keepLines/>
              <w:spacing w:after="0" w:line="240" w:lineRule="auto"/>
              <w:rPr>
                <w:rFonts w:cs="Arial"/>
                <w:b/>
                <w:bCs/>
                <w:color w:val="FFFFFF"/>
                <w:sz w:val="12"/>
                <w:szCs w:val="12"/>
              </w:rPr>
            </w:pPr>
          </w:p>
        </w:tc>
        <w:tc>
          <w:tcPr>
            <w:tcW w:w="655" w:type="dxa"/>
            <w:tcBorders>
              <w:top w:val="nil"/>
              <w:left w:val="nil"/>
              <w:bottom w:val="single" w:sz="4" w:space="0" w:color="auto"/>
              <w:right w:val="single" w:sz="4" w:space="0" w:color="auto"/>
            </w:tcBorders>
            <w:shd w:val="clear" w:color="000000" w:fill="404040"/>
            <w:noWrap/>
            <w:vAlign w:val="bottom"/>
            <w:hideMark/>
          </w:tcPr>
          <w:p w14:paraId="0FED35D8"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1A3764C8"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5A2200CE"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6585C8DC"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58777A95"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7AA69E16"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650BAAC6"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0BA366A5"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Proposed</w:t>
            </w:r>
          </w:p>
        </w:tc>
        <w:tc>
          <w:tcPr>
            <w:tcW w:w="655" w:type="dxa"/>
            <w:tcBorders>
              <w:top w:val="nil"/>
              <w:left w:val="nil"/>
              <w:bottom w:val="single" w:sz="4" w:space="0" w:color="auto"/>
              <w:right w:val="single" w:sz="4" w:space="0" w:color="auto"/>
            </w:tcBorders>
            <w:shd w:val="clear" w:color="000000" w:fill="404040"/>
            <w:noWrap/>
            <w:vAlign w:val="bottom"/>
            <w:hideMark/>
          </w:tcPr>
          <w:p w14:paraId="16A56CF5"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Current</w:t>
            </w:r>
          </w:p>
        </w:tc>
        <w:tc>
          <w:tcPr>
            <w:tcW w:w="825" w:type="dxa"/>
            <w:tcBorders>
              <w:top w:val="nil"/>
              <w:left w:val="nil"/>
              <w:bottom w:val="single" w:sz="4" w:space="0" w:color="auto"/>
              <w:right w:val="single" w:sz="4" w:space="0" w:color="auto"/>
            </w:tcBorders>
            <w:shd w:val="clear" w:color="000000" w:fill="404040"/>
            <w:noWrap/>
            <w:vAlign w:val="bottom"/>
            <w:hideMark/>
          </w:tcPr>
          <w:p w14:paraId="6351C280" w14:textId="77777777" w:rsidR="009500C6" w:rsidRPr="009500C6" w:rsidRDefault="009500C6" w:rsidP="00793A49">
            <w:pPr>
              <w:keepNext/>
              <w:keepLines/>
              <w:spacing w:after="0" w:line="240" w:lineRule="auto"/>
              <w:rPr>
                <w:rFonts w:cs="Arial"/>
                <w:b/>
                <w:bCs/>
                <w:color w:val="FFFFFF"/>
                <w:sz w:val="12"/>
                <w:szCs w:val="12"/>
              </w:rPr>
            </w:pPr>
            <w:r w:rsidRPr="009500C6">
              <w:rPr>
                <w:rFonts w:cs="Arial"/>
                <w:b/>
                <w:bCs/>
                <w:color w:val="FFFFFF"/>
                <w:sz w:val="12"/>
                <w:szCs w:val="12"/>
              </w:rPr>
              <w:t>Proposed</w:t>
            </w:r>
          </w:p>
        </w:tc>
      </w:tr>
      <w:tr w:rsidR="008B60B5" w:rsidRPr="009500C6" w14:paraId="1D68ECCD"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07CC58E"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&gt;960 to 2,690 MHz</w:t>
            </w:r>
          </w:p>
        </w:tc>
        <w:tc>
          <w:tcPr>
            <w:tcW w:w="655" w:type="dxa"/>
            <w:tcBorders>
              <w:top w:val="nil"/>
              <w:left w:val="nil"/>
              <w:bottom w:val="single" w:sz="4" w:space="0" w:color="auto"/>
              <w:right w:val="single" w:sz="4" w:space="0" w:color="auto"/>
            </w:tcBorders>
            <w:shd w:val="clear" w:color="auto" w:fill="auto"/>
            <w:noWrap/>
            <w:vAlign w:val="bottom"/>
            <w:hideMark/>
          </w:tcPr>
          <w:p w14:paraId="5DB3BFD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1.4494</w:t>
            </w:r>
          </w:p>
        </w:tc>
        <w:tc>
          <w:tcPr>
            <w:tcW w:w="825" w:type="dxa"/>
            <w:tcBorders>
              <w:top w:val="nil"/>
              <w:left w:val="nil"/>
              <w:bottom w:val="single" w:sz="4" w:space="0" w:color="auto"/>
              <w:right w:val="single" w:sz="4" w:space="0" w:color="auto"/>
            </w:tcBorders>
            <w:shd w:val="clear" w:color="000000" w:fill="E7E6E6"/>
            <w:noWrap/>
            <w:vAlign w:val="bottom"/>
            <w:hideMark/>
          </w:tcPr>
          <w:p w14:paraId="53D35A1F"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1.4450</w:t>
            </w:r>
          </w:p>
        </w:tc>
        <w:tc>
          <w:tcPr>
            <w:tcW w:w="655" w:type="dxa"/>
            <w:tcBorders>
              <w:top w:val="nil"/>
              <w:left w:val="nil"/>
              <w:bottom w:val="single" w:sz="4" w:space="0" w:color="auto"/>
              <w:right w:val="single" w:sz="4" w:space="0" w:color="auto"/>
            </w:tcBorders>
            <w:shd w:val="clear" w:color="auto" w:fill="auto"/>
            <w:noWrap/>
            <w:vAlign w:val="bottom"/>
            <w:hideMark/>
          </w:tcPr>
          <w:p w14:paraId="6E3527E2"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0.3253</w:t>
            </w:r>
          </w:p>
        </w:tc>
        <w:tc>
          <w:tcPr>
            <w:tcW w:w="825" w:type="dxa"/>
            <w:tcBorders>
              <w:top w:val="nil"/>
              <w:left w:val="nil"/>
              <w:bottom w:val="single" w:sz="4" w:space="0" w:color="auto"/>
              <w:right w:val="single" w:sz="4" w:space="0" w:color="auto"/>
            </w:tcBorders>
            <w:shd w:val="clear" w:color="000000" w:fill="E7E6E6"/>
            <w:noWrap/>
            <w:vAlign w:val="bottom"/>
            <w:hideMark/>
          </w:tcPr>
          <w:p w14:paraId="0847F407"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0.3243</w:t>
            </w:r>
          </w:p>
        </w:tc>
        <w:tc>
          <w:tcPr>
            <w:tcW w:w="655" w:type="dxa"/>
            <w:tcBorders>
              <w:top w:val="nil"/>
              <w:left w:val="nil"/>
              <w:bottom w:val="single" w:sz="4" w:space="0" w:color="auto"/>
              <w:right w:val="single" w:sz="4" w:space="0" w:color="auto"/>
            </w:tcBorders>
            <w:shd w:val="clear" w:color="auto" w:fill="auto"/>
            <w:noWrap/>
            <w:vAlign w:val="bottom"/>
            <w:hideMark/>
          </w:tcPr>
          <w:p w14:paraId="4B696BD0"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0.1504</w:t>
            </w:r>
          </w:p>
        </w:tc>
        <w:tc>
          <w:tcPr>
            <w:tcW w:w="825" w:type="dxa"/>
            <w:tcBorders>
              <w:top w:val="nil"/>
              <w:left w:val="nil"/>
              <w:bottom w:val="single" w:sz="4" w:space="0" w:color="auto"/>
              <w:right w:val="single" w:sz="4" w:space="0" w:color="auto"/>
            </w:tcBorders>
            <w:shd w:val="clear" w:color="000000" w:fill="E7E6E6"/>
            <w:noWrap/>
            <w:vAlign w:val="bottom"/>
            <w:hideMark/>
          </w:tcPr>
          <w:p w14:paraId="2659D80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0.1499</w:t>
            </w:r>
          </w:p>
        </w:tc>
        <w:tc>
          <w:tcPr>
            <w:tcW w:w="655" w:type="dxa"/>
            <w:tcBorders>
              <w:top w:val="nil"/>
              <w:left w:val="nil"/>
              <w:bottom w:val="single" w:sz="4" w:space="0" w:color="auto"/>
              <w:right w:val="single" w:sz="4" w:space="0" w:color="auto"/>
            </w:tcBorders>
            <w:shd w:val="clear" w:color="auto" w:fill="auto"/>
            <w:noWrap/>
            <w:vAlign w:val="bottom"/>
            <w:hideMark/>
          </w:tcPr>
          <w:p w14:paraId="5FC1CA6D"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0.0756</w:t>
            </w:r>
          </w:p>
        </w:tc>
        <w:tc>
          <w:tcPr>
            <w:tcW w:w="825" w:type="dxa"/>
            <w:tcBorders>
              <w:top w:val="nil"/>
              <w:left w:val="nil"/>
              <w:bottom w:val="single" w:sz="4" w:space="0" w:color="auto"/>
              <w:right w:val="single" w:sz="4" w:space="0" w:color="auto"/>
            </w:tcBorders>
            <w:shd w:val="clear" w:color="000000" w:fill="E7E6E6"/>
            <w:noWrap/>
            <w:vAlign w:val="bottom"/>
            <w:hideMark/>
          </w:tcPr>
          <w:p w14:paraId="287FACC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0.0754</w:t>
            </w:r>
          </w:p>
        </w:tc>
        <w:tc>
          <w:tcPr>
            <w:tcW w:w="655" w:type="dxa"/>
            <w:tcBorders>
              <w:top w:val="nil"/>
              <w:left w:val="nil"/>
              <w:bottom w:val="single" w:sz="4" w:space="0" w:color="auto"/>
              <w:right w:val="single" w:sz="4" w:space="0" w:color="auto"/>
            </w:tcBorders>
            <w:shd w:val="clear" w:color="auto" w:fill="auto"/>
            <w:noWrap/>
            <w:vAlign w:val="bottom"/>
            <w:hideMark/>
          </w:tcPr>
          <w:p w14:paraId="45147828"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0.0377</w:t>
            </w:r>
          </w:p>
        </w:tc>
        <w:tc>
          <w:tcPr>
            <w:tcW w:w="825" w:type="dxa"/>
            <w:tcBorders>
              <w:top w:val="nil"/>
              <w:left w:val="nil"/>
              <w:bottom w:val="single" w:sz="4" w:space="0" w:color="auto"/>
              <w:right w:val="single" w:sz="4" w:space="0" w:color="auto"/>
            </w:tcBorders>
            <w:shd w:val="clear" w:color="000000" w:fill="E7E6E6"/>
            <w:noWrap/>
            <w:vAlign w:val="bottom"/>
            <w:hideMark/>
          </w:tcPr>
          <w:p w14:paraId="3D5267E7"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0.0376</w:t>
            </w:r>
          </w:p>
        </w:tc>
      </w:tr>
      <w:tr w:rsidR="008B60B5" w:rsidRPr="009500C6" w14:paraId="1F0C8751"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D512CD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&gt;2.69 to 5.0 GHz</w:t>
            </w:r>
          </w:p>
        </w:tc>
        <w:tc>
          <w:tcPr>
            <w:tcW w:w="655" w:type="dxa"/>
            <w:tcBorders>
              <w:top w:val="nil"/>
              <w:left w:val="nil"/>
              <w:bottom w:val="single" w:sz="4" w:space="0" w:color="auto"/>
              <w:right w:val="single" w:sz="4" w:space="0" w:color="auto"/>
            </w:tcBorders>
            <w:shd w:val="clear" w:color="auto" w:fill="auto"/>
            <w:noWrap/>
            <w:vAlign w:val="bottom"/>
            <w:hideMark/>
          </w:tcPr>
          <w:p w14:paraId="0E313E8C"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1.4478</w:t>
            </w:r>
          </w:p>
        </w:tc>
        <w:tc>
          <w:tcPr>
            <w:tcW w:w="825" w:type="dxa"/>
            <w:tcBorders>
              <w:top w:val="nil"/>
              <w:left w:val="nil"/>
              <w:bottom w:val="single" w:sz="4" w:space="0" w:color="auto"/>
              <w:right w:val="single" w:sz="4" w:space="0" w:color="auto"/>
            </w:tcBorders>
            <w:shd w:val="clear" w:color="000000" w:fill="E7E6E6"/>
            <w:noWrap/>
            <w:vAlign w:val="bottom"/>
            <w:hideMark/>
          </w:tcPr>
          <w:p w14:paraId="12393490"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1.4434</w:t>
            </w:r>
          </w:p>
        </w:tc>
        <w:tc>
          <w:tcPr>
            <w:tcW w:w="655" w:type="dxa"/>
            <w:tcBorders>
              <w:top w:val="nil"/>
              <w:left w:val="nil"/>
              <w:bottom w:val="single" w:sz="4" w:space="0" w:color="auto"/>
              <w:right w:val="single" w:sz="4" w:space="0" w:color="auto"/>
            </w:tcBorders>
            <w:shd w:val="clear" w:color="auto" w:fill="auto"/>
            <w:noWrap/>
            <w:vAlign w:val="bottom"/>
            <w:hideMark/>
          </w:tcPr>
          <w:p w14:paraId="37A23887"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0.2690</w:t>
            </w:r>
          </w:p>
        </w:tc>
        <w:tc>
          <w:tcPr>
            <w:tcW w:w="825" w:type="dxa"/>
            <w:tcBorders>
              <w:top w:val="nil"/>
              <w:left w:val="nil"/>
              <w:bottom w:val="single" w:sz="4" w:space="0" w:color="auto"/>
              <w:right w:val="single" w:sz="4" w:space="0" w:color="auto"/>
            </w:tcBorders>
            <w:shd w:val="clear" w:color="000000" w:fill="E7E6E6"/>
            <w:noWrap/>
            <w:vAlign w:val="bottom"/>
            <w:hideMark/>
          </w:tcPr>
          <w:p w14:paraId="655F601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0.2682</w:t>
            </w:r>
          </w:p>
        </w:tc>
        <w:tc>
          <w:tcPr>
            <w:tcW w:w="655" w:type="dxa"/>
            <w:tcBorders>
              <w:top w:val="nil"/>
              <w:left w:val="nil"/>
              <w:bottom w:val="single" w:sz="4" w:space="0" w:color="auto"/>
              <w:right w:val="single" w:sz="4" w:space="0" w:color="auto"/>
            </w:tcBorders>
            <w:shd w:val="clear" w:color="auto" w:fill="auto"/>
            <w:noWrap/>
            <w:vAlign w:val="bottom"/>
            <w:hideMark/>
          </w:tcPr>
          <w:p w14:paraId="16F561E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0.1090</w:t>
            </w:r>
          </w:p>
        </w:tc>
        <w:tc>
          <w:tcPr>
            <w:tcW w:w="825" w:type="dxa"/>
            <w:tcBorders>
              <w:top w:val="nil"/>
              <w:left w:val="nil"/>
              <w:bottom w:val="single" w:sz="4" w:space="0" w:color="auto"/>
              <w:right w:val="single" w:sz="4" w:space="0" w:color="auto"/>
            </w:tcBorders>
            <w:shd w:val="clear" w:color="000000" w:fill="E7E6E6"/>
            <w:noWrap/>
            <w:vAlign w:val="bottom"/>
            <w:hideMark/>
          </w:tcPr>
          <w:p w14:paraId="5EB9290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0.1087</w:t>
            </w:r>
          </w:p>
        </w:tc>
        <w:tc>
          <w:tcPr>
            <w:tcW w:w="655" w:type="dxa"/>
            <w:tcBorders>
              <w:top w:val="nil"/>
              <w:left w:val="nil"/>
              <w:bottom w:val="single" w:sz="4" w:space="0" w:color="auto"/>
              <w:right w:val="single" w:sz="4" w:space="0" w:color="auto"/>
            </w:tcBorders>
            <w:shd w:val="clear" w:color="auto" w:fill="auto"/>
            <w:noWrap/>
            <w:vAlign w:val="bottom"/>
            <w:hideMark/>
          </w:tcPr>
          <w:p w14:paraId="00675958"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0.0903</w:t>
            </w:r>
          </w:p>
        </w:tc>
        <w:tc>
          <w:tcPr>
            <w:tcW w:w="825" w:type="dxa"/>
            <w:tcBorders>
              <w:top w:val="nil"/>
              <w:left w:val="nil"/>
              <w:bottom w:val="single" w:sz="4" w:space="0" w:color="auto"/>
              <w:right w:val="single" w:sz="4" w:space="0" w:color="auto"/>
            </w:tcBorders>
            <w:shd w:val="clear" w:color="000000" w:fill="E7E6E6"/>
            <w:noWrap/>
            <w:vAlign w:val="bottom"/>
            <w:hideMark/>
          </w:tcPr>
          <w:p w14:paraId="17DB451C"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0.0900</w:t>
            </w:r>
          </w:p>
        </w:tc>
        <w:tc>
          <w:tcPr>
            <w:tcW w:w="655" w:type="dxa"/>
            <w:tcBorders>
              <w:top w:val="nil"/>
              <w:left w:val="nil"/>
              <w:bottom w:val="single" w:sz="4" w:space="0" w:color="auto"/>
              <w:right w:val="single" w:sz="4" w:space="0" w:color="auto"/>
            </w:tcBorders>
            <w:shd w:val="clear" w:color="auto" w:fill="auto"/>
            <w:noWrap/>
            <w:vAlign w:val="bottom"/>
            <w:hideMark/>
          </w:tcPr>
          <w:p w14:paraId="51F7093B"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0.0451</w:t>
            </w:r>
          </w:p>
        </w:tc>
        <w:tc>
          <w:tcPr>
            <w:tcW w:w="825" w:type="dxa"/>
            <w:tcBorders>
              <w:top w:val="nil"/>
              <w:left w:val="nil"/>
              <w:bottom w:val="single" w:sz="4" w:space="0" w:color="auto"/>
              <w:right w:val="single" w:sz="4" w:space="0" w:color="auto"/>
            </w:tcBorders>
            <w:shd w:val="clear" w:color="000000" w:fill="E7E6E6"/>
            <w:noWrap/>
            <w:vAlign w:val="bottom"/>
            <w:hideMark/>
          </w:tcPr>
          <w:p w14:paraId="0D29FE4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0.0450</w:t>
            </w:r>
          </w:p>
        </w:tc>
      </w:tr>
      <w:tr w:rsidR="008B60B5" w:rsidRPr="009500C6" w14:paraId="4EEBF573"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EAFF7A2"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&gt;5.0 to 8.5 GHz</w:t>
            </w:r>
          </w:p>
        </w:tc>
        <w:tc>
          <w:tcPr>
            <w:tcW w:w="655" w:type="dxa"/>
            <w:tcBorders>
              <w:top w:val="nil"/>
              <w:left w:val="nil"/>
              <w:bottom w:val="single" w:sz="4" w:space="0" w:color="auto"/>
              <w:right w:val="single" w:sz="4" w:space="0" w:color="auto"/>
            </w:tcBorders>
            <w:shd w:val="clear" w:color="auto" w:fill="auto"/>
            <w:noWrap/>
            <w:vAlign w:val="bottom"/>
            <w:hideMark/>
          </w:tcPr>
          <w:p w14:paraId="7FBBC71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1.2223</w:t>
            </w:r>
          </w:p>
        </w:tc>
        <w:tc>
          <w:tcPr>
            <w:tcW w:w="825" w:type="dxa"/>
            <w:tcBorders>
              <w:top w:val="nil"/>
              <w:left w:val="nil"/>
              <w:bottom w:val="single" w:sz="4" w:space="0" w:color="auto"/>
              <w:right w:val="single" w:sz="4" w:space="0" w:color="auto"/>
            </w:tcBorders>
            <w:shd w:val="clear" w:color="000000" w:fill="E7E6E6"/>
            <w:noWrap/>
            <w:vAlign w:val="bottom"/>
            <w:hideMark/>
          </w:tcPr>
          <w:p w14:paraId="61D16A89"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0.9140</w:t>
            </w:r>
          </w:p>
        </w:tc>
        <w:tc>
          <w:tcPr>
            <w:tcW w:w="655" w:type="dxa"/>
            <w:tcBorders>
              <w:top w:val="nil"/>
              <w:left w:val="nil"/>
              <w:bottom w:val="single" w:sz="4" w:space="0" w:color="auto"/>
              <w:right w:val="single" w:sz="4" w:space="0" w:color="auto"/>
            </w:tcBorders>
            <w:shd w:val="clear" w:color="auto" w:fill="auto"/>
            <w:noWrap/>
            <w:vAlign w:val="bottom"/>
            <w:hideMark/>
          </w:tcPr>
          <w:p w14:paraId="39F0F7FD"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0.2260</w:t>
            </w:r>
          </w:p>
        </w:tc>
        <w:tc>
          <w:tcPr>
            <w:tcW w:w="825" w:type="dxa"/>
            <w:tcBorders>
              <w:top w:val="nil"/>
              <w:left w:val="nil"/>
              <w:bottom w:val="single" w:sz="4" w:space="0" w:color="auto"/>
              <w:right w:val="single" w:sz="4" w:space="0" w:color="auto"/>
            </w:tcBorders>
            <w:shd w:val="clear" w:color="000000" w:fill="E7E6E6"/>
            <w:noWrap/>
            <w:vAlign w:val="bottom"/>
            <w:hideMark/>
          </w:tcPr>
          <w:p w14:paraId="6C66862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0.1690</w:t>
            </w:r>
          </w:p>
        </w:tc>
        <w:tc>
          <w:tcPr>
            <w:tcW w:w="655" w:type="dxa"/>
            <w:tcBorders>
              <w:top w:val="nil"/>
              <w:left w:val="nil"/>
              <w:bottom w:val="single" w:sz="4" w:space="0" w:color="auto"/>
              <w:right w:val="single" w:sz="4" w:space="0" w:color="auto"/>
            </w:tcBorders>
            <w:shd w:val="clear" w:color="auto" w:fill="auto"/>
            <w:noWrap/>
            <w:vAlign w:val="bottom"/>
            <w:hideMark/>
          </w:tcPr>
          <w:p w14:paraId="3435F09F"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0.1052</w:t>
            </w:r>
          </w:p>
        </w:tc>
        <w:tc>
          <w:tcPr>
            <w:tcW w:w="825" w:type="dxa"/>
            <w:tcBorders>
              <w:top w:val="nil"/>
              <w:left w:val="nil"/>
              <w:bottom w:val="single" w:sz="4" w:space="0" w:color="auto"/>
              <w:right w:val="single" w:sz="4" w:space="0" w:color="auto"/>
            </w:tcBorders>
            <w:shd w:val="clear" w:color="000000" w:fill="E7E6E6"/>
            <w:noWrap/>
            <w:vAlign w:val="bottom"/>
            <w:hideMark/>
          </w:tcPr>
          <w:p w14:paraId="145CC4E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0.0787</w:t>
            </w:r>
          </w:p>
        </w:tc>
        <w:tc>
          <w:tcPr>
            <w:tcW w:w="655" w:type="dxa"/>
            <w:tcBorders>
              <w:top w:val="nil"/>
              <w:left w:val="nil"/>
              <w:bottom w:val="single" w:sz="4" w:space="0" w:color="auto"/>
              <w:right w:val="single" w:sz="4" w:space="0" w:color="auto"/>
            </w:tcBorders>
            <w:shd w:val="clear" w:color="auto" w:fill="auto"/>
            <w:noWrap/>
            <w:vAlign w:val="bottom"/>
            <w:hideMark/>
          </w:tcPr>
          <w:p w14:paraId="45F9994B"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0.0479</w:t>
            </w:r>
          </w:p>
        </w:tc>
        <w:tc>
          <w:tcPr>
            <w:tcW w:w="825" w:type="dxa"/>
            <w:tcBorders>
              <w:top w:val="nil"/>
              <w:left w:val="nil"/>
              <w:bottom w:val="single" w:sz="4" w:space="0" w:color="auto"/>
              <w:right w:val="single" w:sz="4" w:space="0" w:color="auto"/>
            </w:tcBorders>
            <w:shd w:val="clear" w:color="000000" w:fill="E7E6E6"/>
            <w:noWrap/>
            <w:vAlign w:val="bottom"/>
            <w:hideMark/>
          </w:tcPr>
          <w:p w14:paraId="137ABCDF"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0.0358</w:t>
            </w:r>
          </w:p>
        </w:tc>
        <w:tc>
          <w:tcPr>
            <w:tcW w:w="655" w:type="dxa"/>
            <w:tcBorders>
              <w:top w:val="nil"/>
              <w:left w:val="nil"/>
              <w:bottom w:val="single" w:sz="4" w:space="0" w:color="auto"/>
              <w:right w:val="single" w:sz="4" w:space="0" w:color="auto"/>
            </w:tcBorders>
            <w:shd w:val="clear" w:color="auto" w:fill="auto"/>
            <w:noWrap/>
            <w:vAlign w:val="bottom"/>
            <w:hideMark/>
          </w:tcPr>
          <w:p w14:paraId="66AC7CB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0.0232</w:t>
            </w:r>
          </w:p>
        </w:tc>
        <w:tc>
          <w:tcPr>
            <w:tcW w:w="825" w:type="dxa"/>
            <w:tcBorders>
              <w:top w:val="nil"/>
              <w:left w:val="nil"/>
              <w:bottom w:val="single" w:sz="4" w:space="0" w:color="auto"/>
              <w:right w:val="single" w:sz="4" w:space="0" w:color="auto"/>
            </w:tcBorders>
            <w:shd w:val="clear" w:color="000000" w:fill="E7E6E6"/>
            <w:noWrap/>
            <w:vAlign w:val="bottom"/>
            <w:hideMark/>
          </w:tcPr>
          <w:p w14:paraId="02388FA9"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0.0174</w:t>
            </w:r>
          </w:p>
        </w:tc>
      </w:tr>
      <w:tr w:rsidR="008B60B5" w:rsidRPr="009500C6" w14:paraId="4C446166"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34195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&gt;8.5 to 14.5 GHz</w:t>
            </w:r>
          </w:p>
        </w:tc>
        <w:tc>
          <w:tcPr>
            <w:tcW w:w="655" w:type="dxa"/>
            <w:tcBorders>
              <w:top w:val="nil"/>
              <w:left w:val="nil"/>
              <w:bottom w:val="single" w:sz="4" w:space="0" w:color="auto"/>
              <w:right w:val="single" w:sz="4" w:space="0" w:color="auto"/>
            </w:tcBorders>
            <w:shd w:val="clear" w:color="auto" w:fill="auto"/>
            <w:noWrap/>
            <w:vAlign w:val="bottom"/>
            <w:hideMark/>
          </w:tcPr>
          <w:p w14:paraId="62BC0F6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0.5387</w:t>
            </w:r>
          </w:p>
        </w:tc>
        <w:tc>
          <w:tcPr>
            <w:tcW w:w="825" w:type="dxa"/>
            <w:tcBorders>
              <w:top w:val="nil"/>
              <w:left w:val="nil"/>
              <w:bottom w:val="single" w:sz="4" w:space="0" w:color="auto"/>
              <w:right w:val="single" w:sz="4" w:space="0" w:color="auto"/>
            </w:tcBorders>
            <w:shd w:val="clear" w:color="000000" w:fill="E7E6E6"/>
            <w:noWrap/>
            <w:vAlign w:val="bottom"/>
            <w:hideMark/>
          </w:tcPr>
          <w:p w14:paraId="63A8514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0.2685</w:t>
            </w:r>
          </w:p>
        </w:tc>
        <w:tc>
          <w:tcPr>
            <w:tcW w:w="655" w:type="dxa"/>
            <w:tcBorders>
              <w:top w:val="nil"/>
              <w:left w:val="nil"/>
              <w:bottom w:val="single" w:sz="4" w:space="0" w:color="auto"/>
              <w:right w:val="single" w:sz="4" w:space="0" w:color="auto"/>
            </w:tcBorders>
            <w:shd w:val="clear" w:color="auto" w:fill="auto"/>
            <w:noWrap/>
            <w:vAlign w:val="bottom"/>
            <w:hideMark/>
          </w:tcPr>
          <w:p w14:paraId="4B43606B"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0.1939</w:t>
            </w:r>
          </w:p>
        </w:tc>
        <w:tc>
          <w:tcPr>
            <w:tcW w:w="825" w:type="dxa"/>
            <w:tcBorders>
              <w:top w:val="nil"/>
              <w:left w:val="nil"/>
              <w:bottom w:val="single" w:sz="4" w:space="0" w:color="auto"/>
              <w:right w:val="single" w:sz="4" w:space="0" w:color="auto"/>
            </w:tcBorders>
            <w:shd w:val="clear" w:color="000000" w:fill="E7E6E6"/>
            <w:noWrap/>
            <w:vAlign w:val="bottom"/>
            <w:hideMark/>
          </w:tcPr>
          <w:p w14:paraId="72D6CF38"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0.0967</w:t>
            </w:r>
          </w:p>
        </w:tc>
        <w:tc>
          <w:tcPr>
            <w:tcW w:w="655" w:type="dxa"/>
            <w:tcBorders>
              <w:top w:val="nil"/>
              <w:left w:val="nil"/>
              <w:bottom w:val="single" w:sz="4" w:space="0" w:color="auto"/>
              <w:right w:val="single" w:sz="4" w:space="0" w:color="auto"/>
            </w:tcBorders>
            <w:shd w:val="clear" w:color="auto" w:fill="auto"/>
            <w:noWrap/>
            <w:vAlign w:val="bottom"/>
            <w:hideMark/>
          </w:tcPr>
          <w:p w14:paraId="35D89C3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0.0459</w:t>
            </w:r>
          </w:p>
        </w:tc>
        <w:tc>
          <w:tcPr>
            <w:tcW w:w="825" w:type="dxa"/>
            <w:tcBorders>
              <w:top w:val="nil"/>
              <w:left w:val="nil"/>
              <w:bottom w:val="single" w:sz="4" w:space="0" w:color="auto"/>
              <w:right w:val="single" w:sz="4" w:space="0" w:color="auto"/>
            </w:tcBorders>
            <w:shd w:val="clear" w:color="000000" w:fill="E7E6E6"/>
            <w:noWrap/>
            <w:vAlign w:val="bottom"/>
            <w:hideMark/>
          </w:tcPr>
          <w:p w14:paraId="51ECDF9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0.0229</w:t>
            </w:r>
          </w:p>
        </w:tc>
        <w:tc>
          <w:tcPr>
            <w:tcW w:w="655" w:type="dxa"/>
            <w:tcBorders>
              <w:top w:val="nil"/>
              <w:left w:val="nil"/>
              <w:bottom w:val="single" w:sz="4" w:space="0" w:color="auto"/>
              <w:right w:val="single" w:sz="4" w:space="0" w:color="auto"/>
            </w:tcBorders>
            <w:shd w:val="clear" w:color="auto" w:fill="auto"/>
            <w:noWrap/>
            <w:vAlign w:val="bottom"/>
            <w:hideMark/>
          </w:tcPr>
          <w:p w14:paraId="074A6AE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0.0033</w:t>
            </w:r>
          </w:p>
        </w:tc>
        <w:tc>
          <w:tcPr>
            <w:tcW w:w="825" w:type="dxa"/>
            <w:tcBorders>
              <w:top w:val="nil"/>
              <w:left w:val="nil"/>
              <w:bottom w:val="single" w:sz="4" w:space="0" w:color="auto"/>
              <w:right w:val="single" w:sz="4" w:space="0" w:color="auto"/>
            </w:tcBorders>
            <w:shd w:val="clear" w:color="000000" w:fill="E7E6E6"/>
            <w:noWrap/>
            <w:vAlign w:val="bottom"/>
            <w:hideMark/>
          </w:tcPr>
          <w:p w14:paraId="4CF367CC"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0.0017</w:t>
            </w:r>
          </w:p>
        </w:tc>
        <w:tc>
          <w:tcPr>
            <w:tcW w:w="655" w:type="dxa"/>
            <w:tcBorders>
              <w:top w:val="nil"/>
              <w:left w:val="nil"/>
              <w:bottom w:val="single" w:sz="4" w:space="0" w:color="auto"/>
              <w:right w:val="single" w:sz="4" w:space="0" w:color="auto"/>
            </w:tcBorders>
            <w:shd w:val="clear" w:color="auto" w:fill="auto"/>
            <w:noWrap/>
            <w:vAlign w:val="bottom"/>
            <w:hideMark/>
          </w:tcPr>
          <w:p w14:paraId="30E1D51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0.0016</w:t>
            </w:r>
          </w:p>
        </w:tc>
        <w:tc>
          <w:tcPr>
            <w:tcW w:w="825" w:type="dxa"/>
            <w:tcBorders>
              <w:top w:val="nil"/>
              <w:left w:val="nil"/>
              <w:bottom w:val="single" w:sz="4" w:space="0" w:color="auto"/>
              <w:right w:val="single" w:sz="4" w:space="0" w:color="auto"/>
            </w:tcBorders>
            <w:shd w:val="clear" w:color="000000" w:fill="E7E6E6"/>
            <w:noWrap/>
            <w:vAlign w:val="bottom"/>
            <w:hideMark/>
          </w:tcPr>
          <w:p w14:paraId="62B81D2E"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0.0008</w:t>
            </w:r>
          </w:p>
        </w:tc>
      </w:tr>
      <w:tr w:rsidR="008B60B5" w:rsidRPr="009500C6" w14:paraId="0242A902"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59714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&gt;14.5 to 31.3 GHz</w:t>
            </w:r>
          </w:p>
        </w:tc>
        <w:tc>
          <w:tcPr>
            <w:tcW w:w="655" w:type="dxa"/>
            <w:tcBorders>
              <w:top w:val="nil"/>
              <w:left w:val="nil"/>
              <w:bottom w:val="single" w:sz="4" w:space="0" w:color="auto"/>
              <w:right w:val="single" w:sz="4" w:space="0" w:color="auto"/>
            </w:tcBorders>
            <w:shd w:val="clear" w:color="auto" w:fill="auto"/>
            <w:noWrap/>
            <w:vAlign w:val="bottom"/>
            <w:hideMark/>
          </w:tcPr>
          <w:p w14:paraId="605B87DC"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0.5387</w:t>
            </w:r>
          </w:p>
        </w:tc>
        <w:tc>
          <w:tcPr>
            <w:tcW w:w="825" w:type="dxa"/>
            <w:tcBorders>
              <w:top w:val="nil"/>
              <w:left w:val="nil"/>
              <w:bottom w:val="single" w:sz="4" w:space="0" w:color="auto"/>
              <w:right w:val="single" w:sz="4" w:space="0" w:color="auto"/>
            </w:tcBorders>
            <w:shd w:val="clear" w:color="000000" w:fill="E7E6E6"/>
            <w:noWrap/>
            <w:vAlign w:val="bottom"/>
            <w:hideMark/>
          </w:tcPr>
          <w:p w14:paraId="3277DF7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0.0537</w:t>
            </w:r>
          </w:p>
        </w:tc>
        <w:tc>
          <w:tcPr>
            <w:tcW w:w="655" w:type="dxa"/>
            <w:tcBorders>
              <w:top w:val="nil"/>
              <w:left w:val="nil"/>
              <w:bottom w:val="single" w:sz="4" w:space="0" w:color="auto"/>
              <w:right w:val="single" w:sz="4" w:space="0" w:color="auto"/>
            </w:tcBorders>
            <w:shd w:val="clear" w:color="auto" w:fill="auto"/>
            <w:noWrap/>
            <w:vAlign w:val="bottom"/>
            <w:hideMark/>
          </w:tcPr>
          <w:p w14:paraId="3BC471DB"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0.1434</w:t>
            </w:r>
          </w:p>
        </w:tc>
        <w:tc>
          <w:tcPr>
            <w:tcW w:w="825" w:type="dxa"/>
            <w:tcBorders>
              <w:top w:val="nil"/>
              <w:left w:val="nil"/>
              <w:bottom w:val="single" w:sz="4" w:space="0" w:color="auto"/>
              <w:right w:val="single" w:sz="4" w:space="0" w:color="auto"/>
            </w:tcBorders>
            <w:shd w:val="clear" w:color="000000" w:fill="E7E6E6"/>
            <w:noWrap/>
            <w:vAlign w:val="bottom"/>
            <w:hideMark/>
          </w:tcPr>
          <w:p w14:paraId="7A50BD0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0.0143</w:t>
            </w:r>
          </w:p>
        </w:tc>
        <w:tc>
          <w:tcPr>
            <w:tcW w:w="655" w:type="dxa"/>
            <w:tcBorders>
              <w:top w:val="nil"/>
              <w:left w:val="nil"/>
              <w:bottom w:val="single" w:sz="4" w:space="0" w:color="auto"/>
              <w:right w:val="single" w:sz="4" w:space="0" w:color="auto"/>
            </w:tcBorders>
            <w:shd w:val="clear" w:color="auto" w:fill="auto"/>
            <w:noWrap/>
            <w:vAlign w:val="bottom"/>
            <w:hideMark/>
          </w:tcPr>
          <w:p w14:paraId="06712AB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0.0315</w:t>
            </w:r>
          </w:p>
        </w:tc>
        <w:tc>
          <w:tcPr>
            <w:tcW w:w="825" w:type="dxa"/>
            <w:tcBorders>
              <w:top w:val="nil"/>
              <w:left w:val="nil"/>
              <w:bottom w:val="single" w:sz="4" w:space="0" w:color="auto"/>
              <w:right w:val="single" w:sz="4" w:space="0" w:color="auto"/>
            </w:tcBorders>
            <w:shd w:val="clear" w:color="000000" w:fill="E7E6E6"/>
            <w:noWrap/>
            <w:vAlign w:val="bottom"/>
            <w:hideMark/>
          </w:tcPr>
          <w:p w14:paraId="3E80482E"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0.0031</w:t>
            </w:r>
          </w:p>
        </w:tc>
        <w:tc>
          <w:tcPr>
            <w:tcW w:w="655" w:type="dxa"/>
            <w:tcBorders>
              <w:top w:val="nil"/>
              <w:left w:val="nil"/>
              <w:bottom w:val="single" w:sz="4" w:space="0" w:color="auto"/>
              <w:right w:val="single" w:sz="4" w:space="0" w:color="auto"/>
            </w:tcBorders>
            <w:shd w:val="clear" w:color="auto" w:fill="auto"/>
            <w:noWrap/>
            <w:vAlign w:val="bottom"/>
            <w:hideMark/>
          </w:tcPr>
          <w:p w14:paraId="5A5DF22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0.0033</w:t>
            </w:r>
          </w:p>
        </w:tc>
        <w:tc>
          <w:tcPr>
            <w:tcW w:w="825" w:type="dxa"/>
            <w:tcBorders>
              <w:top w:val="nil"/>
              <w:left w:val="nil"/>
              <w:bottom w:val="single" w:sz="4" w:space="0" w:color="auto"/>
              <w:right w:val="single" w:sz="4" w:space="0" w:color="auto"/>
            </w:tcBorders>
            <w:shd w:val="clear" w:color="000000" w:fill="E7E6E6"/>
            <w:noWrap/>
            <w:vAlign w:val="bottom"/>
            <w:hideMark/>
          </w:tcPr>
          <w:p w14:paraId="61200CD9"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0.0003</w:t>
            </w:r>
          </w:p>
        </w:tc>
        <w:tc>
          <w:tcPr>
            <w:tcW w:w="655" w:type="dxa"/>
            <w:tcBorders>
              <w:top w:val="nil"/>
              <w:left w:val="nil"/>
              <w:bottom w:val="single" w:sz="4" w:space="0" w:color="auto"/>
              <w:right w:val="single" w:sz="4" w:space="0" w:color="auto"/>
            </w:tcBorders>
            <w:shd w:val="clear" w:color="auto" w:fill="auto"/>
            <w:noWrap/>
            <w:vAlign w:val="bottom"/>
            <w:hideMark/>
          </w:tcPr>
          <w:p w14:paraId="2599C7A3"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0.0016</w:t>
            </w:r>
          </w:p>
        </w:tc>
        <w:tc>
          <w:tcPr>
            <w:tcW w:w="825" w:type="dxa"/>
            <w:tcBorders>
              <w:top w:val="nil"/>
              <w:left w:val="nil"/>
              <w:bottom w:val="single" w:sz="4" w:space="0" w:color="auto"/>
              <w:right w:val="single" w:sz="4" w:space="0" w:color="auto"/>
            </w:tcBorders>
            <w:shd w:val="clear" w:color="000000" w:fill="E7E6E6"/>
            <w:noWrap/>
            <w:vAlign w:val="bottom"/>
            <w:hideMark/>
          </w:tcPr>
          <w:p w14:paraId="178C73C9"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0.0002</w:t>
            </w:r>
          </w:p>
        </w:tc>
      </w:tr>
      <w:tr w:rsidR="008B60B5" w:rsidRPr="009500C6" w14:paraId="06BB0D8C"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5A740A"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&gt;31.3 to 51.4 GHz</w:t>
            </w:r>
          </w:p>
        </w:tc>
        <w:tc>
          <w:tcPr>
            <w:tcW w:w="655" w:type="dxa"/>
            <w:tcBorders>
              <w:top w:val="nil"/>
              <w:left w:val="nil"/>
              <w:bottom w:val="single" w:sz="4" w:space="0" w:color="auto"/>
              <w:right w:val="single" w:sz="4" w:space="0" w:color="auto"/>
            </w:tcBorders>
            <w:shd w:val="clear" w:color="auto" w:fill="auto"/>
            <w:noWrap/>
            <w:vAlign w:val="bottom"/>
            <w:hideMark/>
          </w:tcPr>
          <w:p w14:paraId="732273F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0.1469</w:t>
            </w:r>
          </w:p>
        </w:tc>
        <w:tc>
          <w:tcPr>
            <w:tcW w:w="825" w:type="dxa"/>
            <w:tcBorders>
              <w:top w:val="nil"/>
              <w:left w:val="nil"/>
              <w:bottom w:val="single" w:sz="4" w:space="0" w:color="auto"/>
              <w:right w:val="single" w:sz="4" w:space="0" w:color="auto"/>
            </w:tcBorders>
            <w:shd w:val="clear" w:color="000000" w:fill="E7E6E6"/>
            <w:noWrap/>
            <w:vAlign w:val="bottom"/>
            <w:hideMark/>
          </w:tcPr>
          <w:p w14:paraId="0BC7640F"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0.0146</w:t>
            </w:r>
          </w:p>
        </w:tc>
        <w:tc>
          <w:tcPr>
            <w:tcW w:w="655" w:type="dxa"/>
            <w:tcBorders>
              <w:top w:val="nil"/>
              <w:left w:val="nil"/>
              <w:bottom w:val="single" w:sz="4" w:space="0" w:color="auto"/>
              <w:right w:val="single" w:sz="4" w:space="0" w:color="auto"/>
            </w:tcBorders>
            <w:shd w:val="clear" w:color="auto" w:fill="auto"/>
            <w:noWrap/>
            <w:vAlign w:val="bottom"/>
            <w:hideMark/>
          </w:tcPr>
          <w:p w14:paraId="7B56563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0.0782</w:t>
            </w:r>
          </w:p>
        </w:tc>
        <w:tc>
          <w:tcPr>
            <w:tcW w:w="825" w:type="dxa"/>
            <w:tcBorders>
              <w:top w:val="nil"/>
              <w:left w:val="nil"/>
              <w:bottom w:val="single" w:sz="4" w:space="0" w:color="auto"/>
              <w:right w:val="single" w:sz="4" w:space="0" w:color="auto"/>
            </w:tcBorders>
            <w:shd w:val="clear" w:color="000000" w:fill="E7E6E6"/>
            <w:noWrap/>
            <w:vAlign w:val="bottom"/>
            <w:hideMark/>
          </w:tcPr>
          <w:p w14:paraId="3A362963"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0.0078</w:t>
            </w:r>
          </w:p>
        </w:tc>
        <w:tc>
          <w:tcPr>
            <w:tcW w:w="655" w:type="dxa"/>
            <w:tcBorders>
              <w:top w:val="nil"/>
              <w:left w:val="nil"/>
              <w:bottom w:val="single" w:sz="4" w:space="0" w:color="auto"/>
              <w:right w:val="single" w:sz="4" w:space="0" w:color="auto"/>
            </w:tcBorders>
            <w:shd w:val="clear" w:color="auto" w:fill="auto"/>
            <w:noWrap/>
            <w:vAlign w:val="bottom"/>
            <w:hideMark/>
          </w:tcPr>
          <w:p w14:paraId="4ADE97CD"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0.0170</w:t>
            </w:r>
          </w:p>
        </w:tc>
        <w:tc>
          <w:tcPr>
            <w:tcW w:w="825" w:type="dxa"/>
            <w:tcBorders>
              <w:top w:val="nil"/>
              <w:left w:val="nil"/>
              <w:bottom w:val="single" w:sz="4" w:space="0" w:color="auto"/>
              <w:right w:val="single" w:sz="4" w:space="0" w:color="auto"/>
            </w:tcBorders>
            <w:shd w:val="clear" w:color="000000" w:fill="E7E6E6"/>
            <w:noWrap/>
            <w:vAlign w:val="bottom"/>
            <w:hideMark/>
          </w:tcPr>
          <w:p w14:paraId="58726F5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0.0017</w:t>
            </w:r>
          </w:p>
        </w:tc>
        <w:tc>
          <w:tcPr>
            <w:tcW w:w="655" w:type="dxa"/>
            <w:tcBorders>
              <w:top w:val="nil"/>
              <w:left w:val="nil"/>
              <w:bottom w:val="single" w:sz="4" w:space="0" w:color="auto"/>
              <w:right w:val="single" w:sz="4" w:space="0" w:color="auto"/>
            </w:tcBorders>
            <w:shd w:val="clear" w:color="auto" w:fill="auto"/>
            <w:noWrap/>
            <w:vAlign w:val="bottom"/>
            <w:hideMark/>
          </w:tcPr>
          <w:p w14:paraId="3926043E"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0.0006</w:t>
            </w:r>
          </w:p>
        </w:tc>
        <w:tc>
          <w:tcPr>
            <w:tcW w:w="825" w:type="dxa"/>
            <w:tcBorders>
              <w:top w:val="nil"/>
              <w:left w:val="nil"/>
              <w:bottom w:val="single" w:sz="4" w:space="0" w:color="auto"/>
              <w:right w:val="single" w:sz="4" w:space="0" w:color="auto"/>
            </w:tcBorders>
            <w:shd w:val="clear" w:color="000000" w:fill="E7E6E6"/>
            <w:noWrap/>
            <w:vAlign w:val="bottom"/>
            <w:hideMark/>
          </w:tcPr>
          <w:p w14:paraId="027D9BBD"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27CC53A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0.0003</w:t>
            </w:r>
          </w:p>
        </w:tc>
        <w:tc>
          <w:tcPr>
            <w:tcW w:w="825" w:type="dxa"/>
            <w:tcBorders>
              <w:top w:val="nil"/>
              <w:left w:val="nil"/>
              <w:bottom w:val="single" w:sz="4" w:space="0" w:color="auto"/>
              <w:right w:val="single" w:sz="4" w:space="0" w:color="auto"/>
            </w:tcBorders>
            <w:shd w:val="clear" w:color="000000" w:fill="E7E6E6"/>
            <w:noWrap/>
            <w:vAlign w:val="bottom"/>
            <w:hideMark/>
          </w:tcPr>
          <w:p w14:paraId="64B173F9"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0.0000</w:t>
            </w:r>
          </w:p>
        </w:tc>
      </w:tr>
      <w:tr w:rsidR="008B60B5" w:rsidRPr="009500C6" w14:paraId="32AFF7EE" w14:textId="77777777" w:rsidTr="009500C6">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03718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&gt;51.4 GHz</w:t>
            </w:r>
          </w:p>
        </w:tc>
        <w:tc>
          <w:tcPr>
            <w:tcW w:w="655" w:type="dxa"/>
            <w:tcBorders>
              <w:top w:val="nil"/>
              <w:left w:val="nil"/>
              <w:bottom w:val="single" w:sz="4" w:space="0" w:color="auto"/>
              <w:right w:val="single" w:sz="4" w:space="0" w:color="auto"/>
            </w:tcBorders>
            <w:shd w:val="clear" w:color="auto" w:fill="auto"/>
            <w:noWrap/>
            <w:vAlign w:val="bottom"/>
            <w:hideMark/>
          </w:tcPr>
          <w:p w14:paraId="0C270E54"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0.0145</w:t>
            </w:r>
          </w:p>
        </w:tc>
        <w:tc>
          <w:tcPr>
            <w:tcW w:w="825" w:type="dxa"/>
            <w:tcBorders>
              <w:top w:val="nil"/>
              <w:left w:val="nil"/>
              <w:bottom w:val="single" w:sz="4" w:space="0" w:color="auto"/>
              <w:right w:val="single" w:sz="4" w:space="0" w:color="auto"/>
            </w:tcBorders>
            <w:shd w:val="clear" w:color="000000" w:fill="E7E6E6"/>
            <w:noWrap/>
            <w:vAlign w:val="bottom"/>
            <w:hideMark/>
          </w:tcPr>
          <w:p w14:paraId="515D6E87"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0.0014</w:t>
            </w:r>
          </w:p>
        </w:tc>
        <w:tc>
          <w:tcPr>
            <w:tcW w:w="655" w:type="dxa"/>
            <w:tcBorders>
              <w:top w:val="nil"/>
              <w:left w:val="nil"/>
              <w:bottom w:val="single" w:sz="4" w:space="0" w:color="auto"/>
              <w:right w:val="single" w:sz="4" w:space="0" w:color="auto"/>
            </w:tcBorders>
            <w:shd w:val="clear" w:color="auto" w:fill="auto"/>
            <w:noWrap/>
            <w:vAlign w:val="bottom"/>
            <w:hideMark/>
          </w:tcPr>
          <w:p w14:paraId="08660BDC"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0.0015</w:t>
            </w:r>
          </w:p>
        </w:tc>
        <w:tc>
          <w:tcPr>
            <w:tcW w:w="825" w:type="dxa"/>
            <w:tcBorders>
              <w:top w:val="nil"/>
              <w:left w:val="nil"/>
              <w:bottom w:val="single" w:sz="4" w:space="0" w:color="auto"/>
              <w:right w:val="single" w:sz="4" w:space="0" w:color="auto"/>
            </w:tcBorders>
            <w:shd w:val="clear" w:color="000000" w:fill="E7E6E6"/>
            <w:noWrap/>
            <w:vAlign w:val="bottom"/>
            <w:hideMark/>
          </w:tcPr>
          <w:p w14:paraId="4DE1B017"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662D52E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0.0015</w:t>
            </w:r>
          </w:p>
        </w:tc>
        <w:tc>
          <w:tcPr>
            <w:tcW w:w="825" w:type="dxa"/>
            <w:tcBorders>
              <w:top w:val="nil"/>
              <w:left w:val="nil"/>
              <w:bottom w:val="single" w:sz="4" w:space="0" w:color="auto"/>
              <w:right w:val="single" w:sz="4" w:space="0" w:color="auto"/>
            </w:tcBorders>
            <w:shd w:val="clear" w:color="000000" w:fill="E7E6E6"/>
            <w:noWrap/>
            <w:vAlign w:val="bottom"/>
            <w:hideMark/>
          </w:tcPr>
          <w:p w14:paraId="73D214A6"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0.0001</w:t>
            </w:r>
          </w:p>
        </w:tc>
        <w:tc>
          <w:tcPr>
            <w:tcW w:w="655" w:type="dxa"/>
            <w:tcBorders>
              <w:top w:val="nil"/>
              <w:left w:val="nil"/>
              <w:bottom w:val="single" w:sz="4" w:space="0" w:color="auto"/>
              <w:right w:val="single" w:sz="4" w:space="0" w:color="auto"/>
            </w:tcBorders>
            <w:shd w:val="clear" w:color="auto" w:fill="auto"/>
            <w:noWrap/>
            <w:vAlign w:val="bottom"/>
            <w:hideMark/>
          </w:tcPr>
          <w:p w14:paraId="5D6F0F00"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089F6605"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0.0000</w:t>
            </w:r>
          </w:p>
        </w:tc>
        <w:tc>
          <w:tcPr>
            <w:tcW w:w="655" w:type="dxa"/>
            <w:tcBorders>
              <w:top w:val="nil"/>
              <w:left w:val="nil"/>
              <w:bottom w:val="single" w:sz="4" w:space="0" w:color="auto"/>
              <w:right w:val="single" w:sz="4" w:space="0" w:color="auto"/>
            </w:tcBorders>
            <w:shd w:val="clear" w:color="auto" w:fill="auto"/>
            <w:noWrap/>
            <w:vAlign w:val="bottom"/>
            <w:hideMark/>
          </w:tcPr>
          <w:p w14:paraId="66197A52"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0.0001</w:t>
            </w:r>
          </w:p>
        </w:tc>
        <w:tc>
          <w:tcPr>
            <w:tcW w:w="825" w:type="dxa"/>
            <w:tcBorders>
              <w:top w:val="nil"/>
              <w:left w:val="nil"/>
              <w:bottom w:val="single" w:sz="4" w:space="0" w:color="auto"/>
              <w:right w:val="single" w:sz="4" w:space="0" w:color="auto"/>
            </w:tcBorders>
            <w:shd w:val="clear" w:color="000000" w:fill="E7E6E6"/>
            <w:noWrap/>
            <w:vAlign w:val="bottom"/>
            <w:hideMark/>
          </w:tcPr>
          <w:p w14:paraId="7A7697F1" w14:textId="77777777" w:rsidR="009500C6" w:rsidRPr="009500C6" w:rsidRDefault="009500C6" w:rsidP="00793A49">
            <w:pPr>
              <w:keepNext/>
              <w:keepLines/>
              <w:spacing w:after="0" w:line="240" w:lineRule="auto"/>
              <w:rPr>
                <w:rFonts w:cs="Arial"/>
                <w:color w:val="000000"/>
                <w:sz w:val="12"/>
                <w:szCs w:val="12"/>
              </w:rPr>
            </w:pPr>
            <w:r w:rsidRPr="009500C6">
              <w:rPr>
                <w:rFonts w:cs="Arial"/>
                <w:color w:val="000000"/>
                <w:sz w:val="12"/>
                <w:szCs w:val="12"/>
              </w:rPr>
              <w:t>0.0000</w:t>
            </w:r>
          </w:p>
        </w:tc>
      </w:tr>
    </w:tbl>
    <w:p w14:paraId="482CE470" w14:textId="0021686A" w:rsidR="000C6D91" w:rsidRDefault="00AA5D9C" w:rsidP="004D5ADC">
      <w:pPr>
        <w:pStyle w:val="Tableorfigurenote"/>
      </w:pPr>
      <w:r>
        <w:t xml:space="preserve">* These taxes relate to Table </w:t>
      </w:r>
      <w:r w:rsidR="000D080F">
        <w:t>6</w:t>
      </w:r>
      <w:r>
        <w:t>02 in the Transmitter Licence Tax Determination</w:t>
      </w:r>
      <w:r w:rsidR="00C92B01">
        <w:t>.</w:t>
      </w:r>
    </w:p>
    <w:p w14:paraId="0D7A11EE" w14:textId="6799BDBB" w:rsidR="00B3558C" w:rsidRPr="00046DA5" w:rsidRDefault="00B3558C" w:rsidP="00793A49">
      <w:pPr>
        <w:pStyle w:val="Heading3"/>
        <w:keepLines/>
        <w:spacing w:after="80"/>
      </w:pPr>
      <w:r>
        <w:t xml:space="preserve">Division </w:t>
      </w:r>
      <w:r w:rsidR="00300B97">
        <w:t>8A</w:t>
      </w:r>
      <w:r w:rsidR="006C4A6B">
        <w:t xml:space="preserve"> of the </w:t>
      </w:r>
      <w:r w:rsidR="000C6D91">
        <w:t>Apparatus Licence Fee Schedule</w:t>
      </w:r>
      <w:r w:rsidR="000C6D91" w:rsidDel="000C6D91">
        <w:t xml:space="preserve"> </w:t>
      </w:r>
      <w:r w:rsidR="000C6D91">
        <w:t>– s</w:t>
      </w:r>
      <w:r w:rsidR="00810ED1">
        <w:t>pace system licen</w:t>
      </w:r>
      <w:r w:rsidR="00B837F2">
        <w:t>c</w:t>
      </w:r>
      <w:r w:rsidR="00810ED1">
        <w:t>es</w:t>
      </w:r>
    </w:p>
    <w:p w14:paraId="3A80935A" w14:textId="1836E13A" w:rsidR="00B3558C" w:rsidRDefault="00B3558C" w:rsidP="00793A49">
      <w:pPr>
        <w:pStyle w:val="Paragraph"/>
        <w:keepNext/>
        <w:keepLines/>
        <w:tabs>
          <w:tab w:val="left" w:pos="720"/>
        </w:tabs>
        <w:spacing w:after="80"/>
      </w:pPr>
      <w:r>
        <w:t xml:space="preserve">Table </w:t>
      </w:r>
      <w:r w:rsidR="00810ED1">
        <w:t>26</w:t>
      </w:r>
      <w:r w:rsidR="004E5B12">
        <w:t xml:space="preserve"> of the </w:t>
      </w:r>
      <w:r w:rsidR="000C6D91">
        <w:t>Apparatus Licence Fee Schedule</w:t>
      </w:r>
      <w:r>
        <w:t>. Annual licen</w:t>
      </w:r>
      <w:r w:rsidR="00B837F2">
        <w:t>c</w:t>
      </w:r>
      <w:r>
        <w:t>e tax ($ per kHz</w:t>
      </w:r>
      <w:proofErr w:type="gramStart"/>
      <w:r>
        <w:t>)</w:t>
      </w:r>
      <w:r w:rsidR="000C6D91">
        <w:t>.</w:t>
      </w:r>
      <w:r w:rsidR="00BB19CB">
        <w:t>*</w:t>
      </w:r>
      <w:proofErr w:type="gramEnd"/>
    </w:p>
    <w:tbl>
      <w:tblPr>
        <w:tblW w:w="9740" w:type="dxa"/>
        <w:tblLook w:val="04A0" w:firstRow="1" w:lastRow="0" w:firstColumn="1" w:lastColumn="0" w:noHBand="0" w:noVBand="1"/>
      </w:tblPr>
      <w:tblGrid>
        <w:gridCol w:w="1420"/>
        <w:gridCol w:w="737"/>
        <w:gridCol w:w="927"/>
        <w:gridCol w:w="737"/>
        <w:gridCol w:w="927"/>
        <w:gridCol w:w="737"/>
        <w:gridCol w:w="927"/>
        <w:gridCol w:w="737"/>
        <w:gridCol w:w="927"/>
        <w:gridCol w:w="737"/>
        <w:gridCol w:w="927"/>
      </w:tblGrid>
      <w:tr w:rsidR="00CD306D" w:rsidRPr="00CD306D" w14:paraId="101EFECD" w14:textId="77777777" w:rsidTr="00CD306D">
        <w:trPr>
          <w:trHeight w:val="158"/>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404040"/>
            <w:noWrap/>
            <w:vAlign w:val="center"/>
            <w:hideMark/>
          </w:tcPr>
          <w:p w14:paraId="070F9901"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Spectrum location</w:t>
            </w:r>
          </w:p>
        </w:tc>
        <w:tc>
          <w:tcPr>
            <w:tcW w:w="8320" w:type="dxa"/>
            <w:gridSpan w:val="10"/>
            <w:tcBorders>
              <w:top w:val="nil"/>
              <w:left w:val="nil"/>
              <w:bottom w:val="nil"/>
              <w:right w:val="nil"/>
            </w:tcBorders>
            <w:shd w:val="clear" w:color="000000" w:fill="404040"/>
            <w:noWrap/>
            <w:vAlign w:val="bottom"/>
            <w:hideMark/>
          </w:tcPr>
          <w:p w14:paraId="7C6D81F1"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Geographic location</w:t>
            </w:r>
          </w:p>
        </w:tc>
      </w:tr>
      <w:tr w:rsidR="00CD306D" w:rsidRPr="00CD306D" w14:paraId="5911982F" w14:textId="77777777" w:rsidTr="00CD306D">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1021C8E1" w14:textId="77777777" w:rsidR="00CD306D" w:rsidRPr="00CD306D" w:rsidRDefault="00CD306D" w:rsidP="00793A49">
            <w:pPr>
              <w:keepNext/>
              <w:keepLines/>
              <w:spacing w:after="0" w:line="240" w:lineRule="auto"/>
              <w:rPr>
                <w:rFonts w:cs="Arial"/>
                <w:b/>
                <w:bCs/>
                <w:color w:val="FFFFFF"/>
                <w:sz w:val="12"/>
                <w:szCs w:val="12"/>
              </w:rPr>
            </w:pPr>
          </w:p>
        </w:tc>
        <w:tc>
          <w:tcPr>
            <w:tcW w:w="1664" w:type="dxa"/>
            <w:gridSpan w:val="2"/>
            <w:tcBorders>
              <w:top w:val="single" w:sz="4" w:space="0" w:color="auto"/>
              <w:left w:val="nil"/>
              <w:bottom w:val="nil"/>
              <w:right w:val="single" w:sz="4" w:space="0" w:color="000000"/>
            </w:tcBorders>
            <w:shd w:val="clear" w:color="000000" w:fill="404040"/>
            <w:noWrap/>
            <w:vAlign w:val="bottom"/>
            <w:hideMark/>
          </w:tcPr>
          <w:p w14:paraId="7B24215F"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Australia-wide</w:t>
            </w:r>
          </w:p>
        </w:tc>
        <w:tc>
          <w:tcPr>
            <w:tcW w:w="1664" w:type="dxa"/>
            <w:gridSpan w:val="2"/>
            <w:tcBorders>
              <w:top w:val="single" w:sz="4" w:space="0" w:color="auto"/>
              <w:left w:val="nil"/>
              <w:bottom w:val="nil"/>
              <w:right w:val="single" w:sz="4" w:space="0" w:color="000000"/>
            </w:tcBorders>
            <w:shd w:val="clear" w:color="000000" w:fill="404040"/>
            <w:noWrap/>
            <w:vAlign w:val="bottom"/>
            <w:hideMark/>
          </w:tcPr>
          <w:p w14:paraId="34213E36"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High density</w:t>
            </w:r>
          </w:p>
        </w:tc>
        <w:tc>
          <w:tcPr>
            <w:tcW w:w="1664" w:type="dxa"/>
            <w:gridSpan w:val="2"/>
            <w:tcBorders>
              <w:top w:val="single" w:sz="4" w:space="0" w:color="auto"/>
              <w:left w:val="nil"/>
              <w:bottom w:val="nil"/>
              <w:right w:val="single" w:sz="4" w:space="0" w:color="000000"/>
            </w:tcBorders>
            <w:shd w:val="clear" w:color="000000" w:fill="404040"/>
            <w:noWrap/>
            <w:vAlign w:val="bottom"/>
            <w:hideMark/>
          </w:tcPr>
          <w:p w14:paraId="7A5C6B77"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Medium density</w:t>
            </w:r>
          </w:p>
        </w:tc>
        <w:tc>
          <w:tcPr>
            <w:tcW w:w="1664" w:type="dxa"/>
            <w:gridSpan w:val="2"/>
            <w:tcBorders>
              <w:top w:val="single" w:sz="4" w:space="0" w:color="auto"/>
              <w:left w:val="nil"/>
              <w:bottom w:val="nil"/>
              <w:right w:val="single" w:sz="4" w:space="0" w:color="000000"/>
            </w:tcBorders>
            <w:shd w:val="clear" w:color="000000" w:fill="404040"/>
            <w:noWrap/>
            <w:vAlign w:val="bottom"/>
            <w:hideMark/>
          </w:tcPr>
          <w:p w14:paraId="4693A9DE"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Low density</w:t>
            </w:r>
          </w:p>
        </w:tc>
        <w:tc>
          <w:tcPr>
            <w:tcW w:w="1664" w:type="dxa"/>
            <w:gridSpan w:val="2"/>
            <w:tcBorders>
              <w:top w:val="nil"/>
              <w:left w:val="nil"/>
              <w:bottom w:val="nil"/>
              <w:right w:val="nil"/>
            </w:tcBorders>
            <w:shd w:val="clear" w:color="000000" w:fill="404040"/>
            <w:noWrap/>
            <w:vAlign w:val="bottom"/>
            <w:hideMark/>
          </w:tcPr>
          <w:p w14:paraId="29E88A62"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Remote density</w:t>
            </w:r>
          </w:p>
        </w:tc>
      </w:tr>
      <w:tr w:rsidR="00CD306D" w:rsidRPr="00CD306D" w14:paraId="456E664E" w14:textId="77777777" w:rsidTr="00CD306D">
        <w:trPr>
          <w:trHeight w:val="158"/>
        </w:trPr>
        <w:tc>
          <w:tcPr>
            <w:tcW w:w="1420" w:type="dxa"/>
            <w:vMerge/>
            <w:tcBorders>
              <w:top w:val="single" w:sz="4" w:space="0" w:color="auto"/>
              <w:left w:val="single" w:sz="4" w:space="0" w:color="auto"/>
              <w:bottom w:val="single" w:sz="4" w:space="0" w:color="000000"/>
              <w:right w:val="single" w:sz="4" w:space="0" w:color="auto"/>
            </w:tcBorders>
            <w:vAlign w:val="center"/>
            <w:hideMark/>
          </w:tcPr>
          <w:p w14:paraId="130820F6" w14:textId="77777777" w:rsidR="00CD306D" w:rsidRPr="00CD306D" w:rsidRDefault="00CD306D" w:rsidP="00793A49">
            <w:pPr>
              <w:keepNext/>
              <w:keepLines/>
              <w:spacing w:after="0" w:line="240" w:lineRule="auto"/>
              <w:rPr>
                <w:rFonts w:cs="Arial"/>
                <w:b/>
                <w:bCs/>
                <w:color w:val="FFFFFF"/>
                <w:sz w:val="12"/>
                <w:szCs w:val="12"/>
              </w:rPr>
            </w:pPr>
          </w:p>
        </w:tc>
        <w:tc>
          <w:tcPr>
            <w:tcW w:w="737" w:type="dxa"/>
            <w:tcBorders>
              <w:top w:val="nil"/>
              <w:left w:val="nil"/>
              <w:bottom w:val="single" w:sz="4" w:space="0" w:color="auto"/>
              <w:right w:val="single" w:sz="4" w:space="0" w:color="auto"/>
            </w:tcBorders>
            <w:shd w:val="clear" w:color="000000" w:fill="404040"/>
            <w:noWrap/>
            <w:vAlign w:val="bottom"/>
            <w:hideMark/>
          </w:tcPr>
          <w:p w14:paraId="39E547B2"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Current</w:t>
            </w:r>
          </w:p>
        </w:tc>
        <w:tc>
          <w:tcPr>
            <w:tcW w:w="927" w:type="dxa"/>
            <w:tcBorders>
              <w:top w:val="nil"/>
              <w:left w:val="nil"/>
              <w:bottom w:val="single" w:sz="4" w:space="0" w:color="auto"/>
              <w:right w:val="single" w:sz="4" w:space="0" w:color="auto"/>
            </w:tcBorders>
            <w:shd w:val="clear" w:color="000000" w:fill="404040"/>
            <w:noWrap/>
            <w:vAlign w:val="bottom"/>
            <w:hideMark/>
          </w:tcPr>
          <w:p w14:paraId="2BFC58B3"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Proposed</w:t>
            </w:r>
          </w:p>
        </w:tc>
        <w:tc>
          <w:tcPr>
            <w:tcW w:w="737" w:type="dxa"/>
            <w:tcBorders>
              <w:top w:val="nil"/>
              <w:left w:val="nil"/>
              <w:bottom w:val="single" w:sz="4" w:space="0" w:color="auto"/>
              <w:right w:val="single" w:sz="4" w:space="0" w:color="auto"/>
            </w:tcBorders>
            <w:shd w:val="clear" w:color="000000" w:fill="404040"/>
            <w:noWrap/>
            <w:vAlign w:val="bottom"/>
            <w:hideMark/>
          </w:tcPr>
          <w:p w14:paraId="0AE38720"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Current</w:t>
            </w:r>
          </w:p>
        </w:tc>
        <w:tc>
          <w:tcPr>
            <w:tcW w:w="927" w:type="dxa"/>
            <w:tcBorders>
              <w:top w:val="nil"/>
              <w:left w:val="nil"/>
              <w:bottom w:val="single" w:sz="4" w:space="0" w:color="auto"/>
              <w:right w:val="single" w:sz="4" w:space="0" w:color="auto"/>
            </w:tcBorders>
            <w:shd w:val="clear" w:color="000000" w:fill="404040"/>
            <w:noWrap/>
            <w:vAlign w:val="bottom"/>
            <w:hideMark/>
          </w:tcPr>
          <w:p w14:paraId="55C37DA9"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Proposed</w:t>
            </w:r>
          </w:p>
        </w:tc>
        <w:tc>
          <w:tcPr>
            <w:tcW w:w="737" w:type="dxa"/>
            <w:tcBorders>
              <w:top w:val="nil"/>
              <w:left w:val="nil"/>
              <w:bottom w:val="single" w:sz="4" w:space="0" w:color="auto"/>
              <w:right w:val="single" w:sz="4" w:space="0" w:color="auto"/>
            </w:tcBorders>
            <w:shd w:val="clear" w:color="000000" w:fill="404040"/>
            <w:noWrap/>
            <w:vAlign w:val="bottom"/>
            <w:hideMark/>
          </w:tcPr>
          <w:p w14:paraId="47B8AE96"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Current</w:t>
            </w:r>
          </w:p>
        </w:tc>
        <w:tc>
          <w:tcPr>
            <w:tcW w:w="927" w:type="dxa"/>
            <w:tcBorders>
              <w:top w:val="nil"/>
              <w:left w:val="nil"/>
              <w:bottom w:val="single" w:sz="4" w:space="0" w:color="auto"/>
              <w:right w:val="single" w:sz="4" w:space="0" w:color="auto"/>
            </w:tcBorders>
            <w:shd w:val="clear" w:color="000000" w:fill="404040"/>
            <w:noWrap/>
            <w:vAlign w:val="bottom"/>
            <w:hideMark/>
          </w:tcPr>
          <w:p w14:paraId="130E8371"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Proposed</w:t>
            </w:r>
          </w:p>
        </w:tc>
        <w:tc>
          <w:tcPr>
            <w:tcW w:w="737" w:type="dxa"/>
            <w:tcBorders>
              <w:top w:val="nil"/>
              <w:left w:val="nil"/>
              <w:bottom w:val="single" w:sz="4" w:space="0" w:color="auto"/>
              <w:right w:val="single" w:sz="4" w:space="0" w:color="auto"/>
            </w:tcBorders>
            <w:shd w:val="clear" w:color="000000" w:fill="404040"/>
            <w:noWrap/>
            <w:vAlign w:val="bottom"/>
            <w:hideMark/>
          </w:tcPr>
          <w:p w14:paraId="2ED53C73"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Current</w:t>
            </w:r>
          </w:p>
        </w:tc>
        <w:tc>
          <w:tcPr>
            <w:tcW w:w="927" w:type="dxa"/>
            <w:tcBorders>
              <w:top w:val="nil"/>
              <w:left w:val="nil"/>
              <w:bottom w:val="single" w:sz="4" w:space="0" w:color="auto"/>
              <w:right w:val="single" w:sz="4" w:space="0" w:color="auto"/>
            </w:tcBorders>
            <w:shd w:val="clear" w:color="000000" w:fill="404040"/>
            <w:noWrap/>
            <w:vAlign w:val="bottom"/>
            <w:hideMark/>
          </w:tcPr>
          <w:p w14:paraId="457CDCAC"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Proposed</w:t>
            </w:r>
          </w:p>
        </w:tc>
        <w:tc>
          <w:tcPr>
            <w:tcW w:w="737" w:type="dxa"/>
            <w:tcBorders>
              <w:top w:val="nil"/>
              <w:left w:val="nil"/>
              <w:bottom w:val="single" w:sz="4" w:space="0" w:color="auto"/>
              <w:right w:val="single" w:sz="4" w:space="0" w:color="auto"/>
            </w:tcBorders>
            <w:shd w:val="clear" w:color="000000" w:fill="404040"/>
            <w:noWrap/>
            <w:vAlign w:val="bottom"/>
            <w:hideMark/>
          </w:tcPr>
          <w:p w14:paraId="622A849B"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Current</w:t>
            </w:r>
          </w:p>
        </w:tc>
        <w:tc>
          <w:tcPr>
            <w:tcW w:w="927" w:type="dxa"/>
            <w:tcBorders>
              <w:top w:val="nil"/>
              <w:left w:val="nil"/>
              <w:bottom w:val="single" w:sz="4" w:space="0" w:color="auto"/>
              <w:right w:val="single" w:sz="4" w:space="0" w:color="auto"/>
            </w:tcBorders>
            <w:shd w:val="clear" w:color="000000" w:fill="404040"/>
            <w:noWrap/>
            <w:vAlign w:val="bottom"/>
            <w:hideMark/>
          </w:tcPr>
          <w:p w14:paraId="142E0B26" w14:textId="77777777" w:rsidR="00CD306D" w:rsidRPr="00CD306D" w:rsidRDefault="00CD306D" w:rsidP="00793A49">
            <w:pPr>
              <w:keepNext/>
              <w:keepLines/>
              <w:spacing w:after="0" w:line="240" w:lineRule="auto"/>
              <w:rPr>
                <w:rFonts w:cs="Arial"/>
                <w:b/>
                <w:bCs/>
                <w:color w:val="FFFFFF"/>
                <w:sz w:val="12"/>
                <w:szCs w:val="12"/>
              </w:rPr>
            </w:pPr>
            <w:r w:rsidRPr="00CD306D">
              <w:rPr>
                <w:rFonts w:cs="Arial"/>
                <w:b/>
                <w:bCs/>
                <w:color w:val="FFFFFF"/>
                <w:sz w:val="12"/>
                <w:szCs w:val="12"/>
              </w:rPr>
              <w:t>Proposed</w:t>
            </w:r>
          </w:p>
        </w:tc>
      </w:tr>
      <w:tr w:rsidR="0004421D" w:rsidRPr="00CD306D" w14:paraId="7276A8B9"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578C5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 xml:space="preserve"> 0 to 30 MHz</w:t>
            </w:r>
          </w:p>
        </w:tc>
        <w:tc>
          <w:tcPr>
            <w:tcW w:w="737" w:type="dxa"/>
            <w:tcBorders>
              <w:top w:val="nil"/>
              <w:left w:val="nil"/>
              <w:bottom w:val="single" w:sz="4" w:space="0" w:color="auto"/>
              <w:right w:val="single" w:sz="4" w:space="0" w:color="auto"/>
            </w:tcBorders>
            <w:shd w:val="clear" w:color="auto" w:fill="auto"/>
            <w:noWrap/>
            <w:vAlign w:val="bottom"/>
            <w:hideMark/>
          </w:tcPr>
          <w:p w14:paraId="34AF9C7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1.2209</w:t>
            </w:r>
          </w:p>
        </w:tc>
        <w:tc>
          <w:tcPr>
            <w:tcW w:w="927" w:type="dxa"/>
            <w:tcBorders>
              <w:top w:val="nil"/>
              <w:left w:val="nil"/>
              <w:bottom w:val="single" w:sz="4" w:space="0" w:color="auto"/>
              <w:right w:val="single" w:sz="4" w:space="0" w:color="auto"/>
            </w:tcBorders>
            <w:shd w:val="clear" w:color="000000" w:fill="E7E6E6"/>
            <w:noWrap/>
            <w:vAlign w:val="bottom"/>
            <w:hideMark/>
          </w:tcPr>
          <w:p w14:paraId="5011E67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1.2172</w:t>
            </w:r>
          </w:p>
        </w:tc>
        <w:tc>
          <w:tcPr>
            <w:tcW w:w="737" w:type="dxa"/>
            <w:tcBorders>
              <w:top w:val="nil"/>
              <w:left w:val="nil"/>
              <w:bottom w:val="single" w:sz="4" w:space="0" w:color="auto"/>
              <w:right w:val="single" w:sz="4" w:space="0" w:color="auto"/>
            </w:tcBorders>
            <w:shd w:val="clear" w:color="auto" w:fill="auto"/>
            <w:noWrap/>
            <w:vAlign w:val="bottom"/>
            <w:hideMark/>
          </w:tcPr>
          <w:p w14:paraId="59C3DC7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1.2209</w:t>
            </w:r>
          </w:p>
        </w:tc>
        <w:tc>
          <w:tcPr>
            <w:tcW w:w="927" w:type="dxa"/>
            <w:tcBorders>
              <w:top w:val="nil"/>
              <w:left w:val="nil"/>
              <w:bottom w:val="single" w:sz="4" w:space="0" w:color="auto"/>
              <w:right w:val="single" w:sz="4" w:space="0" w:color="auto"/>
            </w:tcBorders>
            <w:shd w:val="clear" w:color="000000" w:fill="E7E6E6"/>
            <w:noWrap/>
            <w:vAlign w:val="bottom"/>
            <w:hideMark/>
          </w:tcPr>
          <w:p w14:paraId="49ECBA22"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1.2172</w:t>
            </w:r>
          </w:p>
        </w:tc>
        <w:tc>
          <w:tcPr>
            <w:tcW w:w="737" w:type="dxa"/>
            <w:tcBorders>
              <w:top w:val="nil"/>
              <w:left w:val="nil"/>
              <w:bottom w:val="single" w:sz="4" w:space="0" w:color="auto"/>
              <w:right w:val="single" w:sz="4" w:space="0" w:color="auto"/>
            </w:tcBorders>
            <w:shd w:val="clear" w:color="auto" w:fill="auto"/>
            <w:noWrap/>
            <w:vAlign w:val="bottom"/>
            <w:hideMark/>
          </w:tcPr>
          <w:p w14:paraId="19AD977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1.2209</w:t>
            </w:r>
          </w:p>
        </w:tc>
        <w:tc>
          <w:tcPr>
            <w:tcW w:w="927" w:type="dxa"/>
            <w:tcBorders>
              <w:top w:val="nil"/>
              <w:left w:val="nil"/>
              <w:bottom w:val="single" w:sz="4" w:space="0" w:color="auto"/>
              <w:right w:val="single" w:sz="4" w:space="0" w:color="auto"/>
            </w:tcBorders>
            <w:shd w:val="clear" w:color="000000" w:fill="E7E6E6"/>
            <w:noWrap/>
            <w:vAlign w:val="bottom"/>
            <w:hideMark/>
          </w:tcPr>
          <w:p w14:paraId="3397DC3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1.2172</w:t>
            </w:r>
          </w:p>
        </w:tc>
        <w:tc>
          <w:tcPr>
            <w:tcW w:w="737" w:type="dxa"/>
            <w:tcBorders>
              <w:top w:val="nil"/>
              <w:left w:val="nil"/>
              <w:bottom w:val="single" w:sz="4" w:space="0" w:color="auto"/>
              <w:right w:val="single" w:sz="4" w:space="0" w:color="auto"/>
            </w:tcBorders>
            <w:shd w:val="clear" w:color="auto" w:fill="auto"/>
            <w:noWrap/>
            <w:vAlign w:val="bottom"/>
            <w:hideMark/>
          </w:tcPr>
          <w:p w14:paraId="63E8D23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1.2209</w:t>
            </w:r>
          </w:p>
        </w:tc>
        <w:tc>
          <w:tcPr>
            <w:tcW w:w="927" w:type="dxa"/>
            <w:tcBorders>
              <w:top w:val="nil"/>
              <w:left w:val="nil"/>
              <w:bottom w:val="single" w:sz="4" w:space="0" w:color="auto"/>
              <w:right w:val="single" w:sz="4" w:space="0" w:color="auto"/>
            </w:tcBorders>
            <w:shd w:val="clear" w:color="000000" w:fill="E7E6E6"/>
            <w:noWrap/>
            <w:vAlign w:val="bottom"/>
            <w:hideMark/>
          </w:tcPr>
          <w:p w14:paraId="75D69CA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1.2172</w:t>
            </w:r>
          </w:p>
        </w:tc>
        <w:tc>
          <w:tcPr>
            <w:tcW w:w="737" w:type="dxa"/>
            <w:tcBorders>
              <w:top w:val="nil"/>
              <w:left w:val="nil"/>
              <w:bottom w:val="single" w:sz="4" w:space="0" w:color="auto"/>
              <w:right w:val="single" w:sz="4" w:space="0" w:color="auto"/>
            </w:tcBorders>
            <w:shd w:val="clear" w:color="auto" w:fill="auto"/>
            <w:noWrap/>
            <w:vAlign w:val="bottom"/>
            <w:hideMark/>
          </w:tcPr>
          <w:p w14:paraId="45452789"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1.2209</w:t>
            </w:r>
          </w:p>
        </w:tc>
        <w:tc>
          <w:tcPr>
            <w:tcW w:w="927" w:type="dxa"/>
            <w:tcBorders>
              <w:top w:val="nil"/>
              <w:left w:val="nil"/>
              <w:bottom w:val="single" w:sz="4" w:space="0" w:color="auto"/>
              <w:right w:val="single" w:sz="4" w:space="0" w:color="auto"/>
            </w:tcBorders>
            <w:shd w:val="clear" w:color="000000" w:fill="E7E6E6"/>
            <w:noWrap/>
            <w:vAlign w:val="bottom"/>
            <w:hideMark/>
          </w:tcPr>
          <w:p w14:paraId="090A7D5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1.2172</w:t>
            </w:r>
          </w:p>
        </w:tc>
      </w:tr>
      <w:tr w:rsidR="0004421D" w:rsidRPr="00CD306D" w14:paraId="777748B0"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33BDA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&gt;30 to 70 MHz</w:t>
            </w:r>
          </w:p>
        </w:tc>
        <w:tc>
          <w:tcPr>
            <w:tcW w:w="737" w:type="dxa"/>
            <w:tcBorders>
              <w:top w:val="nil"/>
              <w:left w:val="nil"/>
              <w:bottom w:val="single" w:sz="4" w:space="0" w:color="auto"/>
              <w:right w:val="single" w:sz="4" w:space="0" w:color="auto"/>
            </w:tcBorders>
            <w:shd w:val="clear" w:color="auto" w:fill="auto"/>
            <w:noWrap/>
            <w:vAlign w:val="bottom"/>
            <w:hideMark/>
          </w:tcPr>
          <w:p w14:paraId="54FFF15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2.7579</w:t>
            </w:r>
          </w:p>
        </w:tc>
        <w:tc>
          <w:tcPr>
            <w:tcW w:w="927" w:type="dxa"/>
            <w:tcBorders>
              <w:top w:val="nil"/>
              <w:left w:val="nil"/>
              <w:bottom w:val="single" w:sz="4" w:space="0" w:color="auto"/>
              <w:right w:val="single" w:sz="4" w:space="0" w:color="auto"/>
            </w:tcBorders>
            <w:shd w:val="clear" w:color="000000" w:fill="E7E6E6"/>
            <w:noWrap/>
            <w:vAlign w:val="bottom"/>
            <w:hideMark/>
          </w:tcPr>
          <w:p w14:paraId="79DB1EA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2.7496</w:t>
            </w:r>
          </w:p>
        </w:tc>
        <w:tc>
          <w:tcPr>
            <w:tcW w:w="737" w:type="dxa"/>
            <w:tcBorders>
              <w:top w:val="nil"/>
              <w:left w:val="nil"/>
              <w:bottom w:val="single" w:sz="4" w:space="0" w:color="auto"/>
              <w:right w:val="single" w:sz="4" w:space="0" w:color="auto"/>
            </w:tcBorders>
            <w:shd w:val="clear" w:color="auto" w:fill="auto"/>
            <w:noWrap/>
            <w:vAlign w:val="bottom"/>
            <w:hideMark/>
          </w:tcPr>
          <w:p w14:paraId="6633CA6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1.0772</w:t>
            </w:r>
          </w:p>
        </w:tc>
        <w:tc>
          <w:tcPr>
            <w:tcW w:w="927" w:type="dxa"/>
            <w:tcBorders>
              <w:top w:val="nil"/>
              <w:left w:val="nil"/>
              <w:bottom w:val="single" w:sz="4" w:space="0" w:color="auto"/>
              <w:right w:val="single" w:sz="4" w:space="0" w:color="auto"/>
            </w:tcBorders>
            <w:shd w:val="clear" w:color="000000" w:fill="E7E6E6"/>
            <w:noWrap/>
            <w:vAlign w:val="bottom"/>
            <w:hideMark/>
          </w:tcPr>
          <w:p w14:paraId="6BE8B43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1.0739</w:t>
            </w:r>
          </w:p>
        </w:tc>
        <w:tc>
          <w:tcPr>
            <w:tcW w:w="737" w:type="dxa"/>
            <w:tcBorders>
              <w:top w:val="nil"/>
              <w:left w:val="nil"/>
              <w:bottom w:val="single" w:sz="4" w:space="0" w:color="auto"/>
              <w:right w:val="single" w:sz="4" w:space="0" w:color="auto"/>
            </w:tcBorders>
            <w:shd w:val="clear" w:color="auto" w:fill="auto"/>
            <w:noWrap/>
            <w:vAlign w:val="bottom"/>
            <w:hideMark/>
          </w:tcPr>
          <w:p w14:paraId="5957C52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0.5730</w:t>
            </w:r>
          </w:p>
        </w:tc>
        <w:tc>
          <w:tcPr>
            <w:tcW w:w="927" w:type="dxa"/>
            <w:tcBorders>
              <w:top w:val="nil"/>
              <w:left w:val="nil"/>
              <w:bottom w:val="single" w:sz="4" w:space="0" w:color="auto"/>
              <w:right w:val="single" w:sz="4" w:space="0" w:color="auto"/>
            </w:tcBorders>
            <w:shd w:val="clear" w:color="000000" w:fill="E7E6E6"/>
            <w:noWrap/>
            <w:vAlign w:val="bottom"/>
            <w:hideMark/>
          </w:tcPr>
          <w:p w14:paraId="173260B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0.5712</w:t>
            </w:r>
          </w:p>
        </w:tc>
        <w:tc>
          <w:tcPr>
            <w:tcW w:w="737" w:type="dxa"/>
            <w:tcBorders>
              <w:top w:val="nil"/>
              <w:left w:val="nil"/>
              <w:bottom w:val="single" w:sz="4" w:space="0" w:color="auto"/>
              <w:right w:val="single" w:sz="4" w:space="0" w:color="auto"/>
            </w:tcBorders>
            <w:shd w:val="clear" w:color="auto" w:fill="auto"/>
            <w:noWrap/>
            <w:vAlign w:val="bottom"/>
            <w:hideMark/>
          </w:tcPr>
          <w:p w14:paraId="02B57BF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0.1236</w:t>
            </w:r>
          </w:p>
        </w:tc>
        <w:tc>
          <w:tcPr>
            <w:tcW w:w="927" w:type="dxa"/>
            <w:tcBorders>
              <w:top w:val="nil"/>
              <w:left w:val="nil"/>
              <w:bottom w:val="single" w:sz="4" w:space="0" w:color="auto"/>
              <w:right w:val="single" w:sz="4" w:space="0" w:color="auto"/>
            </w:tcBorders>
            <w:shd w:val="clear" w:color="000000" w:fill="E7E6E6"/>
            <w:noWrap/>
            <w:vAlign w:val="bottom"/>
            <w:hideMark/>
          </w:tcPr>
          <w:p w14:paraId="076175A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0.1233</w:t>
            </w:r>
          </w:p>
        </w:tc>
        <w:tc>
          <w:tcPr>
            <w:tcW w:w="737" w:type="dxa"/>
            <w:tcBorders>
              <w:top w:val="nil"/>
              <w:left w:val="nil"/>
              <w:bottom w:val="single" w:sz="4" w:space="0" w:color="auto"/>
              <w:right w:val="single" w:sz="4" w:space="0" w:color="auto"/>
            </w:tcBorders>
            <w:shd w:val="clear" w:color="auto" w:fill="auto"/>
            <w:noWrap/>
            <w:vAlign w:val="bottom"/>
            <w:hideMark/>
          </w:tcPr>
          <w:p w14:paraId="40EAF64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0.0617</w:t>
            </w:r>
          </w:p>
        </w:tc>
        <w:tc>
          <w:tcPr>
            <w:tcW w:w="927" w:type="dxa"/>
            <w:tcBorders>
              <w:top w:val="nil"/>
              <w:left w:val="nil"/>
              <w:bottom w:val="single" w:sz="4" w:space="0" w:color="auto"/>
              <w:right w:val="single" w:sz="4" w:space="0" w:color="auto"/>
            </w:tcBorders>
            <w:shd w:val="clear" w:color="000000" w:fill="E7E6E6"/>
            <w:noWrap/>
            <w:vAlign w:val="bottom"/>
            <w:hideMark/>
          </w:tcPr>
          <w:p w14:paraId="10F739F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0.0615</w:t>
            </w:r>
          </w:p>
        </w:tc>
      </w:tr>
      <w:tr w:rsidR="0004421D" w:rsidRPr="00CD306D" w14:paraId="3A2F59D9"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62C7C3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&gt;70 to 399.9 MHz</w:t>
            </w:r>
          </w:p>
        </w:tc>
        <w:tc>
          <w:tcPr>
            <w:tcW w:w="737" w:type="dxa"/>
            <w:tcBorders>
              <w:top w:val="nil"/>
              <w:left w:val="nil"/>
              <w:bottom w:val="single" w:sz="4" w:space="0" w:color="auto"/>
              <w:right w:val="single" w:sz="4" w:space="0" w:color="auto"/>
            </w:tcBorders>
            <w:shd w:val="clear" w:color="auto" w:fill="auto"/>
            <w:noWrap/>
            <w:vAlign w:val="bottom"/>
            <w:hideMark/>
          </w:tcPr>
          <w:p w14:paraId="63A6935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2.8295</w:t>
            </w:r>
          </w:p>
        </w:tc>
        <w:tc>
          <w:tcPr>
            <w:tcW w:w="927" w:type="dxa"/>
            <w:tcBorders>
              <w:top w:val="nil"/>
              <w:left w:val="nil"/>
              <w:bottom w:val="single" w:sz="4" w:space="0" w:color="auto"/>
              <w:right w:val="single" w:sz="4" w:space="0" w:color="auto"/>
            </w:tcBorders>
            <w:shd w:val="clear" w:color="000000" w:fill="E7E6E6"/>
            <w:noWrap/>
            <w:vAlign w:val="bottom"/>
            <w:hideMark/>
          </w:tcPr>
          <w:p w14:paraId="086E408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2.8210</w:t>
            </w:r>
          </w:p>
        </w:tc>
        <w:tc>
          <w:tcPr>
            <w:tcW w:w="737" w:type="dxa"/>
            <w:tcBorders>
              <w:top w:val="nil"/>
              <w:left w:val="nil"/>
              <w:bottom w:val="single" w:sz="4" w:space="0" w:color="auto"/>
              <w:right w:val="single" w:sz="4" w:space="0" w:color="auto"/>
            </w:tcBorders>
            <w:shd w:val="clear" w:color="auto" w:fill="auto"/>
            <w:noWrap/>
            <w:vAlign w:val="bottom"/>
            <w:hideMark/>
          </w:tcPr>
          <w:p w14:paraId="08AE341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1.1612</w:t>
            </w:r>
          </w:p>
        </w:tc>
        <w:tc>
          <w:tcPr>
            <w:tcW w:w="927" w:type="dxa"/>
            <w:tcBorders>
              <w:top w:val="nil"/>
              <w:left w:val="nil"/>
              <w:bottom w:val="single" w:sz="4" w:space="0" w:color="auto"/>
              <w:right w:val="single" w:sz="4" w:space="0" w:color="auto"/>
            </w:tcBorders>
            <w:shd w:val="clear" w:color="000000" w:fill="E7E6E6"/>
            <w:noWrap/>
            <w:vAlign w:val="bottom"/>
            <w:hideMark/>
          </w:tcPr>
          <w:p w14:paraId="1E102C6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1.1577</w:t>
            </w:r>
          </w:p>
        </w:tc>
        <w:tc>
          <w:tcPr>
            <w:tcW w:w="737" w:type="dxa"/>
            <w:tcBorders>
              <w:top w:val="nil"/>
              <w:left w:val="nil"/>
              <w:bottom w:val="single" w:sz="4" w:space="0" w:color="auto"/>
              <w:right w:val="single" w:sz="4" w:space="0" w:color="auto"/>
            </w:tcBorders>
            <w:shd w:val="clear" w:color="auto" w:fill="auto"/>
            <w:noWrap/>
            <w:vAlign w:val="bottom"/>
            <w:hideMark/>
          </w:tcPr>
          <w:p w14:paraId="6D84E03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0.5314</w:t>
            </w:r>
          </w:p>
        </w:tc>
        <w:tc>
          <w:tcPr>
            <w:tcW w:w="927" w:type="dxa"/>
            <w:tcBorders>
              <w:top w:val="nil"/>
              <w:left w:val="nil"/>
              <w:bottom w:val="single" w:sz="4" w:space="0" w:color="auto"/>
              <w:right w:val="single" w:sz="4" w:space="0" w:color="auto"/>
            </w:tcBorders>
            <w:shd w:val="clear" w:color="000000" w:fill="E7E6E6"/>
            <w:noWrap/>
            <w:vAlign w:val="bottom"/>
            <w:hideMark/>
          </w:tcPr>
          <w:p w14:paraId="1D9A3B3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0.5298</w:t>
            </w:r>
          </w:p>
        </w:tc>
        <w:tc>
          <w:tcPr>
            <w:tcW w:w="737" w:type="dxa"/>
            <w:tcBorders>
              <w:top w:val="nil"/>
              <w:left w:val="nil"/>
              <w:bottom w:val="single" w:sz="4" w:space="0" w:color="auto"/>
              <w:right w:val="single" w:sz="4" w:space="0" w:color="auto"/>
            </w:tcBorders>
            <w:shd w:val="clear" w:color="auto" w:fill="auto"/>
            <w:noWrap/>
            <w:vAlign w:val="bottom"/>
            <w:hideMark/>
          </w:tcPr>
          <w:p w14:paraId="40DE0DB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0.1191</w:t>
            </w:r>
          </w:p>
        </w:tc>
        <w:tc>
          <w:tcPr>
            <w:tcW w:w="927" w:type="dxa"/>
            <w:tcBorders>
              <w:top w:val="nil"/>
              <w:left w:val="nil"/>
              <w:bottom w:val="single" w:sz="4" w:space="0" w:color="auto"/>
              <w:right w:val="single" w:sz="4" w:space="0" w:color="auto"/>
            </w:tcBorders>
            <w:shd w:val="clear" w:color="000000" w:fill="E7E6E6"/>
            <w:noWrap/>
            <w:vAlign w:val="bottom"/>
            <w:hideMark/>
          </w:tcPr>
          <w:p w14:paraId="21C1C8F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0.1188</w:t>
            </w:r>
          </w:p>
        </w:tc>
        <w:tc>
          <w:tcPr>
            <w:tcW w:w="737" w:type="dxa"/>
            <w:tcBorders>
              <w:top w:val="nil"/>
              <w:left w:val="nil"/>
              <w:bottom w:val="single" w:sz="4" w:space="0" w:color="auto"/>
              <w:right w:val="single" w:sz="4" w:space="0" w:color="auto"/>
            </w:tcBorders>
            <w:shd w:val="clear" w:color="auto" w:fill="auto"/>
            <w:noWrap/>
            <w:vAlign w:val="bottom"/>
            <w:hideMark/>
          </w:tcPr>
          <w:p w14:paraId="22470272"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0.0594</w:t>
            </w:r>
          </w:p>
        </w:tc>
        <w:tc>
          <w:tcPr>
            <w:tcW w:w="927" w:type="dxa"/>
            <w:tcBorders>
              <w:top w:val="nil"/>
              <w:left w:val="nil"/>
              <w:bottom w:val="single" w:sz="4" w:space="0" w:color="auto"/>
              <w:right w:val="single" w:sz="4" w:space="0" w:color="auto"/>
            </w:tcBorders>
            <w:shd w:val="clear" w:color="000000" w:fill="E7E6E6"/>
            <w:noWrap/>
            <w:vAlign w:val="bottom"/>
            <w:hideMark/>
          </w:tcPr>
          <w:p w14:paraId="1935A609"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0.0592</w:t>
            </w:r>
          </w:p>
        </w:tc>
      </w:tr>
      <w:tr w:rsidR="0004421D" w:rsidRPr="00CD306D" w14:paraId="542836BF"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596A49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&gt;399.9 to 403 MHz</w:t>
            </w:r>
          </w:p>
        </w:tc>
        <w:tc>
          <w:tcPr>
            <w:tcW w:w="737" w:type="dxa"/>
            <w:tcBorders>
              <w:top w:val="nil"/>
              <w:left w:val="nil"/>
              <w:bottom w:val="single" w:sz="4" w:space="0" w:color="auto"/>
              <w:right w:val="single" w:sz="4" w:space="0" w:color="auto"/>
            </w:tcBorders>
            <w:shd w:val="clear" w:color="auto" w:fill="auto"/>
            <w:noWrap/>
            <w:vAlign w:val="bottom"/>
            <w:hideMark/>
          </w:tcPr>
          <w:p w14:paraId="3F35D92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2.8295</w:t>
            </w:r>
          </w:p>
        </w:tc>
        <w:tc>
          <w:tcPr>
            <w:tcW w:w="927" w:type="dxa"/>
            <w:tcBorders>
              <w:top w:val="nil"/>
              <w:left w:val="nil"/>
              <w:bottom w:val="single" w:sz="4" w:space="0" w:color="auto"/>
              <w:right w:val="single" w:sz="4" w:space="0" w:color="auto"/>
            </w:tcBorders>
            <w:shd w:val="clear" w:color="000000" w:fill="E7E6E6"/>
            <w:noWrap/>
            <w:vAlign w:val="bottom"/>
            <w:hideMark/>
          </w:tcPr>
          <w:p w14:paraId="0FD876E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2.8210</w:t>
            </w:r>
          </w:p>
        </w:tc>
        <w:tc>
          <w:tcPr>
            <w:tcW w:w="737" w:type="dxa"/>
            <w:tcBorders>
              <w:top w:val="nil"/>
              <w:left w:val="nil"/>
              <w:bottom w:val="single" w:sz="4" w:space="0" w:color="auto"/>
              <w:right w:val="single" w:sz="4" w:space="0" w:color="auto"/>
            </w:tcBorders>
            <w:shd w:val="clear" w:color="auto" w:fill="auto"/>
            <w:noWrap/>
            <w:vAlign w:val="bottom"/>
            <w:hideMark/>
          </w:tcPr>
          <w:p w14:paraId="7E56253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1.5845</w:t>
            </w:r>
          </w:p>
        </w:tc>
        <w:tc>
          <w:tcPr>
            <w:tcW w:w="927" w:type="dxa"/>
            <w:tcBorders>
              <w:top w:val="nil"/>
              <w:left w:val="nil"/>
              <w:bottom w:val="single" w:sz="4" w:space="0" w:color="auto"/>
              <w:right w:val="single" w:sz="4" w:space="0" w:color="auto"/>
            </w:tcBorders>
            <w:shd w:val="clear" w:color="000000" w:fill="E7E6E6"/>
            <w:noWrap/>
            <w:vAlign w:val="bottom"/>
            <w:hideMark/>
          </w:tcPr>
          <w:p w14:paraId="49DE18F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1.5797</w:t>
            </w:r>
          </w:p>
        </w:tc>
        <w:tc>
          <w:tcPr>
            <w:tcW w:w="737" w:type="dxa"/>
            <w:tcBorders>
              <w:top w:val="nil"/>
              <w:left w:val="nil"/>
              <w:bottom w:val="single" w:sz="4" w:space="0" w:color="auto"/>
              <w:right w:val="single" w:sz="4" w:space="0" w:color="auto"/>
            </w:tcBorders>
            <w:shd w:val="clear" w:color="auto" w:fill="auto"/>
            <w:noWrap/>
            <w:vAlign w:val="bottom"/>
            <w:hideMark/>
          </w:tcPr>
          <w:p w14:paraId="6870133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0.7249</w:t>
            </w:r>
          </w:p>
        </w:tc>
        <w:tc>
          <w:tcPr>
            <w:tcW w:w="927" w:type="dxa"/>
            <w:tcBorders>
              <w:top w:val="nil"/>
              <w:left w:val="nil"/>
              <w:bottom w:val="single" w:sz="4" w:space="0" w:color="auto"/>
              <w:right w:val="single" w:sz="4" w:space="0" w:color="auto"/>
            </w:tcBorders>
            <w:shd w:val="clear" w:color="000000" w:fill="E7E6E6"/>
            <w:noWrap/>
            <w:vAlign w:val="bottom"/>
            <w:hideMark/>
          </w:tcPr>
          <w:p w14:paraId="2E9D34B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0.7227</w:t>
            </w:r>
          </w:p>
        </w:tc>
        <w:tc>
          <w:tcPr>
            <w:tcW w:w="737" w:type="dxa"/>
            <w:tcBorders>
              <w:top w:val="nil"/>
              <w:left w:val="nil"/>
              <w:bottom w:val="single" w:sz="4" w:space="0" w:color="auto"/>
              <w:right w:val="single" w:sz="4" w:space="0" w:color="auto"/>
            </w:tcBorders>
            <w:shd w:val="clear" w:color="auto" w:fill="auto"/>
            <w:noWrap/>
            <w:vAlign w:val="bottom"/>
            <w:hideMark/>
          </w:tcPr>
          <w:p w14:paraId="5FFD0CC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0.1236</w:t>
            </w:r>
          </w:p>
        </w:tc>
        <w:tc>
          <w:tcPr>
            <w:tcW w:w="927" w:type="dxa"/>
            <w:tcBorders>
              <w:top w:val="nil"/>
              <w:left w:val="nil"/>
              <w:bottom w:val="single" w:sz="4" w:space="0" w:color="auto"/>
              <w:right w:val="single" w:sz="4" w:space="0" w:color="auto"/>
            </w:tcBorders>
            <w:shd w:val="clear" w:color="000000" w:fill="E7E6E6"/>
            <w:noWrap/>
            <w:vAlign w:val="bottom"/>
            <w:hideMark/>
          </w:tcPr>
          <w:p w14:paraId="09DF16A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0.1233</w:t>
            </w:r>
          </w:p>
        </w:tc>
        <w:tc>
          <w:tcPr>
            <w:tcW w:w="737" w:type="dxa"/>
            <w:tcBorders>
              <w:top w:val="nil"/>
              <w:left w:val="nil"/>
              <w:bottom w:val="single" w:sz="4" w:space="0" w:color="auto"/>
              <w:right w:val="single" w:sz="4" w:space="0" w:color="auto"/>
            </w:tcBorders>
            <w:shd w:val="clear" w:color="auto" w:fill="auto"/>
            <w:noWrap/>
            <w:vAlign w:val="bottom"/>
            <w:hideMark/>
          </w:tcPr>
          <w:p w14:paraId="4E7452D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0.0617</w:t>
            </w:r>
          </w:p>
        </w:tc>
        <w:tc>
          <w:tcPr>
            <w:tcW w:w="927" w:type="dxa"/>
            <w:tcBorders>
              <w:top w:val="nil"/>
              <w:left w:val="nil"/>
              <w:bottom w:val="single" w:sz="4" w:space="0" w:color="auto"/>
              <w:right w:val="single" w:sz="4" w:space="0" w:color="auto"/>
            </w:tcBorders>
            <w:shd w:val="clear" w:color="000000" w:fill="E7E6E6"/>
            <w:noWrap/>
            <w:vAlign w:val="bottom"/>
            <w:hideMark/>
          </w:tcPr>
          <w:p w14:paraId="5F9AE3F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0.0615</w:t>
            </w:r>
          </w:p>
        </w:tc>
      </w:tr>
      <w:tr w:rsidR="0004421D" w:rsidRPr="00CD306D" w14:paraId="5A1D7A00"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C92A2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 403 to 520 MHz</w:t>
            </w:r>
          </w:p>
        </w:tc>
        <w:tc>
          <w:tcPr>
            <w:tcW w:w="737" w:type="dxa"/>
            <w:tcBorders>
              <w:top w:val="nil"/>
              <w:left w:val="nil"/>
              <w:bottom w:val="single" w:sz="4" w:space="0" w:color="auto"/>
              <w:right w:val="single" w:sz="4" w:space="0" w:color="auto"/>
            </w:tcBorders>
            <w:shd w:val="clear" w:color="auto" w:fill="auto"/>
            <w:noWrap/>
            <w:vAlign w:val="bottom"/>
            <w:hideMark/>
          </w:tcPr>
          <w:p w14:paraId="31641D0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2.8295</w:t>
            </w:r>
          </w:p>
        </w:tc>
        <w:tc>
          <w:tcPr>
            <w:tcW w:w="927" w:type="dxa"/>
            <w:tcBorders>
              <w:top w:val="nil"/>
              <w:left w:val="nil"/>
              <w:bottom w:val="single" w:sz="4" w:space="0" w:color="auto"/>
              <w:right w:val="single" w:sz="4" w:space="0" w:color="auto"/>
            </w:tcBorders>
            <w:shd w:val="clear" w:color="000000" w:fill="E7E6E6"/>
            <w:noWrap/>
            <w:vAlign w:val="bottom"/>
            <w:hideMark/>
          </w:tcPr>
          <w:p w14:paraId="68BA41C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2.8210</w:t>
            </w:r>
          </w:p>
        </w:tc>
        <w:tc>
          <w:tcPr>
            <w:tcW w:w="737" w:type="dxa"/>
            <w:tcBorders>
              <w:top w:val="nil"/>
              <w:left w:val="nil"/>
              <w:bottom w:val="single" w:sz="4" w:space="0" w:color="auto"/>
              <w:right w:val="single" w:sz="4" w:space="0" w:color="auto"/>
            </w:tcBorders>
            <w:shd w:val="clear" w:color="auto" w:fill="auto"/>
            <w:noWrap/>
            <w:vAlign w:val="bottom"/>
            <w:hideMark/>
          </w:tcPr>
          <w:p w14:paraId="4C794308"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2.0970</w:t>
            </w:r>
          </w:p>
        </w:tc>
        <w:tc>
          <w:tcPr>
            <w:tcW w:w="927" w:type="dxa"/>
            <w:tcBorders>
              <w:top w:val="nil"/>
              <w:left w:val="nil"/>
              <w:bottom w:val="single" w:sz="4" w:space="0" w:color="auto"/>
              <w:right w:val="single" w:sz="4" w:space="0" w:color="auto"/>
            </w:tcBorders>
            <w:shd w:val="clear" w:color="000000" w:fill="E7E6E6"/>
            <w:noWrap/>
            <w:vAlign w:val="bottom"/>
            <w:hideMark/>
          </w:tcPr>
          <w:p w14:paraId="630D736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2.0906</w:t>
            </w:r>
          </w:p>
        </w:tc>
        <w:tc>
          <w:tcPr>
            <w:tcW w:w="737" w:type="dxa"/>
            <w:tcBorders>
              <w:top w:val="nil"/>
              <w:left w:val="nil"/>
              <w:bottom w:val="single" w:sz="4" w:space="0" w:color="auto"/>
              <w:right w:val="single" w:sz="4" w:space="0" w:color="auto"/>
            </w:tcBorders>
            <w:shd w:val="clear" w:color="auto" w:fill="auto"/>
            <w:noWrap/>
            <w:vAlign w:val="bottom"/>
            <w:hideMark/>
          </w:tcPr>
          <w:p w14:paraId="16112D08"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0.7249</w:t>
            </w:r>
          </w:p>
        </w:tc>
        <w:tc>
          <w:tcPr>
            <w:tcW w:w="927" w:type="dxa"/>
            <w:tcBorders>
              <w:top w:val="nil"/>
              <w:left w:val="nil"/>
              <w:bottom w:val="single" w:sz="4" w:space="0" w:color="auto"/>
              <w:right w:val="single" w:sz="4" w:space="0" w:color="auto"/>
            </w:tcBorders>
            <w:shd w:val="clear" w:color="000000" w:fill="E7E6E6"/>
            <w:noWrap/>
            <w:vAlign w:val="bottom"/>
            <w:hideMark/>
          </w:tcPr>
          <w:p w14:paraId="2BF953F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0.7227</w:t>
            </w:r>
          </w:p>
        </w:tc>
        <w:tc>
          <w:tcPr>
            <w:tcW w:w="737" w:type="dxa"/>
            <w:tcBorders>
              <w:top w:val="nil"/>
              <w:left w:val="nil"/>
              <w:bottom w:val="single" w:sz="4" w:space="0" w:color="auto"/>
              <w:right w:val="single" w:sz="4" w:space="0" w:color="auto"/>
            </w:tcBorders>
            <w:shd w:val="clear" w:color="auto" w:fill="auto"/>
            <w:noWrap/>
            <w:vAlign w:val="bottom"/>
            <w:hideMark/>
          </w:tcPr>
          <w:p w14:paraId="1717E0B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0.1236</w:t>
            </w:r>
          </w:p>
        </w:tc>
        <w:tc>
          <w:tcPr>
            <w:tcW w:w="927" w:type="dxa"/>
            <w:tcBorders>
              <w:top w:val="nil"/>
              <w:left w:val="nil"/>
              <w:bottom w:val="single" w:sz="4" w:space="0" w:color="auto"/>
              <w:right w:val="single" w:sz="4" w:space="0" w:color="auto"/>
            </w:tcBorders>
            <w:shd w:val="clear" w:color="000000" w:fill="E7E6E6"/>
            <w:noWrap/>
            <w:vAlign w:val="bottom"/>
            <w:hideMark/>
          </w:tcPr>
          <w:p w14:paraId="0A146AC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0.1233</w:t>
            </w:r>
          </w:p>
        </w:tc>
        <w:tc>
          <w:tcPr>
            <w:tcW w:w="737" w:type="dxa"/>
            <w:tcBorders>
              <w:top w:val="nil"/>
              <w:left w:val="nil"/>
              <w:bottom w:val="single" w:sz="4" w:space="0" w:color="auto"/>
              <w:right w:val="single" w:sz="4" w:space="0" w:color="auto"/>
            </w:tcBorders>
            <w:shd w:val="clear" w:color="auto" w:fill="auto"/>
            <w:noWrap/>
            <w:vAlign w:val="bottom"/>
            <w:hideMark/>
          </w:tcPr>
          <w:p w14:paraId="4C50304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0.0000</w:t>
            </w:r>
          </w:p>
        </w:tc>
        <w:tc>
          <w:tcPr>
            <w:tcW w:w="927" w:type="dxa"/>
            <w:tcBorders>
              <w:top w:val="nil"/>
              <w:left w:val="nil"/>
              <w:bottom w:val="single" w:sz="4" w:space="0" w:color="auto"/>
              <w:right w:val="single" w:sz="4" w:space="0" w:color="auto"/>
            </w:tcBorders>
            <w:shd w:val="clear" w:color="000000" w:fill="E7E6E6"/>
            <w:noWrap/>
            <w:vAlign w:val="bottom"/>
            <w:hideMark/>
          </w:tcPr>
          <w:p w14:paraId="3B58D62E"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0.0000</w:t>
            </w:r>
          </w:p>
        </w:tc>
      </w:tr>
      <w:tr w:rsidR="0004421D" w:rsidRPr="00CD306D" w14:paraId="288F07A8"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DE434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 520 to 960 MHz</w:t>
            </w:r>
          </w:p>
        </w:tc>
        <w:tc>
          <w:tcPr>
            <w:tcW w:w="737" w:type="dxa"/>
            <w:tcBorders>
              <w:top w:val="nil"/>
              <w:left w:val="nil"/>
              <w:bottom w:val="single" w:sz="4" w:space="0" w:color="auto"/>
              <w:right w:val="single" w:sz="4" w:space="0" w:color="auto"/>
            </w:tcBorders>
            <w:shd w:val="clear" w:color="auto" w:fill="auto"/>
            <w:noWrap/>
            <w:vAlign w:val="bottom"/>
            <w:hideMark/>
          </w:tcPr>
          <w:p w14:paraId="64C8604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2.8295</w:t>
            </w:r>
          </w:p>
        </w:tc>
        <w:tc>
          <w:tcPr>
            <w:tcW w:w="927" w:type="dxa"/>
            <w:tcBorders>
              <w:top w:val="nil"/>
              <w:left w:val="nil"/>
              <w:bottom w:val="single" w:sz="4" w:space="0" w:color="auto"/>
              <w:right w:val="single" w:sz="4" w:space="0" w:color="auto"/>
            </w:tcBorders>
            <w:shd w:val="clear" w:color="000000" w:fill="E7E6E6"/>
            <w:noWrap/>
            <w:vAlign w:val="bottom"/>
            <w:hideMark/>
          </w:tcPr>
          <w:p w14:paraId="76232B7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2.8210</w:t>
            </w:r>
          </w:p>
        </w:tc>
        <w:tc>
          <w:tcPr>
            <w:tcW w:w="737" w:type="dxa"/>
            <w:tcBorders>
              <w:top w:val="nil"/>
              <w:left w:val="nil"/>
              <w:bottom w:val="single" w:sz="4" w:space="0" w:color="auto"/>
              <w:right w:val="single" w:sz="4" w:space="0" w:color="auto"/>
            </w:tcBorders>
            <w:shd w:val="clear" w:color="auto" w:fill="auto"/>
            <w:noWrap/>
            <w:vAlign w:val="bottom"/>
            <w:hideMark/>
          </w:tcPr>
          <w:p w14:paraId="3E471E4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1.5845</w:t>
            </w:r>
          </w:p>
        </w:tc>
        <w:tc>
          <w:tcPr>
            <w:tcW w:w="927" w:type="dxa"/>
            <w:tcBorders>
              <w:top w:val="nil"/>
              <w:left w:val="nil"/>
              <w:bottom w:val="single" w:sz="4" w:space="0" w:color="auto"/>
              <w:right w:val="single" w:sz="4" w:space="0" w:color="auto"/>
            </w:tcBorders>
            <w:shd w:val="clear" w:color="000000" w:fill="E7E6E6"/>
            <w:noWrap/>
            <w:vAlign w:val="bottom"/>
            <w:hideMark/>
          </w:tcPr>
          <w:p w14:paraId="4960ECC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1.5797</w:t>
            </w:r>
          </w:p>
        </w:tc>
        <w:tc>
          <w:tcPr>
            <w:tcW w:w="737" w:type="dxa"/>
            <w:tcBorders>
              <w:top w:val="nil"/>
              <w:left w:val="nil"/>
              <w:bottom w:val="single" w:sz="4" w:space="0" w:color="auto"/>
              <w:right w:val="single" w:sz="4" w:space="0" w:color="auto"/>
            </w:tcBorders>
            <w:shd w:val="clear" w:color="auto" w:fill="auto"/>
            <w:noWrap/>
            <w:vAlign w:val="bottom"/>
            <w:hideMark/>
          </w:tcPr>
          <w:p w14:paraId="26691CA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0.7249</w:t>
            </w:r>
          </w:p>
        </w:tc>
        <w:tc>
          <w:tcPr>
            <w:tcW w:w="927" w:type="dxa"/>
            <w:tcBorders>
              <w:top w:val="nil"/>
              <w:left w:val="nil"/>
              <w:bottom w:val="single" w:sz="4" w:space="0" w:color="auto"/>
              <w:right w:val="single" w:sz="4" w:space="0" w:color="auto"/>
            </w:tcBorders>
            <w:shd w:val="clear" w:color="000000" w:fill="E7E6E6"/>
            <w:noWrap/>
            <w:vAlign w:val="bottom"/>
            <w:hideMark/>
          </w:tcPr>
          <w:p w14:paraId="297C5A7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0.7227</w:t>
            </w:r>
          </w:p>
        </w:tc>
        <w:tc>
          <w:tcPr>
            <w:tcW w:w="737" w:type="dxa"/>
            <w:tcBorders>
              <w:top w:val="nil"/>
              <w:left w:val="nil"/>
              <w:bottom w:val="single" w:sz="4" w:space="0" w:color="auto"/>
              <w:right w:val="single" w:sz="4" w:space="0" w:color="auto"/>
            </w:tcBorders>
            <w:shd w:val="clear" w:color="auto" w:fill="auto"/>
            <w:noWrap/>
            <w:vAlign w:val="bottom"/>
            <w:hideMark/>
          </w:tcPr>
          <w:p w14:paraId="22A7DC2E"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0.1236</w:t>
            </w:r>
          </w:p>
        </w:tc>
        <w:tc>
          <w:tcPr>
            <w:tcW w:w="927" w:type="dxa"/>
            <w:tcBorders>
              <w:top w:val="nil"/>
              <w:left w:val="nil"/>
              <w:bottom w:val="single" w:sz="4" w:space="0" w:color="auto"/>
              <w:right w:val="single" w:sz="4" w:space="0" w:color="auto"/>
            </w:tcBorders>
            <w:shd w:val="clear" w:color="000000" w:fill="E7E6E6"/>
            <w:noWrap/>
            <w:vAlign w:val="bottom"/>
            <w:hideMark/>
          </w:tcPr>
          <w:p w14:paraId="1CB68CB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0.1233</w:t>
            </w:r>
          </w:p>
        </w:tc>
        <w:tc>
          <w:tcPr>
            <w:tcW w:w="737" w:type="dxa"/>
            <w:tcBorders>
              <w:top w:val="nil"/>
              <w:left w:val="nil"/>
              <w:bottom w:val="single" w:sz="4" w:space="0" w:color="auto"/>
              <w:right w:val="single" w:sz="4" w:space="0" w:color="auto"/>
            </w:tcBorders>
            <w:shd w:val="clear" w:color="auto" w:fill="auto"/>
            <w:noWrap/>
            <w:vAlign w:val="bottom"/>
            <w:hideMark/>
          </w:tcPr>
          <w:p w14:paraId="2241A85E"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0.0617</w:t>
            </w:r>
          </w:p>
        </w:tc>
        <w:tc>
          <w:tcPr>
            <w:tcW w:w="927" w:type="dxa"/>
            <w:tcBorders>
              <w:top w:val="nil"/>
              <w:left w:val="nil"/>
              <w:bottom w:val="single" w:sz="4" w:space="0" w:color="auto"/>
              <w:right w:val="single" w:sz="4" w:space="0" w:color="auto"/>
            </w:tcBorders>
            <w:shd w:val="clear" w:color="000000" w:fill="E7E6E6"/>
            <w:noWrap/>
            <w:vAlign w:val="bottom"/>
            <w:hideMark/>
          </w:tcPr>
          <w:p w14:paraId="4BE4EE19"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0.0615</w:t>
            </w:r>
          </w:p>
        </w:tc>
      </w:tr>
      <w:tr w:rsidR="0004421D" w:rsidRPr="00CD306D" w14:paraId="5D5F8C0E"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22571F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&gt;960 to 2,690 MHz</w:t>
            </w:r>
          </w:p>
        </w:tc>
        <w:tc>
          <w:tcPr>
            <w:tcW w:w="737" w:type="dxa"/>
            <w:tcBorders>
              <w:top w:val="nil"/>
              <w:left w:val="nil"/>
              <w:bottom w:val="single" w:sz="4" w:space="0" w:color="auto"/>
              <w:right w:val="single" w:sz="4" w:space="0" w:color="auto"/>
            </w:tcBorders>
            <w:shd w:val="clear" w:color="auto" w:fill="auto"/>
            <w:noWrap/>
            <w:vAlign w:val="bottom"/>
            <w:hideMark/>
          </w:tcPr>
          <w:p w14:paraId="419160C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2.8252</w:t>
            </w:r>
          </w:p>
        </w:tc>
        <w:tc>
          <w:tcPr>
            <w:tcW w:w="927" w:type="dxa"/>
            <w:tcBorders>
              <w:top w:val="nil"/>
              <w:left w:val="nil"/>
              <w:bottom w:val="single" w:sz="4" w:space="0" w:color="auto"/>
              <w:right w:val="single" w:sz="4" w:space="0" w:color="auto"/>
            </w:tcBorders>
            <w:shd w:val="clear" w:color="000000" w:fill="E7E6E6"/>
            <w:noWrap/>
            <w:vAlign w:val="bottom"/>
            <w:hideMark/>
          </w:tcPr>
          <w:p w14:paraId="013A828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2.8167</w:t>
            </w:r>
          </w:p>
        </w:tc>
        <w:tc>
          <w:tcPr>
            <w:tcW w:w="737" w:type="dxa"/>
            <w:tcBorders>
              <w:top w:val="nil"/>
              <w:left w:val="nil"/>
              <w:bottom w:val="single" w:sz="4" w:space="0" w:color="auto"/>
              <w:right w:val="single" w:sz="4" w:space="0" w:color="auto"/>
            </w:tcBorders>
            <w:shd w:val="clear" w:color="auto" w:fill="auto"/>
            <w:noWrap/>
            <w:vAlign w:val="bottom"/>
            <w:hideMark/>
          </w:tcPr>
          <w:p w14:paraId="3CAED69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0.6341</w:t>
            </w:r>
          </w:p>
        </w:tc>
        <w:tc>
          <w:tcPr>
            <w:tcW w:w="927" w:type="dxa"/>
            <w:tcBorders>
              <w:top w:val="nil"/>
              <w:left w:val="nil"/>
              <w:bottom w:val="single" w:sz="4" w:space="0" w:color="auto"/>
              <w:right w:val="single" w:sz="4" w:space="0" w:color="auto"/>
            </w:tcBorders>
            <w:shd w:val="clear" w:color="000000" w:fill="E7E6E6"/>
            <w:noWrap/>
            <w:vAlign w:val="bottom"/>
            <w:hideMark/>
          </w:tcPr>
          <w:p w14:paraId="1A6ABB9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0.6322</w:t>
            </w:r>
          </w:p>
        </w:tc>
        <w:tc>
          <w:tcPr>
            <w:tcW w:w="737" w:type="dxa"/>
            <w:tcBorders>
              <w:top w:val="nil"/>
              <w:left w:val="nil"/>
              <w:bottom w:val="single" w:sz="4" w:space="0" w:color="auto"/>
              <w:right w:val="single" w:sz="4" w:space="0" w:color="auto"/>
            </w:tcBorders>
            <w:shd w:val="clear" w:color="auto" w:fill="auto"/>
            <w:noWrap/>
            <w:vAlign w:val="bottom"/>
            <w:hideMark/>
          </w:tcPr>
          <w:p w14:paraId="0BAA79C7"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0.2931</w:t>
            </w:r>
          </w:p>
        </w:tc>
        <w:tc>
          <w:tcPr>
            <w:tcW w:w="927" w:type="dxa"/>
            <w:tcBorders>
              <w:top w:val="nil"/>
              <w:left w:val="nil"/>
              <w:bottom w:val="single" w:sz="4" w:space="0" w:color="auto"/>
              <w:right w:val="single" w:sz="4" w:space="0" w:color="auto"/>
            </w:tcBorders>
            <w:shd w:val="clear" w:color="000000" w:fill="E7E6E6"/>
            <w:noWrap/>
            <w:vAlign w:val="bottom"/>
            <w:hideMark/>
          </w:tcPr>
          <w:p w14:paraId="260E817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0.2923</w:t>
            </w:r>
          </w:p>
        </w:tc>
        <w:tc>
          <w:tcPr>
            <w:tcW w:w="737" w:type="dxa"/>
            <w:tcBorders>
              <w:top w:val="nil"/>
              <w:left w:val="nil"/>
              <w:bottom w:val="single" w:sz="4" w:space="0" w:color="auto"/>
              <w:right w:val="single" w:sz="4" w:space="0" w:color="auto"/>
            </w:tcBorders>
            <w:shd w:val="clear" w:color="auto" w:fill="auto"/>
            <w:noWrap/>
            <w:vAlign w:val="bottom"/>
            <w:hideMark/>
          </w:tcPr>
          <w:p w14:paraId="15887DB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0.1474</w:t>
            </w:r>
          </w:p>
        </w:tc>
        <w:tc>
          <w:tcPr>
            <w:tcW w:w="927" w:type="dxa"/>
            <w:tcBorders>
              <w:top w:val="nil"/>
              <w:left w:val="nil"/>
              <w:bottom w:val="single" w:sz="4" w:space="0" w:color="auto"/>
              <w:right w:val="single" w:sz="4" w:space="0" w:color="auto"/>
            </w:tcBorders>
            <w:shd w:val="clear" w:color="000000" w:fill="E7E6E6"/>
            <w:noWrap/>
            <w:vAlign w:val="bottom"/>
            <w:hideMark/>
          </w:tcPr>
          <w:p w14:paraId="304C32D2"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0.1470</w:t>
            </w:r>
          </w:p>
        </w:tc>
        <w:tc>
          <w:tcPr>
            <w:tcW w:w="737" w:type="dxa"/>
            <w:tcBorders>
              <w:top w:val="nil"/>
              <w:left w:val="nil"/>
              <w:bottom w:val="single" w:sz="4" w:space="0" w:color="auto"/>
              <w:right w:val="single" w:sz="4" w:space="0" w:color="auto"/>
            </w:tcBorders>
            <w:shd w:val="clear" w:color="auto" w:fill="auto"/>
            <w:noWrap/>
            <w:vAlign w:val="bottom"/>
            <w:hideMark/>
          </w:tcPr>
          <w:p w14:paraId="76466B7E"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0.0736</w:t>
            </w:r>
          </w:p>
        </w:tc>
        <w:tc>
          <w:tcPr>
            <w:tcW w:w="927" w:type="dxa"/>
            <w:tcBorders>
              <w:top w:val="nil"/>
              <w:left w:val="nil"/>
              <w:bottom w:val="single" w:sz="4" w:space="0" w:color="auto"/>
              <w:right w:val="single" w:sz="4" w:space="0" w:color="auto"/>
            </w:tcBorders>
            <w:shd w:val="clear" w:color="000000" w:fill="E7E6E6"/>
            <w:noWrap/>
            <w:vAlign w:val="bottom"/>
            <w:hideMark/>
          </w:tcPr>
          <w:p w14:paraId="0696AC6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0.0733</w:t>
            </w:r>
          </w:p>
        </w:tc>
      </w:tr>
      <w:tr w:rsidR="0004421D" w:rsidRPr="00CD306D" w14:paraId="03E4A7CB"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58CE33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&gt;2.69 to 5.0 GHz</w:t>
            </w:r>
          </w:p>
        </w:tc>
        <w:tc>
          <w:tcPr>
            <w:tcW w:w="737" w:type="dxa"/>
            <w:tcBorders>
              <w:top w:val="nil"/>
              <w:left w:val="nil"/>
              <w:bottom w:val="single" w:sz="4" w:space="0" w:color="auto"/>
              <w:right w:val="single" w:sz="4" w:space="0" w:color="auto"/>
            </w:tcBorders>
            <w:shd w:val="clear" w:color="auto" w:fill="auto"/>
            <w:noWrap/>
            <w:vAlign w:val="bottom"/>
            <w:hideMark/>
          </w:tcPr>
          <w:p w14:paraId="78F628B8"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2.8221</w:t>
            </w:r>
          </w:p>
        </w:tc>
        <w:tc>
          <w:tcPr>
            <w:tcW w:w="927" w:type="dxa"/>
            <w:tcBorders>
              <w:top w:val="nil"/>
              <w:left w:val="nil"/>
              <w:bottom w:val="single" w:sz="4" w:space="0" w:color="auto"/>
              <w:right w:val="single" w:sz="4" w:space="0" w:color="auto"/>
            </w:tcBorders>
            <w:shd w:val="clear" w:color="000000" w:fill="E7E6E6"/>
            <w:noWrap/>
            <w:vAlign w:val="bottom"/>
            <w:hideMark/>
          </w:tcPr>
          <w:p w14:paraId="1685165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2.8136</w:t>
            </w:r>
          </w:p>
        </w:tc>
        <w:tc>
          <w:tcPr>
            <w:tcW w:w="737" w:type="dxa"/>
            <w:tcBorders>
              <w:top w:val="nil"/>
              <w:left w:val="nil"/>
              <w:bottom w:val="single" w:sz="4" w:space="0" w:color="auto"/>
              <w:right w:val="single" w:sz="4" w:space="0" w:color="auto"/>
            </w:tcBorders>
            <w:shd w:val="clear" w:color="auto" w:fill="auto"/>
            <w:noWrap/>
            <w:vAlign w:val="bottom"/>
            <w:hideMark/>
          </w:tcPr>
          <w:p w14:paraId="0AB6552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0.5243</w:t>
            </w:r>
          </w:p>
        </w:tc>
        <w:tc>
          <w:tcPr>
            <w:tcW w:w="927" w:type="dxa"/>
            <w:tcBorders>
              <w:top w:val="nil"/>
              <w:left w:val="nil"/>
              <w:bottom w:val="single" w:sz="4" w:space="0" w:color="auto"/>
              <w:right w:val="single" w:sz="4" w:space="0" w:color="auto"/>
            </w:tcBorders>
            <w:shd w:val="clear" w:color="000000" w:fill="E7E6E6"/>
            <w:noWrap/>
            <w:vAlign w:val="bottom"/>
            <w:hideMark/>
          </w:tcPr>
          <w:p w14:paraId="0FEE963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0.5227</w:t>
            </w:r>
          </w:p>
        </w:tc>
        <w:tc>
          <w:tcPr>
            <w:tcW w:w="737" w:type="dxa"/>
            <w:tcBorders>
              <w:top w:val="nil"/>
              <w:left w:val="nil"/>
              <w:bottom w:val="single" w:sz="4" w:space="0" w:color="auto"/>
              <w:right w:val="single" w:sz="4" w:space="0" w:color="auto"/>
            </w:tcBorders>
            <w:shd w:val="clear" w:color="auto" w:fill="auto"/>
            <w:noWrap/>
            <w:vAlign w:val="bottom"/>
            <w:hideMark/>
          </w:tcPr>
          <w:p w14:paraId="4F04660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0.2125</w:t>
            </w:r>
          </w:p>
        </w:tc>
        <w:tc>
          <w:tcPr>
            <w:tcW w:w="927" w:type="dxa"/>
            <w:tcBorders>
              <w:top w:val="nil"/>
              <w:left w:val="nil"/>
              <w:bottom w:val="single" w:sz="4" w:space="0" w:color="auto"/>
              <w:right w:val="single" w:sz="4" w:space="0" w:color="auto"/>
            </w:tcBorders>
            <w:shd w:val="clear" w:color="000000" w:fill="E7E6E6"/>
            <w:noWrap/>
            <w:vAlign w:val="bottom"/>
            <w:hideMark/>
          </w:tcPr>
          <w:p w14:paraId="76CC373F"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0.2119</w:t>
            </w:r>
          </w:p>
        </w:tc>
        <w:tc>
          <w:tcPr>
            <w:tcW w:w="737" w:type="dxa"/>
            <w:tcBorders>
              <w:top w:val="nil"/>
              <w:left w:val="nil"/>
              <w:bottom w:val="single" w:sz="4" w:space="0" w:color="auto"/>
              <w:right w:val="single" w:sz="4" w:space="0" w:color="auto"/>
            </w:tcBorders>
            <w:shd w:val="clear" w:color="auto" w:fill="auto"/>
            <w:noWrap/>
            <w:vAlign w:val="bottom"/>
            <w:hideMark/>
          </w:tcPr>
          <w:p w14:paraId="1370580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0.1760</w:t>
            </w:r>
          </w:p>
        </w:tc>
        <w:tc>
          <w:tcPr>
            <w:tcW w:w="927" w:type="dxa"/>
            <w:tcBorders>
              <w:top w:val="nil"/>
              <w:left w:val="nil"/>
              <w:bottom w:val="single" w:sz="4" w:space="0" w:color="auto"/>
              <w:right w:val="single" w:sz="4" w:space="0" w:color="auto"/>
            </w:tcBorders>
            <w:shd w:val="clear" w:color="000000" w:fill="E7E6E6"/>
            <w:noWrap/>
            <w:vAlign w:val="bottom"/>
            <w:hideMark/>
          </w:tcPr>
          <w:p w14:paraId="57ED22C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0.1755</w:t>
            </w:r>
          </w:p>
        </w:tc>
        <w:tc>
          <w:tcPr>
            <w:tcW w:w="737" w:type="dxa"/>
            <w:tcBorders>
              <w:top w:val="nil"/>
              <w:left w:val="nil"/>
              <w:bottom w:val="single" w:sz="4" w:space="0" w:color="auto"/>
              <w:right w:val="single" w:sz="4" w:space="0" w:color="auto"/>
            </w:tcBorders>
            <w:shd w:val="clear" w:color="auto" w:fill="auto"/>
            <w:noWrap/>
            <w:vAlign w:val="bottom"/>
            <w:hideMark/>
          </w:tcPr>
          <w:p w14:paraId="3F5B6B1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0.0880</w:t>
            </w:r>
          </w:p>
        </w:tc>
        <w:tc>
          <w:tcPr>
            <w:tcW w:w="927" w:type="dxa"/>
            <w:tcBorders>
              <w:top w:val="nil"/>
              <w:left w:val="nil"/>
              <w:bottom w:val="single" w:sz="4" w:space="0" w:color="auto"/>
              <w:right w:val="single" w:sz="4" w:space="0" w:color="auto"/>
            </w:tcBorders>
            <w:shd w:val="clear" w:color="000000" w:fill="E7E6E6"/>
            <w:noWrap/>
            <w:vAlign w:val="bottom"/>
            <w:hideMark/>
          </w:tcPr>
          <w:p w14:paraId="3128C39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0.0877</w:t>
            </w:r>
          </w:p>
        </w:tc>
      </w:tr>
      <w:tr w:rsidR="0004421D" w:rsidRPr="00CD306D" w14:paraId="6EA01B45"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05B6B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&gt;5.0 to 8.5 GHz</w:t>
            </w:r>
          </w:p>
        </w:tc>
        <w:tc>
          <w:tcPr>
            <w:tcW w:w="737" w:type="dxa"/>
            <w:tcBorders>
              <w:top w:val="nil"/>
              <w:left w:val="nil"/>
              <w:bottom w:val="single" w:sz="4" w:space="0" w:color="auto"/>
              <w:right w:val="single" w:sz="4" w:space="0" w:color="auto"/>
            </w:tcBorders>
            <w:shd w:val="clear" w:color="auto" w:fill="auto"/>
            <w:noWrap/>
            <w:vAlign w:val="bottom"/>
            <w:hideMark/>
          </w:tcPr>
          <w:p w14:paraId="5440600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2.3827</w:t>
            </w:r>
          </w:p>
        </w:tc>
        <w:tc>
          <w:tcPr>
            <w:tcW w:w="927" w:type="dxa"/>
            <w:tcBorders>
              <w:top w:val="nil"/>
              <w:left w:val="nil"/>
              <w:bottom w:val="single" w:sz="4" w:space="0" w:color="auto"/>
              <w:right w:val="single" w:sz="4" w:space="0" w:color="auto"/>
            </w:tcBorders>
            <w:shd w:val="clear" w:color="000000" w:fill="E7E6E6"/>
            <w:noWrap/>
            <w:vAlign w:val="bottom"/>
            <w:hideMark/>
          </w:tcPr>
          <w:p w14:paraId="44AFDD3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1.7817</w:t>
            </w:r>
          </w:p>
        </w:tc>
        <w:tc>
          <w:tcPr>
            <w:tcW w:w="737" w:type="dxa"/>
            <w:tcBorders>
              <w:top w:val="nil"/>
              <w:left w:val="nil"/>
              <w:bottom w:val="single" w:sz="4" w:space="0" w:color="auto"/>
              <w:right w:val="single" w:sz="4" w:space="0" w:color="auto"/>
            </w:tcBorders>
            <w:shd w:val="clear" w:color="auto" w:fill="auto"/>
            <w:noWrap/>
            <w:vAlign w:val="bottom"/>
            <w:hideMark/>
          </w:tcPr>
          <w:p w14:paraId="29C601B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0.4405</w:t>
            </w:r>
          </w:p>
        </w:tc>
        <w:tc>
          <w:tcPr>
            <w:tcW w:w="927" w:type="dxa"/>
            <w:tcBorders>
              <w:top w:val="nil"/>
              <w:left w:val="nil"/>
              <w:bottom w:val="single" w:sz="4" w:space="0" w:color="auto"/>
              <w:right w:val="single" w:sz="4" w:space="0" w:color="auto"/>
            </w:tcBorders>
            <w:shd w:val="clear" w:color="000000" w:fill="E7E6E6"/>
            <w:noWrap/>
            <w:vAlign w:val="bottom"/>
            <w:hideMark/>
          </w:tcPr>
          <w:p w14:paraId="2C3D6E14"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0.3294</w:t>
            </w:r>
          </w:p>
        </w:tc>
        <w:tc>
          <w:tcPr>
            <w:tcW w:w="737" w:type="dxa"/>
            <w:tcBorders>
              <w:top w:val="nil"/>
              <w:left w:val="nil"/>
              <w:bottom w:val="single" w:sz="4" w:space="0" w:color="auto"/>
              <w:right w:val="single" w:sz="4" w:space="0" w:color="auto"/>
            </w:tcBorders>
            <w:shd w:val="clear" w:color="auto" w:fill="auto"/>
            <w:noWrap/>
            <w:vAlign w:val="bottom"/>
            <w:hideMark/>
          </w:tcPr>
          <w:p w14:paraId="4BB4B481"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0.2051</w:t>
            </w:r>
          </w:p>
        </w:tc>
        <w:tc>
          <w:tcPr>
            <w:tcW w:w="927" w:type="dxa"/>
            <w:tcBorders>
              <w:top w:val="nil"/>
              <w:left w:val="nil"/>
              <w:bottom w:val="single" w:sz="4" w:space="0" w:color="auto"/>
              <w:right w:val="single" w:sz="4" w:space="0" w:color="auto"/>
            </w:tcBorders>
            <w:shd w:val="clear" w:color="000000" w:fill="E7E6E6"/>
            <w:noWrap/>
            <w:vAlign w:val="bottom"/>
            <w:hideMark/>
          </w:tcPr>
          <w:p w14:paraId="6E7D9E6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0.1534</w:t>
            </w:r>
          </w:p>
        </w:tc>
        <w:tc>
          <w:tcPr>
            <w:tcW w:w="737" w:type="dxa"/>
            <w:tcBorders>
              <w:top w:val="nil"/>
              <w:left w:val="nil"/>
              <w:bottom w:val="single" w:sz="4" w:space="0" w:color="auto"/>
              <w:right w:val="single" w:sz="4" w:space="0" w:color="auto"/>
            </w:tcBorders>
            <w:shd w:val="clear" w:color="auto" w:fill="auto"/>
            <w:noWrap/>
            <w:vAlign w:val="bottom"/>
            <w:hideMark/>
          </w:tcPr>
          <w:p w14:paraId="643240E3"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0.0934</w:t>
            </w:r>
          </w:p>
        </w:tc>
        <w:tc>
          <w:tcPr>
            <w:tcW w:w="927" w:type="dxa"/>
            <w:tcBorders>
              <w:top w:val="nil"/>
              <w:left w:val="nil"/>
              <w:bottom w:val="single" w:sz="4" w:space="0" w:color="auto"/>
              <w:right w:val="single" w:sz="4" w:space="0" w:color="auto"/>
            </w:tcBorders>
            <w:shd w:val="clear" w:color="000000" w:fill="E7E6E6"/>
            <w:noWrap/>
            <w:vAlign w:val="bottom"/>
            <w:hideMark/>
          </w:tcPr>
          <w:p w14:paraId="76F0274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0.0698</w:t>
            </w:r>
          </w:p>
        </w:tc>
        <w:tc>
          <w:tcPr>
            <w:tcW w:w="737" w:type="dxa"/>
            <w:tcBorders>
              <w:top w:val="nil"/>
              <w:left w:val="nil"/>
              <w:bottom w:val="single" w:sz="4" w:space="0" w:color="auto"/>
              <w:right w:val="single" w:sz="4" w:space="0" w:color="auto"/>
            </w:tcBorders>
            <w:shd w:val="clear" w:color="auto" w:fill="auto"/>
            <w:noWrap/>
            <w:vAlign w:val="bottom"/>
            <w:hideMark/>
          </w:tcPr>
          <w:p w14:paraId="7620587C"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0.0453</w:t>
            </w:r>
          </w:p>
        </w:tc>
        <w:tc>
          <w:tcPr>
            <w:tcW w:w="927" w:type="dxa"/>
            <w:tcBorders>
              <w:top w:val="nil"/>
              <w:left w:val="nil"/>
              <w:bottom w:val="single" w:sz="4" w:space="0" w:color="auto"/>
              <w:right w:val="single" w:sz="4" w:space="0" w:color="auto"/>
            </w:tcBorders>
            <w:shd w:val="clear" w:color="000000" w:fill="E7E6E6"/>
            <w:noWrap/>
            <w:vAlign w:val="bottom"/>
            <w:hideMark/>
          </w:tcPr>
          <w:p w14:paraId="51EF912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0.0339</w:t>
            </w:r>
          </w:p>
        </w:tc>
      </w:tr>
      <w:tr w:rsidR="0004421D" w:rsidRPr="00CD306D" w14:paraId="5CC03F00"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F431650" w14:textId="2D8F6ADB"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 xml:space="preserve">&gt;8.5 to </w:t>
            </w:r>
            <w:r w:rsidR="00B75185">
              <w:rPr>
                <w:rFonts w:cs="Arial"/>
                <w:color w:val="000000"/>
                <w:sz w:val="12"/>
                <w:szCs w:val="12"/>
              </w:rPr>
              <w:t>17.3</w:t>
            </w:r>
            <w:r w:rsidRPr="00CD306D">
              <w:rPr>
                <w:rFonts w:cs="Arial"/>
                <w:color w:val="000000"/>
                <w:sz w:val="12"/>
                <w:szCs w:val="12"/>
              </w:rPr>
              <w:t xml:space="preserve"> GHz</w:t>
            </w:r>
          </w:p>
        </w:tc>
        <w:tc>
          <w:tcPr>
            <w:tcW w:w="737" w:type="dxa"/>
            <w:tcBorders>
              <w:top w:val="nil"/>
              <w:left w:val="nil"/>
              <w:bottom w:val="single" w:sz="4" w:space="0" w:color="auto"/>
              <w:right w:val="single" w:sz="4" w:space="0" w:color="auto"/>
            </w:tcBorders>
            <w:shd w:val="clear" w:color="auto" w:fill="auto"/>
            <w:noWrap/>
            <w:vAlign w:val="bottom"/>
            <w:hideMark/>
          </w:tcPr>
          <w:p w14:paraId="1BBBB270"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1.0500</w:t>
            </w:r>
          </w:p>
        </w:tc>
        <w:tc>
          <w:tcPr>
            <w:tcW w:w="927" w:type="dxa"/>
            <w:tcBorders>
              <w:top w:val="nil"/>
              <w:left w:val="nil"/>
              <w:bottom w:val="single" w:sz="4" w:space="0" w:color="auto"/>
              <w:right w:val="single" w:sz="4" w:space="0" w:color="auto"/>
            </w:tcBorders>
            <w:shd w:val="clear" w:color="000000" w:fill="E7E6E6"/>
            <w:noWrap/>
            <w:vAlign w:val="bottom"/>
            <w:hideMark/>
          </w:tcPr>
          <w:p w14:paraId="0AB92F15"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0.5234</w:t>
            </w:r>
          </w:p>
        </w:tc>
        <w:tc>
          <w:tcPr>
            <w:tcW w:w="737" w:type="dxa"/>
            <w:tcBorders>
              <w:top w:val="nil"/>
              <w:left w:val="nil"/>
              <w:bottom w:val="single" w:sz="4" w:space="0" w:color="auto"/>
              <w:right w:val="single" w:sz="4" w:space="0" w:color="auto"/>
            </w:tcBorders>
            <w:shd w:val="clear" w:color="auto" w:fill="auto"/>
            <w:noWrap/>
            <w:vAlign w:val="bottom"/>
            <w:hideMark/>
          </w:tcPr>
          <w:p w14:paraId="7D4FFB89"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0.3780</w:t>
            </w:r>
          </w:p>
        </w:tc>
        <w:tc>
          <w:tcPr>
            <w:tcW w:w="927" w:type="dxa"/>
            <w:tcBorders>
              <w:top w:val="nil"/>
              <w:left w:val="nil"/>
              <w:bottom w:val="single" w:sz="4" w:space="0" w:color="auto"/>
              <w:right w:val="single" w:sz="4" w:space="0" w:color="auto"/>
            </w:tcBorders>
            <w:shd w:val="clear" w:color="000000" w:fill="E7E6E6"/>
            <w:noWrap/>
            <w:vAlign w:val="bottom"/>
            <w:hideMark/>
          </w:tcPr>
          <w:p w14:paraId="0071BED8"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0.1884</w:t>
            </w:r>
          </w:p>
        </w:tc>
        <w:tc>
          <w:tcPr>
            <w:tcW w:w="737" w:type="dxa"/>
            <w:tcBorders>
              <w:top w:val="nil"/>
              <w:left w:val="nil"/>
              <w:bottom w:val="single" w:sz="4" w:space="0" w:color="auto"/>
              <w:right w:val="single" w:sz="4" w:space="0" w:color="auto"/>
            </w:tcBorders>
            <w:shd w:val="clear" w:color="auto" w:fill="auto"/>
            <w:noWrap/>
            <w:vAlign w:val="bottom"/>
            <w:hideMark/>
          </w:tcPr>
          <w:p w14:paraId="26B3128D"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0.0894</w:t>
            </w:r>
          </w:p>
        </w:tc>
        <w:tc>
          <w:tcPr>
            <w:tcW w:w="927" w:type="dxa"/>
            <w:tcBorders>
              <w:top w:val="nil"/>
              <w:left w:val="nil"/>
              <w:bottom w:val="single" w:sz="4" w:space="0" w:color="auto"/>
              <w:right w:val="single" w:sz="4" w:space="0" w:color="auto"/>
            </w:tcBorders>
            <w:shd w:val="clear" w:color="000000" w:fill="E7E6E6"/>
            <w:noWrap/>
            <w:vAlign w:val="bottom"/>
            <w:hideMark/>
          </w:tcPr>
          <w:p w14:paraId="3EDB79E6"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0.0446</w:t>
            </w:r>
          </w:p>
        </w:tc>
        <w:tc>
          <w:tcPr>
            <w:tcW w:w="737" w:type="dxa"/>
            <w:tcBorders>
              <w:top w:val="nil"/>
              <w:left w:val="nil"/>
              <w:bottom w:val="single" w:sz="4" w:space="0" w:color="auto"/>
              <w:right w:val="single" w:sz="4" w:space="0" w:color="auto"/>
            </w:tcBorders>
            <w:shd w:val="clear" w:color="auto" w:fill="auto"/>
            <w:noWrap/>
            <w:vAlign w:val="bottom"/>
            <w:hideMark/>
          </w:tcPr>
          <w:p w14:paraId="04E04742"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0.0065</w:t>
            </w:r>
          </w:p>
        </w:tc>
        <w:tc>
          <w:tcPr>
            <w:tcW w:w="927" w:type="dxa"/>
            <w:tcBorders>
              <w:top w:val="nil"/>
              <w:left w:val="nil"/>
              <w:bottom w:val="single" w:sz="4" w:space="0" w:color="auto"/>
              <w:right w:val="single" w:sz="4" w:space="0" w:color="auto"/>
            </w:tcBorders>
            <w:shd w:val="clear" w:color="000000" w:fill="E7E6E6"/>
            <w:noWrap/>
            <w:vAlign w:val="bottom"/>
            <w:hideMark/>
          </w:tcPr>
          <w:p w14:paraId="2B1A70EA"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0.0032</w:t>
            </w:r>
          </w:p>
        </w:tc>
        <w:tc>
          <w:tcPr>
            <w:tcW w:w="737" w:type="dxa"/>
            <w:tcBorders>
              <w:top w:val="nil"/>
              <w:left w:val="nil"/>
              <w:bottom w:val="single" w:sz="4" w:space="0" w:color="auto"/>
              <w:right w:val="single" w:sz="4" w:space="0" w:color="auto"/>
            </w:tcBorders>
            <w:shd w:val="clear" w:color="auto" w:fill="auto"/>
            <w:noWrap/>
            <w:vAlign w:val="bottom"/>
            <w:hideMark/>
          </w:tcPr>
          <w:p w14:paraId="306A94D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0.0031</w:t>
            </w:r>
          </w:p>
        </w:tc>
        <w:tc>
          <w:tcPr>
            <w:tcW w:w="927" w:type="dxa"/>
            <w:tcBorders>
              <w:top w:val="nil"/>
              <w:left w:val="nil"/>
              <w:bottom w:val="single" w:sz="4" w:space="0" w:color="auto"/>
              <w:right w:val="single" w:sz="4" w:space="0" w:color="auto"/>
            </w:tcBorders>
            <w:shd w:val="clear" w:color="000000" w:fill="E7E6E6"/>
            <w:noWrap/>
            <w:vAlign w:val="bottom"/>
            <w:hideMark/>
          </w:tcPr>
          <w:p w14:paraId="03DD52DB" w14:textId="77777777" w:rsidR="00CD306D" w:rsidRPr="00CD306D" w:rsidRDefault="00CD306D" w:rsidP="00793A49">
            <w:pPr>
              <w:keepNext/>
              <w:keepLines/>
              <w:spacing w:after="0" w:line="240" w:lineRule="auto"/>
              <w:rPr>
                <w:rFonts w:cs="Arial"/>
                <w:color w:val="000000"/>
                <w:sz w:val="12"/>
                <w:szCs w:val="12"/>
              </w:rPr>
            </w:pPr>
            <w:r w:rsidRPr="00CD306D">
              <w:rPr>
                <w:rFonts w:cs="Arial"/>
                <w:color w:val="000000"/>
                <w:sz w:val="12"/>
                <w:szCs w:val="12"/>
              </w:rPr>
              <w:t>0.0016</w:t>
            </w:r>
          </w:p>
        </w:tc>
      </w:tr>
      <w:tr w:rsidR="0004421D" w:rsidRPr="00CD306D" w14:paraId="564A7DB0"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63DB99E" w14:textId="776CC57E"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&gt;</w:t>
            </w:r>
            <w:r w:rsidR="00B75185">
              <w:rPr>
                <w:rFonts w:cs="Arial"/>
                <w:color w:val="000000"/>
                <w:sz w:val="12"/>
                <w:szCs w:val="12"/>
              </w:rPr>
              <w:t>17.3</w:t>
            </w:r>
            <w:r w:rsidRPr="00CD306D">
              <w:rPr>
                <w:rFonts w:cs="Arial"/>
                <w:color w:val="000000"/>
                <w:sz w:val="12"/>
                <w:szCs w:val="12"/>
              </w:rPr>
              <w:t xml:space="preserve"> to 31.3 GHz</w:t>
            </w:r>
          </w:p>
        </w:tc>
        <w:tc>
          <w:tcPr>
            <w:tcW w:w="737" w:type="dxa"/>
            <w:tcBorders>
              <w:top w:val="nil"/>
              <w:left w:val="nil"/>
              <w:bottom w:val="single" w:sz="4" w:space="0" w:color="auto"/>
              <w:right w:val="single" w:sz="4" w:space="0" w:color="auto"/>
            </w:tcBorders>
            <w:shd w:val="clear" w:color="auto" w:fill="auto"/>
            <w:noWrap/>
            <w:vAlign w:val="bottom"/>
            <w:hideMark/>
          </w:tcPr>
          <w:p w14:paraId="1906BB57"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0.7350</w:t>
            </w:r>
          </w:p>
        </w:tc>
        <w:tc>
          <w:tcPr>
            <w:tcW w:w="927" w:type="dxa"/>
            <w:tcBorders>
              <w:top w:val="nil"/>
              <w:left w:val="nil"/>
              <w:bottom w:val="single" w:sz="4" w:space="0" w:color="auto"/>
              <w:right w:val="single" w:sz="4" w:space="0" w:color="auto"/>
            </w:tcBorders>
            <w:shd w:val="clear" w:color="000000" w:fill="E7E6E6"/>
            <w:noWrap/>
            <w:vAlign w:val="bottom"/>
            <w:hideMark/>
          </w:tcPr>
          <w:p w14:paraId="324DC363"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0.0733</w:t>
            </w:r>
          </w:p>
        </w:tc>
        <w:tc>
          <w:tcPr>
            <w:tcW w:w="737" w:type="dxa"/>
            <w:tcBorders>
              <w:top w:val="nil"/>
              <w:left w:val="nil"/>
              <w:bottom w:val="single" w:sz="4" w:space="0" w:color="auto"/>
              <w:right w:val="single" w:sz="4" w:space="0" w:color="auto"/>
            </w:tcBorders>
            <w:shd w:val="clear" w:color="auto" w:fill="auto"/>
            <w:noWrap/>
            <w:vAlign w:val="bottom"/>
            <w:hideMark/>
          </w:tcPr>
          <w:p w14:paraId="6C4D6B14"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0.1957</w:t>
            </w:r>
          </w:p>
        </w:tc>
        <w:tc>
          <w:tcPr>
            <w:tcW w:w="927" w:type="dxa"/>
            <w:tcBorders>
              <w:top w:val="nil"/>
              <w:left w:val="nil"/>
              <w:bottom w:val="single" w:sz="4" w:space="0" w:color="auto"/>
              <w:right w:val="single" w:sz="4" w:space="0" w:color="auto"/>
            </w:tcBorders>
            <w:shd w:val="clear" w:color="000000" w:fill="E7E6E6"/>
            <w:noWrap/>
            <w:vAlign w:val="bottom"/>
            <w:hideMark/>
          </w:tcPr>
          <w:p w14:paraId="7111CE5B"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0.0195</w:t>
            </w:r>
          </w:p>
        </w:tc>
        <w:tc>
          <w:tcPr>
            <w:tcW w:w="737" w:type="dxa"/>
            <w:tcBorders>
              <w:top w:val="nil"/>
              <w:left w:val="nil"/>
              <w:bottom w:val="single" w:sz="4" w:space="0" w:color="auto"/>
              <w:right w:val="single" w:sz="4" w:space="0" w:color="auto"/>
            </w:tcBorders>
            <w:shd w:val="clear" w:color="auto" w:fill="auto"/>
            <w:noWrap/>
            <w:vAlign w:val="bottom"/>
            <w:hideMark/>
          </w:tcPr>
          <w:p w14:paraId="53266F12"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0.0307</w:t>
            </w:r>
          </w:p>
        </w:tc>
        <w:tc>
          <w:tcPr>
            <w:tcW w:w="927" w:type="dxa"/>
            <w:tcBorders>
              <w:top w:val="nil"/>
              <w:left w:val="nil"/>
              <w:bottom w:val="single" w:sz="4" w:space="0" w:color="auto"/>
              <w:right w:val="single" w:sz="4" w:space="0" w:color="auto"/>
            </w:tcBorders>
            <w:shd w:val="clear" w:color="000000" w:fill="E7E6E6"/>
            <w:noWrap/>
            <w:vAlign w:val="bottom"/>
            <w:hideMark/>
          </w:tcPr>
          <w:p w14:paraId="047FE2AE"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0.0031</w:t>
            </w:r>
          </w:p>
        </w:tc>
        <w:tc>
          <w:tcPr>
            <w:tcW w:w="737" w:type="dxa"/>
            <w:tcBorders>
              <w:top w:val="nil"/>
              <w:left w:val="nil"/>
              <w:bottom w:val="single" w:sz="4" w:space="0" w:color="auto"/>
              <w:right w:val="single" w:sz="4" w:space="0" w:color="auto"/>
            </w:tcBorders>
            <w:shd w:val="clear" w:color="auto" w:fill="auto"/>
            <w:noWrap/>
            <w:vAlign w:val="bottom"/>
            <w:hideMark/>
          </w:tcPr>
          <w:p w14:paraId="3927D838"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0.0033</w:t>
            </w:r>
          </w:p>
        </w:tc>
        <w:tc>
          <w:tcPr>
            <w:tcW w:w="927" w:type="dxa"/>
            <w:tcBorders>
              <w:top w:val="nil"/>
              <w:left w:val="nil"/>
              <w:bottom w:val="single" w:sz="4" w:space="0" w:color="auto"/>
              <w:right w:val="single" w:sz="4" w:space="0" w:color="auto"/>
            </w:tcBorders>
            <w:shd w:val="clear" w:color="000000" w:fill="E7E6E6"/>
            <w:noWrap/>
            <w:vAlign w:val="bottom"/>
            <w:hideMark/>
          </w:tcPr>
          <w:p w14:paraId="489EC039"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0.0003</w:t>
            </w:r>
          </w:p>
        </w:tc>
        <w:tc>
          <w:tcPr>
            <w:tcW w:w="737" w:type="dxa"/>
            <w:tcBorders>
              <w:top w:val="nil"/>
              <w:left w:val="nil"/>
              <w:bottom w:val="single" w:sz="4" w:space="0" w:color="auto"/>
              <w:right w:val="single" w:sz="4" w:space="0" w:color="auto"/>
            </w:tcBorders>
            <w:shd w:val="clear" w:color="auto" w:fill="auto"/>
            <w:noWrap/>
            <w:vAlign w:val="bottom"/>
            <w:hideMark/>
          </w:tcPr>
          <w:p w14:paraId="0D41296B"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c>
          <w:tcPr>
            <w:tcW w:w="927" w:type="dxa"/>
            <w:tcBorders>
              <w:top w:val="nil"/>
              <w:left w:val="nil"/>
              <w:bottom w:val="single" w:sz="4" w:space="0" w:color="auto"/>
              <w:right w:val="single" w:sz="4" w:space="0" w:color="auto"/>
            </w:tcBorders>
            <w:shd w:val="clear" w:color="000000" w:fill="E7E6E6"/>
            <w:noWrap/>
            <w:vAlign w:val="bottom"/>
            <w:hideMark/>
          </w:tcPr>
          <w:p w14:paraId="17DEB821"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r>
      <w:tr w:rsidR="0004421D" w:rsidRPr="00CD306D" w14:paraId="0EB6C2FC"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2C4AF85"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&gt;31.3 to 51.4 GHz</w:t>
            </w:r>
          </w:p>
        </w:tc>
        <w:tc>
          <w:tcPr>
            <w:tcW w:w="737" w:type="dxa"/>
            <w:tcBorders>
              <w:top w:val="nil"/>
              <w:left w:val="nil"/>
              <w:bottom w:val="single" w:sz="4" w:space="0" w:color="auto"/>
              <w:right w:val="single" w:sz="4" w:space="0" w:color="auto"/>
            </w:tcBorders>
            <w:shd w:val="clear" w:color="auto" w:fill="auto"/>
            <w:noWrap/>
            <w:vAlign w:val="bottom"/>
            <w:hideMark/>
          </w:tcPr>
          <w:p w14:paraId="4E8E27FB"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0.2004</w:t>
            </w:r>
          </w:p>
        </w:tc>
        <w:tc>
          <w:tcPr>
            <w:tcW w:w="927" w:type="dxa"/>
            <w:tcBorders>
              <w:top w:val="nil"/>
              <w:left w:val="nil"/>
              <w:bottom w:val="single" w:sz="4" w:space="0" w:color="auto"/>
              <w:right w:val="single" w:sz="4" w:space="0" w:color="auto"/>
            </w:tcBorders>
            <w:shd w:val="clear" w:color="000000" w:fill="E7E6E6"/>
            <w:noWrap/>
            <w:vAlign w:val="bottom"/>
            <w:hideMark/>
          </w:tcPr>
          <w:p w14:paraId="3EA09789"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0.0200</w:t>
            </w:r>
          </w:p>
        </w:tc>
        <w:tc>
          <w:tcPr>
            <w:tcW w:w="737" w:type="dxa"/>
            <w:tcBorders>
              <w:top w:val="nil"/>
              <w:left w:val="nil"/>
              <w:bottom w:val="single" w:sz="4" w:space="0" w:color="auto"/>
              <w:right w:val="single" w:sz="4" w:space="0" w:color="auto"/>
            </w:tcBorders>
            <w:shd w:val="clear" w:color="auto" w:fill="auto"/>
            <w:noWrap/>
            <w:vAlign w:val="bottom"/>
            <w:hideMark/>
          </w:tcPr>
          <w:p w14:paraId="31E23AF6"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0.1068</w:t>
            </w:r>
          </w:p>
        </w:tc>
        <w:tc>
          <w:tcPr>
            <w:tcW w:w="927" w:type="dxa"/>
            <w:tcBorders>
              <w:top w:val="nil"/>
              <w:left w:val="nil"/>
              <w:bottom w:val="single" w:sz="4" w:space="0" w:color="auto"/>
              <w:right w:val="single" w:sz="4" w:space="0" w:color="auto"/>
            </w:tcBorders>
            <w:shd w:val="clear" w:color="000000" w:fill="E7E6E6"/>
            <w:noWrap/>
            <w:vAlign w:val="bottom"/>
            <w:hideMark/>
          </w:tcPr>
          <w:p w14:paraId="4EFCC130"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0.0106</w:t>
            </w:r>
          </w:p>
        </w:tc>
        <w:tc>
          <w:tcPr>
            <w:tcW w:w="737" w:type="dxa"/>
            <w:tcBorders>
              <w:top w:val="nil"/>
              <w:left w:val="nil"/>
              <w:bottom w:val="single" w:sz="4" w:space="0" w:color="auto"/>
              <w:right w:val="single" w:sz="4" w:space="0" w:color="auto"/>
            </w:tcBorders>
            <w:shd w:val="clear" w:color="auto" w:fill="auto"/>
            <w:noWrap/>
            <w:vAlign w:val="bottom"/>
            <w:hideMark/>
          </w:tcPr>
          <w:p w14:paraId="518C35C3"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0.0166</w:t>
            </w:r>
          </w:p>
        </w:tc>
        <w:tc>
          <w:tcPr>
            <w:tcW w:w="927" w:type="dxa"/>
            <w:tcBorders>
              <w:top w:val="nil"/>
              <w:left w:val="nil"/>
              <w:bottom w:val="single" w:sz="4" w:space="0" w:color="auto"/>
              <w:right w:val="single" w:sz="4" w:space="0" w:color="auto"/>
            </w:tcBorders>
            <w:shd w:val="clear" w:color="000000" w:fill="E7E6E6"/>
            <w:noWrap/>
            <w:vAlign w:val="bottom"/>
            <w:hideMark/>
          </w:tcPr>
          <w:p w14:paraId="0AF76631"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0.0017</w:t>
            </w:r>
          </w:p>
        </w:tc>
        <w:tc>
          <w:tcPr>
            <w:tcW w:w="737" w:type="dxa"/>
            <w:tcBorders>
              <w:top w:val="nil"/>
              <w:left w:val="nil"/>
              <w:bottom w:val="single" w:sz="4" w:space="0" w:color="auto"/>
              <w:right w:val="single" w:sz="4" w:space="0" w:color="auto"/>
            </w:tcBorders>
            <w:shd w:val="clear" w:color="auto" w:fill="auto"/>
            <w:noWrap/>
            <w:vAlign w:val="bottom"/>
            <w:hideMark/>
          </w:tcPr>
          <w:p w14:paraId="50180BF0"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0.0006</w:t>
            </w:r>
          </w:p>
        </w:tc>
        <w:tc>
          <w:tcPr>
            <w:tcW w:w="927" w:type="dxa"/>
            <w:tcBorders>
              <w:top w:val="nil"/>
              <w:left w:val="nil"/>
              <w:bottom w:val="single" w:sz="4" w:space="0" w:color="auto"/>
              <w:right w:val="single" w:sz="4" w:space="0" w:color="auto"/>
            </w:tcBorders>
            <w:shd w:val="clear" w:color="000000" w:fill="E7E6E6"/>
            <w:noWrap/>
            <w:vAlign w:val="bottom"/>
            <w:hideMark/>
          </w:tcPr>
          <w:p w14:paraId="458EE17C"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0.0001</w:t>
            </w:r>
          </w:p>
        </w:tc>
        <w:tc>
          <w:tcPr>
            <w:tcW w:w="737" w:type="dxa"/>
            <w:tcBorders>
              <w:top w:val="nil"/>
              <w:left w:val="nil"/>
              <w:bottom w:val="single" w:sz="4" w:space="0" w:color="auto"/>
              <w:right w:val="single" w:sz="4" w:space="0" w:color="auto"/>
            </w:tcBorders>
            <w:shd w:val="clear" w:color="auto" w:fill="auto"/>
            <w:noWrap/>
            <w:vAlign w:val="bottom"/>
            <w:hideMark/>
          </w:tcPr>
          <w:p w14:paraId="156D3016"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c>
          <w:tcPr>
            <w:tcW w:w="927" w:type="dxa"/>
            <w:tcBorders>
              <w:top w:val="nil"/>
              <w:left w:val="nil"/>
              <w:bottom w:val="single" w:sz="4" w:space="0" w:color="auto"/>
              <w:right w:val="single" w:sz="4" w:space="0" w:color="auto"/>
            </w:tcBorders>
            <w:shd w:val="clear" w:color="000000" w:fill="E7E6E6"/>
            <w:noWrap/>
            <w:vAlign w:val="bottom"/>
            <w:hideMark/>
          </w:tcPr>
          <w:p w14:paraId="18DA6DE6"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r>
      <w:tr w:rsidR="0004421D" w:rsidRPr="00CD306D" w14:paraId="6CF6AFE0" w14:textId="77777777" w:rsidTr="00CD306D">
        <w:trPr>
          <w:trHeight w:val="15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462FA64"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&gt;51.4 GHz</w:t>
            </w:r>
          </w:p>
        </w:tc>
        <w:tc>
          <w:tcPr>
            <w:tcW w:w="737" w:type="dxa"/>
            <w:tcBorders>
              <w:top w:val="nil"/>
              <w:left w:val="nil"/>
              <w:bottom w:val="single" w:sz="4" w:space="0" w:color="auto"/>
              <w:right w:val="single" w:sz="4" w:space="0" w:color="auto"/>
            </w:tcBorders>
            <w:shd w:val="clear" w:color="auto" w:fill="auto"/>
            <w:noWrap/>
            <w:vAlign w:val="bottom"/>
            <w:hideMark/>
          </w:tcPr>
          <w:p w14:paraId="342C94B0"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0.0283</w:t>
            </w:r>
          </w:p>
        </w:tc>
        <w:tc>
          <w:tcPr>
            <w:tcW w:w="927" w:type="dxa"/>
            <w:tcBorders>
              <w:top w:val="nil"/>
              <w:left w:val="nil"/>
              <w:bottom w:val="single" w:sz="4" w:space="0" w:color="auto"/>
              <w:right w:val="single" w:sz="4" w:space="0" w:color="auto"/>
            </w:tcBorders>
            <w:shd w:val="clear" w:color="000000" w:fill="E7E6E6"/>
            <w:noWrap/>
            <w:vAlign w:val="bottom"/>
            <w:hideMark/>
          </w:tcPr>
          <w:p w14:paraId="2D50ECEB"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0.0028</w:t>
            </w:r>
          </w:p>
        </w:tc>
        <w:tc>
          <w:tcPr>
            <w:tcW w:w="737" w:type="dxa"/>
            <w:tcBorders>
              <w:top w:val="nil"/>
              <w:left w:val="nil"/>
              <w:bottom w:val="single" w:sz="4" w:space="0" w:color="auto"/>
              <w:right w:val="single" w:sz="4" w:space="0" w:color="auto"/>
            </w:tcBorders>
            <w:shd w:val="clear" w:color="auto" w:fill="auto"/>
            <w:noWrap/>
            <w:vAlign w:val="bottom"/>
            <w:hideMark/>
          </w:tcPr>
          <w:p w14:paraId="149DCA11"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0.0028</w:t>
            </w:r>
          </w:p>
        </w:tc>
        <w:tc>
          <w:tcPr>
            <w:tcW w:w="927" w:type="dxa"/>
            <w:tcBorders>
              <w:top w:val="nil"/>
              <w:left w:val="nil"/>
              <w:bottom w:val="single" w:sz="4" w:space="0" w:color="auto"/>
              <w:right w:val="single" w:sz="4" w:space="0" w:color="auto"/>
            </w:tcBorders>
            <w:shd w:val="clear" w:color="000000" w:fill="E7E6E6"/>
            <w:noWrap/>
            <w:vAlign w:val="bottom"/>
            <w:hideMark/>
          </w:tcPr>
          <w:p w14:paraId="045DA7BA"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0.0003</w:t>
            </w:r>
          </w:p>
        </w:tc>
        <w:tc>
          <w:tcPr>
            <w:tcW w:w="737" w:type="dxa"/>
            <w:tcBorders>
              <w:top w:val="nil"/>
              <w:left w:val="nil"/>
              <w:bottom w:val="single" w:sz="4" w:space="0" w:color="auto"/>
              <w:right w:val="single" w:sz="4" w:space="0" w:color="auto"/>
            </w:tcBorders>
            <w:shd w:val="clear" w:color="auto" w:fill="auto"/>
            <w:noWrap/>
            <w:vAlign w:val="bottom"/>
            <w:hideMark/>
          </w:tcPr>
          <w:p w14:paraId="17F82ADE"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0.0028</w:t>
            </w:r>
          </w:p>
        </w:tc>
        <w:tc>
          <w:tcPr>
            <w:tcW w:w="927" w:type="dxa"/>
            <w:tcBorders>
              <w:top w:val="nil"/>
              <w:left w:val="nil"/>
              <w:bottom w:val="single" w:sz="4" w:space="0" w:color="auto"/>
              <w:right w:val="single" w:sz="4" w:space="0" w:color="auto"/>
            </w:tcBorders>
            <w:shd w:val="clear" w:color="000000" w:fill="E7E6E6"/>
            <w:noWrap/>
            <w:vAlign w:val="bottom"/>
            <w:hideMark/>
          </w:tcPr>
          <w:p w14:paraId="26914524"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0.0003</w:t>
            </w:r>
          </w:p>
        </w:tc>
        <w:tc>
          <w:tcPr>
            <w:tcW w:w="737" w:type="dxa"/>
            <w:tcBorders>
              <w:top w:val="nil"/>
              <w:left w:val="nil"/>
              <w:bottom w:val="single" w:sz="4" w:space="0" w:color="auto"/>
              <w:right w:val="single" w:sz="4" w:space="0" w:color="auto"/>
            </w:tcBorders>
            <w:shd w:val="clear" w:color="auto" w:fill="auto"/>
            <w:noWrap/>
            <w:vAlign w:val="bottom"/>
            <w:hideMark/>
          </w:tcPr>
          <w:p w14:paraId="2E163C4A"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0.0003</w:t>
            </w:r>
          </w:p>
        </w:tc>
        <w:tc>
          <w:tcPr>
            <w:tcW w:w="927" w:type="dxa"/>
            <w:tcBorders>
              <w:top w:val="nil"/>
              <w:left w:val="nil"/>
              <w:bottom w:val="single" w:sz="4" w:space="0" w:color="auto"/>
              <w:right w:val="single" w:sz="4" w:space="0" w:color="auto"/>
            </w:tcBorders>
            <w:shd w:val="clear" w:color="000000" w:fill="E7E6E6"/>
            <w:noWrap/>
            <w:vAlign w:val="bottom"/>
            <w:hideMark/>
          </w:tcPr>
          <w:p w14:paraId="26139DEE"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c>
          <w:tcPr>
            <w:tcW w:w="737" w:type="dxa"/>
            <w:tcBorders>
              <w:top w:val="nil"/>
              <w:left w:val="nil"/>
              <w:bottom w:val="single" w:sz="4" w:space="0" w:color="auto"/>
              <w:right w:val="single" w:sz="4" w:space="0" w:color="auto"/>
            </w:tcBorders>
            <w:shd w:val="clear" w:color="auto" w:fill="auto"/>
            <w:noWrap/>
            <w:vAlign w:val="bottom"/>
            <w:hideMark/>
          </w:tcPr>
          <w:p w14:paraId="599E6C08"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0.0003</w:t>
            </w:r>
          </w:p>
        </w:tc>
        <w:tc>
          <w:tcPr>
            <w:tcW w:w="927" w:type="dxa"/>
            <w:tcBorders>
              <w:top w:val="nil"/>
              <w:left w:val="nil"/>
              <w:bottom w:val="single" w:sz="4" w:space="0" w:color="auto"/>
              <w:right w:val="single" w:sz="4" w:space="0" w:color="auto"/>
            </w:tcBorders>
            <w:shd w:val="clear" w:color="000000" w:fill="E7E6E6"/>
            <w:noWrap/>
            <w:vAlign w:val="bottom"/>
            <w:hideMark/>
          </w:tcPr>
          <w:p w14:paraId="2DA34E11" w14:textId="77777777" w:rsidR="00CD306D" w:rsidRPr="00CD306D" w:rsidRDefault="00CD306D" w:rsidP="00CD306D">
            <w:pPr>
              <w:spacing w:after="0" w:line="240" w:lineRule="auto"/>
              <w:rPr>
                <w:rFonts w:cs="Arial"/>
                <w:color w:val="000000"/>
                <w:sz w:val="12"/>
                <w:szCs w:val="12"/>
              </w:rPr>
            </w:pPr>
            <w:r w:rsidRPr="00CD306D">
              <w:rPr>
                <w:rFonts w:cs="Arial"/>
                <w:color w:val="000000"/>
                <w:sz w:val="12"/>
                <w:szCs w:val="12"/>
              </w:rPr>
              <w:t>0.0000</w:t>
            </w:r>
          </w:p>
        </w:tc>
      </w:tr>
    </w:tbl>
    <w:p w14:paraId="1BC4BCCB" w14:textId="2FACF7C7" w:rsidR="000C6D91" w:rsidRDefault="007A3E0C" w:rsidP="005827A2">
      <w:pPr>
        <w:pStyle w:val="Tableorfigurenote"/>
      </w:pPr>
      <w:r>
        <w:t xml:space="preserve">* These taxes relate to Table </w:t>
      </w:r>
      <w:r w:rsidR="0080425C">
        <w:t xml:space="preserve">802A </w:t>
      </w:r>
      <w:r>
        <w:t xml:space="preserve">in the Transmitter Licence Tax Determination and Table </w:t>
      </w:r>
      <w:r w:rsidR="0080425C">
        <w:t>4</w:t>
      </w:r>
      <w:r>
        <w:t>02 of the Receiver Licence Tax Determination</w:t>
      </w:r>
      <w:r w:rsidR="00911149">
        <w:t>.</w:t>
      </w:r>
    </w:p>
    <w:p w14:paraId="6594B71B" w14:textId="77777777" w:rsidR="007A0D47" w:rsidRDefault="007A0D47" w:rsidP="00B43CCE">
      <w:pPr>
        <w:pStyle w:val="Paragraph"/>
        <w:tabs>
          <w:tab w:val="left" w:pos="720"/>
        </w:tabs>
        <w:spacing w:after="80"/>
      </w:pPr>
    </w:p>
    <w:sectPr w:rsidR="007A0D47" w:rsidSect="00ED23D4">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5F016" w14:textId="77777777" w:rsidR="00C50E5C" w:rsidRDefault="00C50E5C">
      <w:r>
        <w:separator/>
      </w:r>
    </w:p>
  </w:endnote>
  <w:endnote w:type="continuationSeparator" w:id="0">
    <w:p w14:paraId="38014D2F" w14:textId="77777777" w:rsidR="00C50E5C" w:rsidRDefault="00C50E5C">
      <w:r>
        <w:continuationSeparator/>
      </w:r>
    </w:p>
  </w:endnote>
  <w:endnote w:type="continuationNotice" w:id="1">
    <w:p w14:paraId="449688E8" w14:textId="77777777" w:rsidR="00C50E5C" w:rsidRDefault="00C50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0C1E" w14:textId="77777777" w:rsidR="00E935FE" w:rsidRDefault="00E935FE" w:rsidP="005E250B">
    <w:pPr>
      <w:pStyle w:val="Footer"/>
      <w:jc w:val="right"/>
    </w:pPr>
    <w:r>
      <w:rPr>
        <w:noProof/>
      </w:rPr>
      <w:drawing>
        <wp:inline distT="0" distB="0" distL="0" distR="0" wp14:anchorId="3BFF70C6" wp14:editId="4568D50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2">
                    <a:extLst>
                      <a:ext uri="{28A0092B-C50C-407E-A947-70E740481C1C}">
                        <a14:useLocalDpi xmlns:a14="http://schemas.microsoft.com/office/drawing/2010/main" val="0"/>
                      </a:ext>
                    </a:extLst>
                  </a:blip>
                  <a:stretch>
                    <a:fillRect/>
                  </a:stretch>
                </pic:blipFill>
                <pic:spPr>
                  <a:xfrm>
                    <a:off x="0" y="0"/>
                    <a:ext cx="1066800" cy="2773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F6A14" w14:textId="77777777" w:rsidR="00E935FE" w:rsidRDefault="00E935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B56C" w14:textId="77777777" w:rsidR="00E935FE" w:rsidRDefault="00E93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64B6" w14:textId="77777777" w:rsidR="00E935FE" w:rsidRPr="00622A3B" w:rsidRDefault="00E935F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FBF830D" w14:textId="77777777" w:rsidR="00E935FE" w:rsidRPr="00A5474E" w:rsidRDefault="00E935FE"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2217" w14:textId="77777777" w:rsidR="00E935FE" w:rsidRPr="00622A3B" w:rsidRDefault="00E935F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46E86F4" w14:textId="77777777" w:rsidR="00E935FE" w:rsidRPr="00A5474E" w:rsidRDefault="00E935FE"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77B9" w14:textId="77777777" w:rsidR="00E935FE" w:rsidRPr="00622A3B" w:rsidRDefault="00E935FE"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7214E605" w14:textId="77777777" w:rsidR="00E935FE" w:rsidRPr="00A5474E" w:rsidRDefault="00E935FE"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331E" w14:textId="77777777" w:rsidR="00E935FE" w:rsidRPr="00622A3B" w:rsidRDefault="00E935F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A4DF2D9" w14:textId="77777777" w:rsidR="00E935FE" w:rsidRPr="00A5474E" w:rsidRDefault="00E935FE"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FB22" w14:textId="46A9B9F6" w:rsidR="00E935FE" w:rsidRPr="00622A3B" w:rsidRDefault="00E935F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6AD5F9C7" w14:textId="77777777" w:rsidR="00E935FE" w:rsidRPr="00A5474E" w:rsidRDefault="00E935FE"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ACD8" w14:textId="77777777" w:rsidR="00C50E5C" w:rsidRDefault="00C50E5C">
      <w:r>
        <w:separator/>
      </w:r>
    </w:p>
  </w:footnote>
  <w:footnote w:type="continuationSeparator" w:id="0">
    <w:p w14:paraId="50CBA7BB" w14:textId="77777777" w:rsidR="00C50E5C" w:rsidRDefault="00C50E5C">
      <w:r>
        <w:continuationSeparator/>
      </w:r>
    </w:p>
  </w:footnote>
  <w:footnote w:type="continuationNotice" w:id="1">
    <w:p w14:paraId="6F00AC12" w14:textId="77777777" w:rsidR="00C50E5C" w:rsidRDefault="00C50E5C">
      <w:pPr>
        <w:spacing w:after="0" w:line="240" w:lineRule="auto"/>
      </w:pPr>
    </w:p>
  </w:footnote>
  <w:footnote w:id="2">
    <w:p w14:paraId="5396660E" w14:textId="77876225" w:rsidR="00E935FE" w:rsidRDefault="00E935FE" w:rsidP="00281C80">
      <w:pPr>
        <w:pStyle w:val="FootnoteText"/>
      </w:pPr>
      <w:r>
        <w:rPr>
          <w:rStyle w:val="FootnoteReference"/>
        </w:rPr>
        <w:footnoteRef/>
      </w:r>
      <w:r>
        <w:t xml:space="preserve"> The ACMA determines the amount of spectrum licence tax in part to recover the indirect costs of its spectrum management activities.</w:t>
      </w:r>
    </w:p>
  </w:footnote>
  <w:footnote w:id="3">
    <w:p w14:paraId="7D092CE6" w14:textId="77777777" w:rsidR="00E935FE" w:rsidRDefault="00E935FE" w:rsidP="002D7F5C">
      <w:pPr>
        <w:pStyle w:val="FootnoteText"/>
      </w:pPr>
      <w:r>
        <w:rPr>
          <w:rStyle w:val="FootnoteReference"/>
        </w:rPr>
        <w:footnoteRef/>
      </w:r>
      <w:r>
        <w:t xml:space="preserve"> </w:t>
      </w:r>
      <w:r>
        <w:rPr>
          <w:rFonts w:eastAsia="Calibri"/>
        </w:rPr>
        <w:t xml:space="preserve">The ACMA component of the </w:t>
      </w:r>
      <w:r>
        <w:t>Portfolio Charging Review process will review all existing and potential charging activities, evaluate the performance of charging activities, identify opportunities to amend or discontinue specific charging activities and assess the effectiveness of stakeholder engagement strategies and opportunities for improvement. Like all current charges, ACMA satellite filing charges will be reviewed in that process.</w:t>
      </w:r>
    </w:p>
  </w:footnote>
  <w:footnote w:id="4">
    <w:p w14:paraId="621D1F7C" w14:textId="64A2D52D" w:rsidR="00E935FE" w:rsidRDefault="00E935FE">
      <w:pPr>
        <w:pStyle w:val="FootnoteText"/>
      </w:pPr>
      <w:r>
        <w:rPr>
          <w:rStyle w:val="FootnoteReference"/>
        </w:rPr>
        <w:footnoteRef/>
      </w:r>
      <w:r>
        <w:t xml:space="preserve"> </w:t>
      </w:r>
      <w:hyperlink r:id="rId1" w:history="1">
        <w:r w:rsidRPr="00195617">
          <w:rPr>
            <w:rStyle w:val="Hyperlink"/>
          </w:rPr>
          <w:t>https://www.abs.gov.au/statistics/economy/price-indexes-and-inflation/consumer-price-index-australia/jun-2020</w:t>
        </w:r>
      </w:hyperlink>
      <w:r>
        <w:t xml:space="preserve">. </w:t>
      </w:r>
    </w:p>
  </w:footnote>
  <w:footnote w:id="5">
    <w:p w14:paraId="0DDABA53" w14:textId="4D197E83" w:rsidR="00E935FE" w:rsidRDefault="00E935FE" w:rsidP="0089476E">
      <w:pPr>
        <w:pStyle w:val="FootnoteText"/>
      </w:pPr>
      <w:r>
        <w:rPr>
          <w:rStyle w:val="FootnoteReference"/>
        </w:rPr>
        <w:footnoteRef/>
      </w:r>
      <w:r>
        <w:t xml:space="preserve"> Information about the taxes and charges collected by the ACMA fees and the Apparatus Licence Fee Schedule can be found at </w:t>
      </w:r>
      <w:hyperlink r:id="rId2" w:history="1">
        <w:r w:rsidRPr="0058755F">
          <w:rPr>
            <w:rStyle w:val="Hyperlink"/>
          </w:rPr>
          <w:t>www.acma.gov.au/fees-apparatus-licences</w:t>
        </w:r>
      </w:hyperlink>
      <w:r w:rsidRPr="00FE07C9">
        <w:rPr>
          <w:rStyle w:val="Hyperlink"/>
          <w:color w:val="auto"/>
          <w:u w:val="none"/>
        </w:rPr>
        <w:t>.</w:t>
      </w:r>
    </w:p>
    <w:p w14:paraId="1B2AC909" w14:textId="77777777" w:rsidR="00E935FE" w:rsidRDefault="00E935FE" w:rsidP="0089476E">
      <w:pPr>
        <w:pStyle w:val="FootnoteText"/>
      </w:pPr>
    </w:p>
  </w:footnote>
  <w:footnote w:id="6">
    <w:p w14:paraId="40F2812A" w14:textId="77777777" w:rsidR="00E935FE" w:rsidRDefault="00E935FE" w:rsidP="00E13C75">
      <w:pPr>
        <w:pStyle w:val="FootnoteText"/>
      </w:pPr>
      <w:r>
        <w:rPr>
          <w:rStyle w:val="FootnoteReference"/>
        </w:rPr>
        <w:footnoteRef/>
      </w:r>
      <w:r>
        <w:t xml:space="preserve"> This is also relevant for cost recovery initiatives relating to spectrum licensing.</w:t>
      </w:r>
    </w:p>
  </w:footnote>
  <w:footnote w:id="7">
    <w:p w14:paraId="64CE8F47" w14:textId="4F3C84A8" w:rsidR="00E935FE" w:rsidRDefault="00E935FE">
      <w:pPr>
        <w:pStyle w:val="FootnoteText"/>
      </w:pPr>
      <w:r>
        <w:rPr>
          <w:rStyle w:val="FootnoteReference"/>
        </w:rPr>
        <w:footnoteRef/>
      </w:r>
      <w:r>
        <w:t xml:space="preserve"> </w:t>
      </w:r>
      <w:r w:rsidRPr="00F2042B">
        <w:t xml:space="preserve"> For Space and Earth station licences</w:t>
      </w:r>
      <w:r>
        <w:t xml:space="preserve"> (both transmit and receive)</w:t>
      </w:r>
      <w:r w:rsidRPr="00F2042B">
        <w:t xml:space="preserve">, the frequency ranges are &gt;8.5 to </w:t>
      </w:r>
      <w:r>
        <w:br/>
      </w:r>
      <w:r w:rsidRPr="00F2042B">
        <w:t>17.3 GHz and &gt;17.3 to 31.3 GHz.  For these services and frequency ranges the weighting</w:t>
      </w:r>
      <w:r>
        <w:t xml:space="preserve"> </w:t>
      </w:r>
      <w:r w:rsidRPr="00F2042B">
        <w:t>will</w:t>
      </w:r>
      <w:r>
        <w:t xml:space="preserve"> be</w:t>
      </w:r>
      <w:r w:rsidRPr="00F2042B">
        <w:t xml:space="preserve"> 50% for &gt;8.5 to 17.3 GHz and </w:t>
      </w:r>
      <w:r>
        <w:t>10</w:t>
      </w:r>
      <w:r w:rsidRPr="00F2042B">
        <w:t>% for &gt;17.3 to 31.3 GHz</w:t>
      </w:r>
      <w:r>
        <w:t xml:space="preserve"> of the current location </w:t>
      </w:r>
      <w:proofErr w:type="gramStart"/>
      <w:r>
        <w:t>weighting</w:t>
      </w:r>
      <w:r w:rsidR="006D552C">
        <w:t>s</w:t>
      </w:r>
      <w:proofErr w:type="gramEnd"/>
      <w:r>
        <w:t xml:space="preserve"> respectively.</w:t>
      </w:r>
    </w:p>
  </w:footnote>
  <w:footnote w:id="8">
    <w:p w14:paraId="4B07D01C" w14:textId="1BDCB41E" w:rsidR="00E935FE" w:rsidRDefault="00E935FE">
      <w:pPr>
        <w:pStyle w:val="FootnoteText"/>
      </w:pPr>
      <w:r>
        <w:rPr>
          <w:rStyle w:val="FootnoteReference"/>
        </w:rPr>
        <w:footnoteRef/>
      </w:r>
      <w:r>
        <w:t xml:space="preserve"> As users of spectrum are likely to be more familiar with the ACMA’s apparatus licence fee schedule, the proposed changes to tax rates referred to in this appendix are expressed using the table references from the schedule, rather than relevant tax determinations.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93F2B" w14:textId="77777777" w:rsidR="00E935FE" w:rsidRPr="00A5474E" w:rsidRDefault="00E935FE" w:rsidP="00A5474E">
    <w:pPr>
      <w:pStyle w:val="Header"/>
    </w:pPr>
    <w:r>
      <w:rPr>
        <w:noProof/>
      </w:rPr>
      <w:drawing>
        <wp:inline distT="0" distB="0" distL="0" distR="0" wp14:anchorId="1A55B713" wp14:editId="25209491">
          <wp:extent cx="6210298"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210298"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D627" w14:textId="77777777" w:rsidR="00E935FE" w:rsidRPr="00A5474E" w:rsidRDefault="00E935FE"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F9F8" w14:textId="77777777" w:rsidR="00E935FE" w:rsidRDefault="00E935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7BAE" w14:textId="77777777" w:rsidR="00E935FE" w:rsidRDefault="00E935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E935FE" w14:paraId="05C110A2" w14:textId="77777777" w:rsidTr="00C962B7">
      <w:trPr>
        <w:trHeight w:hRule="exact" w:val="988"/>
      </w:trPr>
      <w:tc>
        <w:tcPr>
          <w:tcW w:w="7678" w:type="dxa"/>
          <w:shd w:val="clear" w:color="auto" w:fill="auto"/>
        </w:tcPr>
        <w:p w14:paraId="74F568C4" w14:textId="77777777" w:rsidR="00E935FE" w:rsidRDefault="00E935FE" w:rsidP="00971914">
          <w:pPr>
            <w:pStyle w:val="Header"/>
          </w:pPr>
        </w:p>
      </w:tc>
    </w:tr>
    <w:tr w:rsidR="00E935FE" w14:paraId="6F9166A3" w14:textId="77777777" w:rsidTr="00C962B7">
      <w:tc>
        <w:tcPr>
          <w:tcW w:w="7678" w:type="dxa"/>
          <w:shd w:val="clear" w:color="auto" w:fill="auto"/>
        </w:tcPr>
        <w:p w14:paraId="5AA7B9D7" w14:textId="77777777" w:rsidR="00E935FE" w:rsidRDefault="00E935FE" w:rsidP="00971914">
          <w:pPr>
            <w:pStyle w:val="GridTable31"/>
          </w:pPr>
          <w:r>
            <w:t xml:space="preserve">Contents </w:t>
          </w:r>
          <w:r w:rsidRPr="00915B1C">
            <w:rPr>
              <w:b w:val="0"/>
              <w:spacing w:val="0"/>
              <w:sz w:val="28"/>
              <w:szCs w:val="28"/>
            </w:rPr>
            <w:t>(Continued)</w:t>
          </w:r>
        </w:p>
      </w:tc>
    </w:tr>
    <w:tr w:rsidR="00E935FE" w14:paraId="0F2CE2B6" w14:textId="77777777" w:rsidTr="00C962B7">
      <w:trPr>
        <w:trHeight w:val="1220"/>
      </w:trPr>
      <w:tc>
        <w:tcPr>
          <w:tcW w:w="7678" w:type="dxa"/>
          <w:shd w:val="clear" w:color="auto" w:fill="auto"/>
        </w:tcPr>
        <w:p w14:paraId="381B6CE2" w14:textId="77777777" w:rsidR="00E935FE" w:rsidRDefault="00E935FE" w:rsidP="00971914"/>
      </w:tc>
    </w:tr>
  </w:tbl>
  <w:p w14:paraId="480213F8" w14:textId="77777777" w:rsidR="00E935FE" w:rsidRDefault="00E935FE"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E935FE" w14:paraId="344BEE95" w14:textId="77777777" w:rsidTr="00C962B7">
      <w:trPr>
        <w:trHeight w:hRule="exact" w:val="988"/>
      </w:trPr>
      <w:tc>
        <w:tcPr>
          <w:tcW w:w="7678" w:type="dxa"/>
          <w:shd w:val="clear" w:color="auto" w:fill="auto"/>
        </w:tcPr>
        <w:p w14:paraId="25B538AC" w14:textId="77777777" w:rsidR="00E935FE" w:rsidRDefault="00E935FE" w:rsidP="00971914">
          <w:pPr>
            <w:pStyle w:val="Header"/>
          </w:pPr>
        </w:p>
      </w:tc>
    </w:tr>
    <w:tr w:rsidR="00E935FE" w14:paraId="60FB0741" w14:textId="77777777" w:rsidTr="00C962B7">
      <w:tc>
        <w:tcPr>
          <w:tcW w:w="7678" w:type="dxa"/>
          <w:shd w:val="clear" w:color="auto" w:fill="auto"/>
        </w:tcPr>
        <w:p w14:paraId="600CAAA3" w14:textId="77777777" w:rsidR="00E935FE" w:rsidRDefault="00E935FE" w:rsidP="00971914">
          <w:pPr>
            <w:pStyle w:val="GridTable31"/>
          </w:pPr>
          <w:r>
            <w:t xml:space="preserve">Contents </w:t>
          </w:r>
          <w:r w:rsidRPr="00915B1C">
            <w:rPr>
              <w:b w:val="0"/>
              <w:spacing w:val="0"/>
              <w:sz w:val="28"/>
              <w:szCs w:val="28"/>
            </w:rPr>
            <w:t>(Continued)</w:t>
          </w:r>
        </w:p>
      </w:tc>
    </w:tr>
    <w:tr w:rsidR="00E935FE" w14:paraId="0176117F" w14:textId="77777777" w:rsidTr="00C962B7">
      <w:trPr>
        <w:trHeight w:val="1220"/>
      </w:trPr>
      <w:tc>
        <w:tcPr>
          <w:tcW w:w="7678" w:type="dxa"/>
          <w:shd w:val="clear" w:color="auto" w:fill="auto"/>
        </w:tcPr>
        <w:p w14:paraId="195232DD" w14:textId="77777777" w:rsidR="00E935FE" w:rsidRDefault="00E935FE" w:rsidP="00971914"/>
      </w:tc>
    </w:tr>
  </w:tbl>
  <w:p w14:paraId="2989D402" w14:textId="77777777" w:rsidR="00E935FE" w:rsidRPr="00A5474E" w:rsidRDefault="00E935FE"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D42" w14:textId="77777777" w:rsidR="00E935FE" w:rsidRDefault="00E93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4AAB" w14:textId="77777777" w:rsidR="00E935FE" w:rsidRDefault="00E9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hybridMultilevel"/>
    <w:tmpl w:val="909E78BC"/>
    <w:lvl w:ilvl="0" w:tplc="0B6ED224">
      <w:start w:val="1"/>
      <w:numFmt w:val="bullet"/>
      <w:pStyle w:val="ListBullet2"/>
      <w:lvlText w:val="&gt;"/>
      <w:lvlJc w:val="left"/>
      <w:pPr>
        <w:tabs>
          <w:tab w:val="num" w:pos="845"/>
        </w:tabs>
        <w:ind w:left="845" w:hanging="544"/>
      </w:pPr>
      <w:rPr>
        <w:rFonts w:ascii="HelveticaNeueLT Std Lt" w:hAnsi="HelveticaNeueLT Std Lt" w:hint="default"/>
        <w:sz w:val="20"/>
      </w:rPr>
    </w:lvl>
    <w:lvl w:ilvl="1" w:tplc="520AC6AC">
      <w:numFmt w:val="decimal"/>
      <w:lvlText w:val=""/>
      <w:lvlJc w:val="left"/>
    </w:lvl>
    <w:lvl w:ilvl="2" w:tplc="70B42718">
      <w:numFmt w:val="decimal"/>
      <w:lvlText w:val=""/>
      <w:lvlJc w:val="left"/>
    </w:lvl>
    <w:lvl w:ilvl="3" w:tplc="13F27FEE">
      <w:numFmt w:val="decimal"/>
      <w:lvlText w:val=""/>
      <w:lvlJc w:val="left"/>
    </w:lvl>
    <w:lvl w:ilvl="4" w:tplc="71F432F2">
      <w:numFmt w:val="decimal"/>
      <w:lvlText w:val=""/>
      <w:lvlJc w:val="left"/>
    </w:lvl>
    <w:lvl w:ilvl="5" w:tplc="FCCCB500">
      <w:numFmt w:val="decimal"/>
      <w:lvlText w:val=""/>
      <w:lvlJc w:val="left"/>
    </w:lvl>
    <w:lvl w:ilvl="6" w:tplc="41E0AD56">
      <w:numFmt w:val="decimal"/>
      <w:lvlText w:val=""/>
      <w:lvlJc w:val="left"/>
    </w:lvl>
    <w:lvl w:ilvl="7" w:tplc="3CF6003A">
      <w:numFmt w:val="decimal"/>
      <w:lvlText w:val=""/>
      <w:lvlJc w:val="left"/>
    </w:lvl>
    <w:lvl w:ilvl="8" w:tplc="F244A840">
      <w:numFmt w:val="decimal"/>
      <w:lvlText w:val=""/>
      <w:lvlJc w:val="left"/>
    </w:lvl>
  </w:abstractNum>
  <w:abstractNum w:abstractNumId="2" w15:restartNumberingAfterBreak="0">
    <w:nsid w:val="FFFFFF89"/>
    <w:multiLevelType w:val="hybridMultilevel"/>
    <w:tmpl w:val="961E7C4A"/>
    <w:lvl w:ilvl="0" w:tplc="F516F7C4">
      <w:start w:val="1"/>
      <w:numFmt w:val="bullet"/>
      <w:pStyle w:val="ListBullet"/>
      <w:lvlText w:val="&gt;"/>
      <w:lvlJc w:val="left"/>
      <w:pPr>
        <w:tabs>
          <w:tab w:val="num" w:pos="295"/>
        </w:tabs>
        <w:ind w:left="295" w:hanging="295"/>
      </w:pPr>
      <w:rPr>
        <w:rFonts w:ascii="HelveticaNeueLT Std Lt" w:hAnsi="HelveticaNeueLT Std Lt" w:hint="default"/>
        <w:sz w:val="20"/>
      </w:rPr>
    </w:lvl>
    <w:lvl w:ilvl="1" w:tplc="E5AEE2F4">
      <w:numFmt w:val="decimal"/>
      <w:lvlText w:val=""/>
      <w:lvlJc w:val="left"/>
    </w:lvl>
    <w:lvl w:ilvl="2" w:tplc="3F0066B2">
      <w:numFmt w:val="decimal"/>
      <w:lvlText w:val=""/>
      <w:lvlJc w:val="left"/>
    </w:lvl>
    <w:lvl w:ilvl="3" w:tplc="29167B12">
      <w:numFmt w:val="decimal"/>
      <w:lvlText w:val=""/>
      <w:lvlJc w:val="left"/>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BE7E88C0">
      <w:numFmt w:val="decimal"/>
      <w:lvlText w:val=""/>
      <w:lvlJc w:val="left"/>
    </w:lvl>
  </w:abstractNum>
  <w:abstractNum w:abstractNumId="3" w15:restartNumberingAfterBreak="0">
    <w:nsid w:val="01F379B2"/>
    <w:multiLevelType w:val="hybridMultilevel"/>
    <w:tmpl w:val="EC84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65840"/>
    <w:multiLevelType w:val="hybridMultilevel"/>
    <w:tmpl w:val="C314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E2993"/>
    <w:multiLevelType w:val="hybridMultilevel"/>
    <w:tmpl w:val="2EB683C4"/>
    <w:lvl w:ilvl="0" w:tplc="82B83AEE">
      <w:start w:val="1"/>
      <w:numFmt w:val="bullet"/>
      <w:lvlText w:val="&gt;"/>
      <w:lvlJc w:val="left"/>
      <w:pPr>
        <w:ind w:left="720" w:hanging="360"/>
      </w:pPr>
      <w:rPr>
        <w:rFonts w:ascii="HelveticaNeueLT Std Lt" w:hAnsi="HelveticaNeueLT Std Lt" w:hint="default"/>
      </w:rPr>
    </w:lvl>
    <w:lvl w:ilvl="1" w:tplc="2BA82FDC">
      <w:start w:val="1"/>
      <w:numFmt w:val="bullet"/>
      <w:lvlText w:val="o"/>
      <w:lvlJc w:val="left"/>
      <w:pPr>
        <w:ind w:left="1440" w:hanging="360"/>
      </w:pPr>
      <w:rPr>
        <w:rFonts w:ascii="Courier New" w:hAnsi="Courier New" w:hint="default"/>
      </w:rPr>
    </w:lvl>
    <w:lvl w:ilvl="2" w:tplc="5E963270">
      <w:start w:val="1"/>
      <w:numFmt w:val="bullet"/>
      <w:lvlText w:val=""/>
      <w:lvlJc w:val="left"/>
      <w:pPr>
        <w:ind w:left="2160" w:hanging="360"/>
      </w:pPr>
      <w:rPr>
        <w:rFonts w:ascii="Wingdings" w:hAnsi="Wingdings" w:hint="default"/>
      </w:rPr>
    </w:lvl>
    <w:lvl w:ilvl="3" w:tplc="4F90D8AC">
      <w:start w:val="1"/>
      <w:numFmt w:val="bullet"/>
      <w:lvlText w:val=""/>
      <w:lvlJc w:val="left"/>
      <w:pPr>
        <w:ind w:left="2880" w:hanging="360"/>
      </w:pPr>
      <w:rPr>
        <w:rFonts w:ascii="Symbol" w:hAnsi="Symbol" w:hint="default"/>
      </w:rPr>
    </w:lvl>
    <w:lvl w:ilvl="4" w:tplc="D9DC4E76">
      <w:start w:val="1"/>
      <w:numFmt w:val="bullet"/>
      <w:lvlText w:val="o"/>
      <w:lvlJc w:val="left"/>
      <w:pPr>
        <w:ind w:left="3600" w:hanging="360"/>
      </w:pPr>
      <w:rPr>
        <w:rFonts w:ascii="Courier New" w:hAnsi="Courier New" w:hint="default"/>
      </w:rPr>
    </w:lvl>
    <w:lvl w:ilvl="5" w:tplc="5E9291A2">
      <w:start w:val="1"/>
      <w:numFmt w:val="bullet"/>
      <w:lvlText w:val=""/>
      <w:lvlJc w:val="left"/>
      <w:pPr>
        <w:ind w:left="4320" w:hanging="360"/>
      </w:pPr>
      <w:rPr>
        <w:rFonts w:ascii="Wingdings" w:hAnsi="Wingdings" w:hint="default"/>
      </w:rPr>
    </w:lvl>
    <w:lvl w:ilvl="6" w:tplc="91A03E5E">
      <w:start w:val="1"/>
      <w:numFmt w:val="bullet"/>
      <w:lvlText w:val=""/>
      <w:lvlJc w:val="left"/>
      <w:pPr>
        <w:ind w:left="5040" w:hanging="360"/>
      </w:pPr>
      <w:rPr>
        <w:rFonts w:ascii="Symbol" w:hAnsi="Symbol" w:hint="default"/>
      </w:rPr>
    </w:lvl>
    <w:lvl w:ilvl="7" w:tplc="2FD20326">
      <w:start w:val="1"/>
      <w:numFmt w:val="bullet"/>
      <w:lvlText w:val="o"/>
      <w:lvlJc w:val="left"/>
      <w:pPr>
        <w:ind w:left="5760" w:hanging="360"/>
      </w:pPr>
      <w:rPr>
        <w:rFonts w:ascii="Courier New" w:hAnsi="Courier New" w:hint="default"/>
      </w:rPr>
    </w:lvl>
    <w:lvl w:ilvl="8" w:tplc="1CA65E7E">
      <w:start w:val="1"/>
      <w:numFmt w:val="bullet"/>
      <w:lvlText w:val=""/>
      <w:lvlJc w:val="left"/>
      <w:pPr>
        <w:ind w:left="6480" w:hanging="360"/>
      </w:pPr>
      <w:rPr>
        <w:rFonts w:ascii="Wingdings" w:hAnsi="Wingdings" w:hint="default"/>
      </w:rPr>
    </w:lvl>
  </w:abstractNum>
  <w:abstractNum w:abstractNumId="6" w15:restartNumberingAfterBreak="0">
    <w:nsid w:val="05AB2FC5"/>
    <w:multiLevelType w:val="hybridMultilevel"/>
    <w:tmpl w:val="ADEA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A70DF8"/>
    <w:multiLevelType w:val="hybridMultilevel"/>
    <w:tmpl w:val="278C75F2"/>
    <w:lvl w:ilvl="0" w:tplc="6010C334">
      <w:start w:val="1"/>
      <w:numFmt w:val="bullet"/>
      <w:lvlText w:val="&gt;"/>
      <w:lvlJc w:val="left"/>
      <w:pPr>
        <w:ind w:left="720" w:hanging="360"/>
      </w:pPr>
      <w:rPr>
        <w:rFonts w:ascii="HelveticaNeueLT Std Lt" w:hAnsi="HelveticaNeueLT Std Lt" w:hint="default"/>
      </w:rPr>
    </w:lvl>
    <w:lvl w:ilvl="1" w:tplc="1A06AE82">
      <w:start w:val="1"/>
      <w:numFmt w:val="bullet"/>
      <w:lvlText w:val="o"/>
      <w:lvlJc w:val="left"/>
      <w:pPr>
        <w:ind w:left="1440" w:hanging="360"/>
      </w:pPr>
      <w:rPr>
        <w:rFonts w:ascii="Courier New" w:hAnsi="Courier New" w:hint="default"/>
      </w:rPr>
    </w:lvl>
    <w:lvl w:ilvl="2" w:tplc="52C26FD2">
      <w:start w:val="1"/>
      <w:numFmt w:val="bullet"/>
      <w:lvlText w:val=""/>
      <w:lvlJc w:val="left"/>
      <w:pPr>
        <w:ind w:left="2160" w:hanging="360"/>
      </w:pPr>
      <w:rPr>
        <w:rFonts w:ascii="Wingdings" w:hAnsi="Wingdings" w:hint="default"/>
      </w:rPr>
    </w:lvl>
    <w:lvl w:ilvl="3" w:tplc="394A5678">
      <w:start w:val="1"/>
      <w:numFmt w:val="bullet"/>
      <w:lvlText w:val=""/>
      <w:lvlJc w:val="left"/>
      <w:pPr>
        <w:ind w:left="2880" w:hanging="360"/>
      </w:pPr>
      <w:rPr>
        <w:rFonts w:ascii="Symbol" w:hAnsi="Symbol" w:hint="default"/>
      </w:rPr>
    </w:lvl>
    <w:lvl w:ilvl="4" w:tplc="89D67548">
      <w:start w:val="1"/>
      <w:numFmt w:val="bullet"/>
      <w:lvlText w:val="o"/>
      <w:lvlJc w:val="left"/>
      <w:pPr>
        <w:ind w:left="3600" w:hanging="360"/>
      </w:pPr>
      <w:rPr>
        <w:rFonts w:ascii="Courier New" w:hAnsi="Courier New" w:hint="default"/>
      </w:rPr>
    </w:lvl>
    <w:lvl w:ilvl="5" w:tplc="CAC2EC16">
      <w:start w:val="1"/>
      <w:numFmt w:val="bullet"/>
      <w:lvlText w:val=""/>
      <w:lvlJc w:val="left"/>
      <w:pPr>
        <w:ind w:left="4320" w:hanging="360"/>
      </w:pPr>
      <w:rPr>
        <w:rFonts w:ascii="Wingdings" w:hAnsi="Wingdings" w:hint="default"/>
      </w:rPr>
    </w:lvl>
    <w:lvl w:ilvl="6" w:tplc="B8DA1008">
      <w:start w:val="1"/>
      <w:numFmt w:val="bullet"/>
      <w:lvlText w:val=""/>
      <w:lvlJc w:val="left"/>
      <w:pPr>
        <w:ind w:left="5040" w:hanging="360"/>
      </w:pPr>
      <w:rPr>
        <w:rFonts w:ascii="Symbol" w:hAnsi="Symbol" w:hint="default"/>
      </w:rPr>
    </w:lvl>
    <w:lvl w:ilvl="7" w:tplc="5D3C6076">
      <w:start w:val="1"/>
      <w:numFmt w:val="bullet"/>
      <w:lvlText w:val="o"/>
      <w:lvlJc w:val="left"/>
      <w:pPr>
        <w:ind w:left="5760" w:hanging="360"/>
      </w:pPr>
      <w:rPr>
        <w:rFonts w:ascii="Courier New" w:hAnsi="Courier New" w:hint="default"/>
      </w:rPr>
    </w:lvl>
    <w:lvl w:ilvl="8" w:tplc="161EFC1A">
      <w:start w:val="1"/>
      <w:numFmt w:val="bullet"/>
      <w:lvlText w:val=""/>
      <w:lvlJc w:val="left"/>
      <w:pPr>
        <w:ind w:left="6480" w:hanging="360"/>
      </w:pPr>
      <w:rPr>
        <w:rFonts w:ascii="Wingdings" w:hAnsi="Wingdings" w:hint="default"/>
      </w:rPr>
    </w:lvl>
  </w:abstractNum>
  <w:abstractNum w:abstractNumId="8" w15:restartNumberingAfterBreak="0">
    <w:nsid w:val="0D8C601F"/>
    <w:multiLevelType w:val="hybridMultilevel"/>
    <w:tmpl w:val="BBA0746A"/>
    <w:lvl w:ilvl="0" w:tplc="7B804E66">
      <w:start w:val="1"/>
      <w:numFmt w:val="decimal"/>
      <w:lvlText w:val="%1."/>
      <w:lvlJc w:val="left"/>
      <w:pPr>
        <w:ind w:left="427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990E28"/>
    <w:multiLevelType w:val="hybridMultilevel"/>
    <w:tmpl w:val="8046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B008A0"/>
    <w:multiLevelType w:val="hybridMultilevel"/>
    <w:tmpl w:val="06EA8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0868"/>
    <w:multiLevelType w:val="hybridMultilevel"/>
    <w:tmpl w:val="78C4619E"/>
    <w:lvl w:ilvl="0" w:tplc="8282563A">
      <w:start w:val="1"/>
      <w:numFmt w:val="bullet"/>
      <w:lvlText w:val="&gt;"/>
      <w:lvlJc w:val="left"/>
      <w:pPr>
        <w:ind w:left="720" w:hanging="360"/>
      </w:pPr>
      <w:rPr>
        <w:rFonts w:ascii="HelveticaNeueLT Std Lt" w:hAnsi="HelveticaNeueLT Std Lt" w:hint="default"/>
      </w:rPr>
    </w:lvl>
    <w:lvl w:ilvl="1" w:tplc="495E1E52">
      <w:start w:val="1"/>
      <w:numFmt w:val="bullet"/>
      <w:lvlText w:val="o"/>
      <w:lvlJc w:val="left"/>
      <w:pPr>
        <w:ind w:left="1440" w:hanging="360"/>
      </w:pPr>
      <w:rPr>
        <w:rFonts w:ascii="Courier New" w:hAnsi="Courier New" w:hint="default"/>
      </w:rPr>
    </w:lvl>
    <w:lvl w:ilvl="2" w:tplc="B02277E8">
      <w:start w:val="1"/>
      <w:numFmt w:val="bullet"/>
      <w:lvlText w:val=""/>
      <w:lvlJc w:val="left"/>
      <w:pPr>
        <w:ind w:left="2160" w:hanging="360"/>
      </w:pPr>
      <w:rPr>
        <w:rFonts w:ascii="Wingdings" w:hAnsi="Wingdings" w:hint="default"/>
      </w:rPr>
    </w:lvl>
    <w:lvl w:ilvl="3" w:tplc="607C0530">
      <w:start w:val="1"/>
      <w:numFmt w:val="bullet"/>
      <w:lvlText w:val=""/>
      <w:lvlJc w:val="left"/>
      <w:pPr>
        <w:ind w:left="2880" w:hanging="360"/>
      </w:pPr>
      <w:rPr>
        <w:rFonts w:ascii="Symbol" w:hAnsi="Symbol" w:hint="default"/>
      </w:rPr>
    </w:lvl>
    <w:lvl w:ilvl="4" w:tplc="56EE71A8">
      <w:start w:val="1"/>
      <w:numFmt w:val="bullet"/>
      <w:lvlText w:val="o"/>
      <w:lvlJc w:val="left"/>
      <w:pPr>
        <w:ind w:left="3600" w:hanging="360"/>
      </w:pPr>
      <w:rPr>
        <w:rFonts w:ascii="Courier New" w:hAnsi="Courier New" w:hint="default"/>
      </w:rPr>
    </w:lvl>
    <w:lvl w:ilvl="5" w:tplc="963E578E">
      <w:start w:val="1"/>
      <w:numFmt w:val="bullet"/>
      <w:lvlText w:val=""/>
      <w:lvlJc w:val="left"/>
      <w:pPr>
        <w:ind w:left="4320" w:hanging="360"/>
      </w:pPr>
      <w:rPr>
        <w:rFonts w:ascii="Wingdings" w:hAnsi="Wingdings" w:hint="default"/>
      </w:rPr>
    </w:lvl>
    <w:lvl w:ilvl="6" w:tplc="3BC2ECD4">
      <w:start w:val="1"/>
      <w:numFmt w:val="bullet"/>
      <w:lvlText w:val=""/>
      <w:lvlJc w:val="left"/>
      <w:pPr>
        <w:ind w:left="5040" w:hanging="360"/>
      </w:pPr>
      <w:rPr>
        <w:rFonts w:ascii="Symbol" w:hAnsi="Symbol" w:hint="default"/>
      </w:rPr>
    </w:lvl>
    <w:lvl w:ilvl="7" w:tplc="243433AA">
      <w:start w:val="1"/>
      <w:numFmt w:val="bullet"/>
      <w:lvlText w:val="o"/>
      <w:lvlJc w:val="left"/>
      <w:pPr>
        <w:ind w:left="5760" w:hanging="360"/>
      </w:pPr>
      <w:rPr>
        <w:rFonts w:ascii="Courier New" w:hAnsi="Courier New" w:hint="default"/>
      </w:rPr>
    </w:lvl>
    <w:lvl w:ilvl="8" w:tplc="64EE6032">
      <w:start w:val="1"/>
      <w:numFmt w:val="bullet"/>
      <w:lvlText w:val=""/>
      <w:lvlJc w:val="left"/>
      <w:pPr>
        <w:ind w:left="6480" w:hanging="360"/>
      </w:pPr>
      <w:rPr>
        <w:rFonts w:ascii="Wingdings" w:hAnsi="Wingdings" w:hint="default"/>
      </w:rPr>
    </w:lvl>
  </w:abstractNum>
  <w:abstractNum w:abstractNumId="12" w15:restartNumberingAfterBreak="0">
    <w:nsid w:val="24FD4434"/>
    <w:multiLevelType w:val="hybridMultilevel"/>
    <w:tmpl w:val="85E2B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01DD4"/>
    <w:multiLevelType w:val="hybridMultilevel"/>
    <w:tmpl w:val="04090023"/>
    <w:lvl w:ilvl="0" w:tplc="8F1CC4E0">
      <w:start w:val="1"/>
      <w:numFmt w:val="upperRoman"/>
      <w:lvlText w:val="Article %1."/>
      <w:lvlJc w:val="left"/>
      <w:pPr>
        <w:ind w:left="0" w:firstLine="0"/>
      </w:pPr>
    </w:lvl>
    <w:lvl w:ilvl="1" w:tplc="39E0A716">
      <w:start w:val="1"/>
      <w:numFmt w:val="decimalZero"/>
      <w:isLgl/>
      <w:lvlText w:val="Section %1.%2"/>
      <w:lvlJc w:val="left"/>
      <w:pPr>
        <w:ind w:left="0" w:firstLine="0"/>
      </w:pPr>
    </w:lvl>
    <w:lvl w:ilvl="2" w:tplc="7094583E">
      <w:start w:val="1"/>
      <w:numFmt w:val="lowerLetter"/>
      <w:lvlText w:val="(%3)"/>
      <w:lvlJc w:val="left"/>
      <w:pPr>
        <w:ind w:left="720" w:hanging="432"/>
      </w:pPr>
    </w:lvl>
    <w:lvl w:ilvl="3" w:tplc="99641B08">
      <w:start w:val="1"/>
      <w:numFmt w:val="lowerRoman"/>
      <w:lvlText w:val="(%4)"/>
      <w:lvlJc w:val="right"/>
      <w:pPr>
        <w:ind w:left="864" w:hanging="144"/>
      </w:pPr>
    </w:lvl>
    <w:lvl w:ilvl="4" w:tplc="441E830C">
      <w:start w:val="1"/>
      <w:numFmt w:val="decimal"/>
      <w:pStyle w:val="Heading5"/>
      <w:lvlText w:val="%5)"/>
      <w:lvlJc w:val="left"/>
      <w:pPr>
        <w:ind w:left="1008" w:hanging="432"/>
      </w:pPr>
    </w:lvl>
    <w:lvl w:ilvl="5" w:tplc="D1C6424E">
      <w:start w:val="1"/>
      <w:numFmt w:val="lowerLetter"/>
      <w:pStyle w:val="Heading6"/>
      <w:lvlText w:val="%6)"/>
      <w:lvlJc w:val="left"/>
      <w:pPr>
        <w:ind w:left="1152" w:hanging="432"/>
      </w:pPr>
    </w:lvl>
    <w:lvl w:ilvl="6" w:tplc="1D76987A">
      <w:start w:val="1"/>
      <w:numFmt w:val="lowerRoman"/>
      <w:pStyle w:val="Heading7"/>
      <w:lvlText w:val="%7)"/>
      <w:lvlJc w:val="right"/>
      <w:pPr>
        <w:ind w:left="1296" w:hanging="288"/>
      </w:pPr>
    </w:lvl>
    <w:lvl w:ilvl="7" w:tplc="2260FFEC">
      <w:start w:val="1"/>
      <w:numFmt w:val="lowerLetter"/>
      <w:pStyle w:val="Heading8"/>
      <w:lvlText w:val="%8."/>
      <w:lvlJc w:val="left"/>
      <w:pPr>
        <w:ind w:left="1440" w:hanging="432"/>
      </w:pPr>
    </w:lvl>
    <w:lvl w:ilvl="8" w:tplc="BE7C4150">
      <w:start w:val="1"/>
      <w:numFmt w:val="lowerRoman"/>
      <w:pStyle w:val="Heading9"/>
      <w:lvlText w:val="%9."/>
      <w:lvlJc w:val="right"/>
      <w:pPr>
        <w:ind w:left="1584" w:hanging="144"/>
      </w:pPr>
    </w:lvl>
  </w:abstractNum>
  <w:abstractNum w:abstractNumId="14" w15:restartNumberingAfterBreak="0">
    <w:nsid w:val="366C0856"/>
    <w:multiLevelType w:val="hybridMultilevel"/>
    <w:tmpl w:val="FFFFFFFF"/>
    <w:lvl w:ilvl="0" w:tplc="F0580A70">
      <w:start w:val="1"/>
      <w:numFmt w:val="bullet"/>
      <w:lvlText w:val="&gt;"/>
      <w:lvlJc w:val="left"/>
      <w:pPr>
        <w:ind w:left="720" w:hanging="360"/>
      </w:pPr>
      <w:rPr>
        <w:rFonts w:ascii="HelveticaNeueLT Std Lt" w:hAnsi="HelveticaNeueLT Std Lt" w:hint="default"/>
      </w:rPr>
    </w:lvl>
    <w:lvl w:ilvl="1" w:tplc="B32AC1DA">
      <w:start w:val="1"/>
      <w:numFmt w:val="bullet"/>
      <w:lvlText w:val="o"/>
      <w:lvlJc w:val="left"/>
      <w:pPr>
        <w:ind w:left="1440" w:hanging="360"/>
      </w:pPr>
      <w:rPr>
        <w:rFonts w:ascii="Courier New" w:hAnsi="Courier New" w:hint="default"/>
      </w:rPr>
    </w:lvl>
    <w:lvl w:ilvl="2" w:tplc="738E7E42">
      <w:start w:val="1"/>
      <w:numFmt w:val="bullet"/>
      <w:lvlText w:val=""/>
      <w:lvlJc w:val="left"/>
      <w:pPr>
        <w:ind w:left="2160" w:hanging="360"/>
      </w:pPr>
      <w:rPr>
        <w:rFonts w:ascii="Wingdings" w:hAnsi="Wingdings" w:hint="default"/>
      </w:rPr>
    </w:lvl>
    <w:lvl w:ilvl="3" w:tplc="47F4BB4A">
      <w:start w:val="1"/>
      <w:numFmt w:val="bullet"/>
      <w:lvlText w:val=""/>
      <w:lvlJc w:val="left"/>
      <w:pPr>
        <w:ind w:left="2880" w:hanging="360"/>
      </w:pPr>
      <w:rPr>
        <w:rFonts w:ascii="Symbol" w:hAnsi="Symbol" w:hint="default"/>
      </w:rPr>
    </w:lvl>
    <w:lvl w:ilvl="4" w:tplc="8FF2A702">
      <w:start w:val="1"/>
      <w:numFmt w:val="bullet"/>
      <w:lvlText w:val="o"/>
      <w:lvlJc w:val="left"/>
      <w:pPr>
        <w:ind w:left="3600" w:hanging="360"/>
      </w:pPr>
      <w:rPr>
        <w:rFonts w:ascii="Courier New" w:hAnsi="Courier New" w:hint="default"/>
      </w:rPr>
    </w:lvl>
    <w:lvl w:ilvl="5" w:tplc="7D583962">
      <w:start w:val="1"/>
      <w:numFmt w:val="bullet"/>
      <w:lvlText w:val=""/>
      <w:lvlJc w:val="left"/>
      <w:pPr>
        <w:ind w:left="4320" w:hanging="360"/>
      </w:pPr>
      <w:rPr>
        <w:rFonts w:ascii="Wingdings" w:hAnsi="Wingdings" w:hint="default"/>
      </w:rPr>
    </w:lvl>
    <w:lvl w:ilvl="6" w:tplc="D7601612">
      <w:start w:val="1"/>
      <w:numFmt w:val="bullet"/>
      <w:lvlText w:val=""/>
      <w:lvlJc w:val="left"/>
      <w:pPr>
        <w:ind w:left="5040" w:hanging="360"/>
      </w:pPr>
      <w:rPr>
        <w:rFonts w:ascii="Symbol" w:hAnsi="Symbol" w:hint="default"/>
      </w:rPr>
    </w:lvl>
    <w:lvl w:ilvl="7" w:tplc="260C074E">
      <w:start w:val="1"/>
      <w:numFmt w:val="bullet"/>
      <w:lvlText w:val="o"/>
      <w:lvlJc w:val="left"/>
      <w:pPr>
        <w:ind w:left="5760" w:hanging="360"/>
      </w:pPr>
      <w:rPr>
        <w:rFonts w:ascii="Courier New" w:hAnsi="Courier New" w:hint="default"/>
      </w:rPr>
    </w:lvl>
    <w:lvl w:ilvl="8" w:tplc="80DC19B6">
      <w:start w:val="1"/>
      <w:numFmt w:val="bullet"/>
      <w:lvlText w:val=""/>
      <w:lvlJc w:val="left"/>
      <w:pPr>
        <w:ind w:left="6480" w:hanging="360"/>
      </w:pPr>
      <w:rPr>
        <w:rFonts w:ascii="Wingdings" w:hAnsi="Wingdings" w:hint="default"/>
      </w:rPr>
    </w:lvl>
  </w:abstractNum>
  <w:abstractNum w:abstractNumId="15" w15:restartNumberingAfterBreak="0">
    <w:nsid w:val="416B6CF4"/>
    <w:multiLevelType w:val="hybridMultilevel"/>
    <w:tmpl w:val="7B2EFDBE"/>
    <w:lvl w:ilvl="0" w:tplc="2F08CACE">
      <w:start w:val="1"/>
      <w:numFmt w:val="decimal"/>
      <w:pStyle w:val="ListNumber"/>
      <w:lvlText w:val="%1."/>
      <w:lvlJc w:val="left"/>
      <w:pPr>
        <w:ind w:left="360" w:hanging="360"/>
      </w:pPr>
      <w:rPr>
        <w:rFonts w:hint="default"/>
        <w:b/>
        <w:bCs w:val="0"/>
        <w:caps/>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C66F6B"/>
    <w:multiLevelType w:val="hybridMultilevel"/>
    <w:tmpl w:val="FFFFFFFF"/>
    <w:lvl w:ilvl="0" w:tplc="7A6E4F1E">
      <w:start w:val="1"/>
      <w:numFmt w:val="bullet"/>
      <w:lvlText w:val="&gt;"/>
      <w:lvlJc w:val="left"/>
      <w:pPr>
        <w:ind w:left="720" w:hanging="360"/>
      </w:pPr>
      <w:rPr>
        <w:rFonts w:ascii="HelveticaNeueLT Std Lt" w:hAnsi="HelveticaNeueLT Std Lt" w:hint="default"/>
      </w:rPr>
    </w:lvl>
    <w:lvl w:ilvl="1" w:tplc="A2A28956">
      <w:start w:val="1"/>
      <w:numFmt w:val="bullet"/>
      <w:lvlText w:val="o"/>
      <w:lvlJc w:val="left"/>
      <w:pPr>
        <w:ind w:left="1440" w:hanging="360"/>
      </w:pPr>
      <w:rPr>
        <w:rFonts w:ascii="Courier New" w:hAnsi="Courier New" w:hint="default"/>
      </w:rPr>
    </w:lvl>
    <w:lvl w:ilvl="2" w:tplc="5226F058">
      <w:start w:val="1"/>
      <w:numFmt w:val="bullet"/>
      <w:lvlText w:val=""/>
      <w:lvlJc w:val="left"/>
      <w:pPr>
        <w:ind w:left="2160" w:hanging="360"/>
      </w:pPr>
      <w:rPr>
        <w:rFonts w:ascii="Wingdings" w:hAnsi="Wingdings" w:hint="default"/>
      </w:rPr>
    </w:lvl>
    <w:lvl w:ilvl="3" w:tplc="EEA6D67A">
      <w:start w:val="1"/>
      <w:numFmt w:val="bullet"/>
      <w:lvlText w:val=""/>
      <w:lvlJc w:val="left"/>
      <w:pPr>
        <w:ind w:left="2880" w:hanging="360"/>
      </w:pPr>
      <w:rPr>
        <w:rFonts w:ascii="Symbol" w:hAnsi="Symbol" w:hint="default"/>
      </w:rPr>
    </w:lvl>
    <w:lvl w:ilvl="4" w:tplc="C1B0228E">
      <w:start w:val="1"/>
      <w:numFmt w:val="bullet"/>
      <w:lvlText w:val="o"/>
      <w:lvlJc w:val="left"/>
      <w:pPr>
        <w:ind w:left="3600" w:hanging="360"/>
      </w:pPr>
      <w:rPr>
        <w:rFonts w:ascii="Courier New" w:hAnsi="Courier New" w:hint="default"/>
      </w:rPr>
    </w:lvl>
    <w:lvl w:ilvl="5" w:tplc="03E84BC2">
      <w:start w:val="1"/>
      <w:numFmt w:val="bullet"/>
      <w:lvlText w:val=""/>
      <w:lvlJc w:val="left"/>
      <w:pPr>
        <w:ind w:left="4320" w:hanging="360"/>
      </w:pPr>
      <w:rPr>
        <w:rFonts w:ascii="Wingdings" w:hAnsi="Wingdings" w:hint="default"/>
      </w:rPr>
    </w:lvl>
    <w:lvl w:ilvl="6" w:tplc="C4440330">
      <w:start w:val="1"/>
      <w:numFmt w:val="bullet"/>
      <w:lvlText w:val=""/>
      <w:lvlJc w:val="left"/>
      <w:pPr>
        <w:ind w:left="5040" w:hanging="360"/>
      </w:pPr>
      <w:rPr>
        <w:rFonts w:ascii="Symbol" w:hAnsi="Symbol" w:hint="default"/>
      </w:rPr>
    </w:lvl>
    <w:lvl w:ilvl="7" w:tplc="8DB86B44">
      <w:start w:val="1"/>
      <w:numFmt w:val="bullet"/>
      <w:lvlText w:val="o"/>
      <w:lvlJc w:val="left"/>
      <w:pPr>
        <w:ind w:left="5760" w:hanging="360"/>
      </w:pPr>
      <w:rPr>
        <w:rFonts w:ascii="Courier New" w:hAnsi="Courier New" w:hint="default"/>
      </w:rPr>
    </w:lvl>
    <w:lvl w:ilvl="8" w:tplc="89AC03CC">
      <w:start w:val="1"/>
      <w:numFmt w:val="bullet"/>
      <w:lvlText w:val=""/>
      <w:lvlJc w:val="left"/>
      <w:pPr>
        <w:ind w:left="6480" w:hanging="360"/>
      </w:pPr>
      <w:rPr>
        <w:rFonts w:ascii="Wingdings" w:hAnsi="Wingdings" w:hint="default"/>
      </w:rPr>
    </w:lvl>
  </w:abstractNum>
  <w:abstractNum w:abstractNumId="17" w15:restartNumberingAfterBreak="0">
    <w:nsid w:val="466A05E9"/>
    <w:multiLevelType w:val="hybridMultilevel"/>
    <w:tmpl w:val="CFB61122"/>
    <w:lvl w:ilvl="0" w:tplc="F516F7C4">
      <w:start w:val="1"/>
      <w:numFmt w:val="bullet"/>
      <w:lvlText w:val="&gt;"/>
      <w:lvlJc w:val="left"/>
      <w:pPr>
        <w:tabs>
          <w:tab w:val="num" w:pos="295"/>
        </w:tabs>
        <w:ind w:left="295" w:hanging="295"/>
      </w:pPr>
      <w:rPr>
        <w:rFonts w:ascii="HelveticaNeueLT Std Lt" w:hAnsi="HelveticaNeueLT Std Lt" w:hint="default"/>
        <w:sz w:val="20"/>
      </w:rPr>
    </w:lvl>
    <w:lvl w:ilvl="1" w:tplc="E5AEE2F4">
      <w:numFmt w:val="decimal"/>
      <w:lvlText w:val=""/>
      <w:lvlJc w:val="left"/>
    </w:lvl>
    <w:lvl w:ilvl="2" w:tplc="3F0066B2">
      <w:numFmt w:val="decimal"/>
      <w:lvlText w:val=""/>
      <w:lvlJc w:val="left"/>
    </w:lvl>
    <w:lvl w:ilvl="3" w:tplc="29167B12">
      <w:numFmt w:val="decimal"/>
      <w:lvlText w:val=""/>
      <w:lvlJc w:val="left"/>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0C090001">
      <w:start w:val="1"/>
      <w:numFmt w:val="bullet"/>
      <w:lvlText w:val=""/>
      <w:lvlJc w:val="left"/>
      <w:rPr>
        <w:rFonts w:ascii="Symbol" w:hAnsi="Symbol" w:hint="default"/>
      </w:rPr>
    </w:lvl>
  </w:abstractNum>
  <w:abstractNum w:abstractNumId="18" w15:restartNumberingAfterBreak="0">
    <w:nsid w:val="49C7177E"/>
    <w:multiLevelType w:val="hybridMultilevel"/>
    <w:tmpl w:val="BE2AD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04330"/>
    <w:multiLevelType w:val="hybridMultilevel"/>
    <w:tmpl w:val="8ACE8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D60AA"/>
    <w:multiLevelType w:val="hybridMultilevel"/>
    <w:tmpl w:val="4862558C"/>
    <w:lvl w:ilvl="0" w:tplc="4F365F3C">
      <w:start w:val="1"/>
      <w:numFmt w:val="bullet"/>
      <w:lvlText w:val="&gt;"/>
      <w:lvlJc w:val="left"/>
      <w:pPr>
        <w:ind w:left="720" w:hanging="360"/>
      </w:pPr>
      <w:rPr>
        <w:rFonts w:ascii="HelveticaNeueLT Std Lt" w:hAnsi="HelveticaNeueLT Std Lt" w:hint="default"/>
      </w:rPr>
    </w:lvl>
    <w:lvl w:ilvl="1" w:tplc="E1BA4A32">
      <w:start w:val="1"/>
      <w:numFmt w:val="bullet"/>
      <w:lvlText w:val="o"/>
      <w:lvlJc w:val="left"/>
      <w:pPr>
        <w:ind w:left="1440" w:hanging="360"/>
      </w:pPr>
      <w:rPr>
        <w:rFonts w:ascii="Courier New" w:hAnsi="Courier New" w:hint="default"/>
      </w:rPr>
    </w:lvl>
    <w:lvl w:ilvl="2" w:tplc="C792C228">
      <w:start w:val="1"/>
      <w:numFmt w:val="bullet"/>
      <w:lvlText w:val=""/>
      <w:lvlJc w:val="left"/>
      <w:pPr>
        <w:ind w:left="2160" w:hanging="360"/>
      </w:pPr>
      <w:rPr>
        <w:rFonts w:ascii="Wingdings" w:hAnsi="Wingdings" w:hint="default"/>
      </w:rPr>
    </w:lvl>
    <w:lvl w:ilvl="3" w:tplc="F73C582A">
      <w:start w:val="1"/>
      <w:numFmt w:val="bullet"/>
      <w:lvlText w:val=""/>
      <w:lvlJc w:val="left"/>
      <w:pPr>
        <w:ind w:left="2880" w:hanging="360"/>
      </w:pPr>
      <w:rPr>
        <w:rFonts w:ascii="Symbol" w:hAnsi="Symbol" w:hint="default"/>
      </w:rPr>
    </w:lvl>
    <w:lvl w:ilvl="4" w:tplc="A51CB4D0">
      <w:start w:val="1"/>
      <w:numFmt w:val="bullet"/>
      <w:lvlText w:val="o"/>
      <w:lvlJc w:val="left"/>
      <w:pPr>
        <w:ind w:left="3600" w:hanging="360"/>
      </w:pPr>
      <w:rPr>
        <w:rFonts w:ascii="Courier New" w:hAnsi="Courier New" w:hint="default"/>
      </w:rPr>
    </w:lvl>
    <w:lvl w:ilvl="5" w:tplc="37309800">
      <w:start w:val="1"/>
      <w:numFmt w:val="bullet"/>
      <w:lvlText w:val=""/>
      <w:lvlJc w:val="left"/>
      <w:pPr>
        <w:ind w:left="4320" w:hanging="360"/>
      </w:pPr>
      <w:rPr>
        <w:rFonts w:ascii="Wingdings" w:hAnsi="Wingdings" w:hint="default"/>
      </w:rPr>
    </w:lvl>
    <w:lvl w:ilvl="6" w:tplc="CBDC57DE">
      <w:start w:val="1"/>
      <w:numFmt w:val="bullet"/>
      <w:lvlText w:val=""/>
      <w:lvlJc w:val="left"/>
      <w:pPr>
        <w:ind w:left="5040" w:hanging="360"/>
      </w:pPr>
      <w:rPr>
        <w:rFonts w:ascii="Symbol" w:hAnsi="Symbol" w:hint="default"/>
      </w:rPr>
    </w:lvl>
    <w:lvl w:ilvl="7" w:tplc="3F24ABCE">
      <w:start w:val="1"/>
      <w:numFmt w:val="bullet"/>
      <w:lvlText w:val="o"/>
      <w:lvlJc w:val="left"/>
      <w:pPr>
        <w:ind w:left="5760" w:hanging="360"/>
      </w:pPr>
      <w:rPr>
        <w:rFonts w:ascii="Courier New" w:hAnsi="Courier New" w:hint="default"/>
      </w:rPr>
    </w:lvl>
    <w:lvl w:ilvl="8" w:tplc="81AAFA4C">
      <w:start w:val="1"/>
      <w:numFmt w:val="bullet"/>
      <w:lvlText w:val=""/>
      <w:lvlJc w:val="left"/>
      <w:pPr>
        <w:ind w:left="6480" w:hanging="360"/>
      </w:pPr>
      <w:rPr>
        <w:rFonts w:ascii="Wingdings" w:hAnsi="Wingdings" w:hint="default"/>
      </w:rPr>
    </w:lvl>
  </w:abstractNum>
  <w:abstractNum w:abstractNumId="21"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73E5B"/>
    <w:multiLevelType w:val="hybridMultilevel"/>
    <w:tmpl w:val="F1BE9E00"/>
    <w:lvl w:ilvl="0" w:tplc="F516F7C4">
      <w:start w:val="1"/>
      <w:numFmt w:val="bullet"/>
      <w:lvlText w:val="&gt;"/>
      <w:lvlJc w:val="left"/>
      <w:pPr>
        <w:tabs>
          <w:tab w:val="num" w:pos="295"/>
        </w:tabs>
        <w:ind w:left="295" w:hanging="295"/>
      </w:pPr>
      <w:rPr>
        <w:rFonts w:ascii="HelveticaNeueLT Std Lt" w:hAnsi="HelveticaNeueLT Std Lt" w:hint="default"/>
        <w:sz w:val="20"/>
      </w:rPr>
    </w:lvl>
    <w:lvl w:ilvl="1" w:tplc="E5AEE2F4">
      <w:numFmt w:val="decimal"/>
      <w:lvlText w:val=""/>
      <w:lvlJc w:val="left"/>
    </w:lvl>
    <w:lvl w:ilvl="2" w:tplc="3F0066B2">
      <w:numFmt w:val="decimal"/>
      <w:lvlText w:val=""/>
      <w:lvlJc w:val="left"/>
    </w:lvl>
    <w:lvl w:ilvl="3" w:tplc="0C090001">
      <w:start w:val="1"/>
      <w:numFmt w:val="bullet"/>
      <w:lvlText w:val=""/>
      <w:lvlJc w:val="left"/>
      <w:rPr>
        <w:rFonts w:ascii="Symbol" w:hAnsi="Symbol" w:hint="default"/>
      </w:rPr>
    </w:lvl>
    <w:lvl w:ilvl="4" w:tplc="C4C2EDF2">
      <w:numFmt w:val="decimal"/>
      <w:lvlText w:val=""/>
      <w:lvlJc w:val="left"/>
    </w:lvl>
    <w:lvl w:ilvl="5" w:tplc="F7DC5670">
      <w:numFmt w:val="decimal"/>
      <w:lvlText w:val=""/>
      <w:lvlJc w:val="left"/>
    </w:lvl>
    <w:lvl w:ilvl="6" w:tplc="6D163E8E">
      <w:numFmt w:val="decimal"/>
      <w:lvlText w:val=""/>
      <w:lvlJc w:val="left"/>
    </w:lvl>
    <w:lvl w:ilvl="7" w:tplc="3A507C1C">
      <w:numFmt w:val="decimal"/>
      <w:lvlText w:val=""/>
      <w:lvlJc w:val="left"/>
    </w:lvl>
    <w:lvl w:ilvl="8" w:tplc="BE7E88C0">
      <w:numFmt w:val="decimal"/>
      <w:lvlText w:val=""/>
      <w:lvlJc w:val="left"/>
    </w:lvl>
  </w:abstractNum>
  <w:abstractNum w:abstractNumId="2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617DC"/>
    <w:multiLevelType w:val="hybridMultilevel"/>
    <w:tmpl w:val="FFFFFFFF"/>
    <w:lvl w:ilvl="0" w:tplc="11E6E172">
      <w:start w:val="1"/>
      <w:numFmt w:val="bullet"/>
      <w:lvlText w:val="&gt;"/>
      <w:lvlJc w:val="left"/>
      <w:pPr>
        <w:ind w:left="720" w:hanging="360"/>
      </w:pPr>
      <w:rPr>
        <w:rFonts w:ascii="HelveticaNeueLT Std Lt" w:hAnsi="HelveticaNeueLT Std Lt" w:hint="default"/>
      </w:rPr>
    </w:lvl>
    <w:lvl w:ilvl="1" w:tplc="5430303E">
      <w:start w:val="1"/>
      <w:numFmt w:val="bullet"/>
      <w:lvlText w:val="o"/>
      <w:lvlJc w:val="left"/>
      <w:pPr>
        <w:ind w:left="1440" w:hanging="360"/>
      </w:pPr>
      <w:rPr>
        <w:rFonts w:ascii="Courier New" w:hAnsi="Courier New" w:hint="default"/>
      </w:rPr>
    </w:lvl>
    <w:lvl w:ilvl="2" w:tplc="433E18F2">
      <w:start w:val="1"/>
      <w:numFmt w:val="bullet"/>
      <w:lvlText w:val=""/>
      <w:lvlJc w:val="left"/>
      <w:pPr>
        <w:ind w:left="2160" w:hanging="360"/>
      </w:pPr>
      <w:rPr>
        <w:rFonts w:ascii="Wingdings" w:hAnsi="Wingdings" w:hint="default"/>
      </w:rPr>
    </w:lvl>
    <w:lvl w:ilvl="3" w:tplc="74988672">
      <w:start w:val="1"/>
      <w:numFmt w:val="bullet"/>
      <w:lvlText w:val=""/>
      <w:lvlJc w:val="left"/>
      <w:pPr>
        <w:ind w:left="2880" w:hanging="360"/>
      </w:pPr>
      <w:rPr>
        <w:rFonts w:ascii="Symbol" w:hAnsi="Symbol" w:hint="default"/>
      </w:rPr>
    </w:lvl>
    <w:lvl w:ilvl="4" w:tplc="5BC646E2">
      <w:start w:val="1"/>
      <w:numFmt w:val="bullet"/>
      <w:lvlText w:val="o"/>
      <w:lvlJc w:val="left"/>
      <w:pPr>
        <w:ind w:left="3600" w:hanging="360"/>
      </w:pPr>
      <w:rPr>
        <w:rFonts w:ascii="Courier New" w:hAnsi="Courier New" w:hint="default"/>
      </w:rPr>
    </w:lvl>
    <w:lvl w:ilvl="5" w:tplc="A5C067A4">
      <w:start w:val="1"/>
      <w:numFmt w:val="bullet"/>
      <w:lvlText w:val=""/>
      <w:lvlJc w:val="left"/>
      <w:pPr>
        <w:ind w:left="4320" w:hanging="360"/>
      </w:pPr>
      <w:rPr>
        <w:rFonts w:ascii="Wingdings" w:hAnsi="Wingdings" w:hint="default"/>
      </w:rPr>
    </w:lvl>
    <w:lvl w:ilvl="6" w:tplc="7D523666">
      <w:start w:val="1"/>
      <w:numFmt w:val="bullet"/>
      <w:lvlText w:val=""/>
      <w:lvlJc w:val="left"/>
      <w:pPr>
        <w:ind w:left="5040" w:hanging="360"/>
      </w:pPr>
      <w:rPr>
        <w:rFonts w:ascii="Symbol" w:hAnsi="Symbol" w:hint="default"/>
      </w:rPr>
    </w:lvl>
    <w:lvl w:ilvl="7" w:tplc="521204F4">
      <w:start w:val="1"/>
      <w:numFmt w:val="bullet"/>
      <w:lvlText w:val="o"/>
      <w:lvlJc w:val="left"/>
      <w:pPr>
        <w:ind w:left="5760" w:hanging="360"/>
      </w:pPr>
      <w:rPr>
        <w:rFonts w:ascii="Courier New" w:hAnsi="Courier New" w:hint="default"/>
      </w:rPr>
    </w:lvl>
    <w:lvl w:ilvl="8" w:tplc="5ECAD85A">
      <w:start w:val="1"/>
      <w:numFmt w:val="bullet"/>
      <w:lvlText w:val=""/>
      <w:lvlJc w:val="left"/>
      <w:pPr>
        <w:ind w:left="6480" w:hanging="360"/>
      </w:pPr>
      <w:rPr>
        <w:rFonts w:ascii="Wingdings" w:hAnsi="Wingdings" w:hint="default"/>
      </w:rPr>
    </w:lvl>
  </w:abstractNum>
  <w:abstractNum w:abstractNumId="26" w15:restartNumberingAfterBreak="0">
    <w:nsid w:val="6BE459F2"/>
    <w:multiLevelType w:val="hybridMultilevel"/>
    <w:tmpl w:val="CD723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A5E88"/>
    <w:multiLevelType w:val="hybridMultilevel"/>
    <w:tmpl w:val="8066519A"/>
    <w:lvl w:ilvl="0" w:tplc="C0C017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F700F3"/>
    <w:multiLevelType w:val="hybridMultilevel"/>
    <w:tmpl w:val="25FC797A"/>
    <w:lvl w:ilvl="0" w:tplc="BFF46CA4">
      <w:start w:val="1"/>
      <w:numFmt w:val="bullet"/>
      <w:lvlText w:val="&gt;"/>
      <w:lvlJc w:val="left"/>
      <w:pPr>
        <w:ind w:left="720" w:hanging="360"/>
      </w:pPr>
      <w:rPr>
        <w:rFonts w:ascii="HelveticaNeueLT Std Lt" w:hAnsi="HelveticaNeueLT Std Lt" w:hint="default"/>
      </w:rPr>
    </w:lvl>
    <w:lvl w:ilvl="1" w:tplc="31701CC4">
      <w:start w:val="1"/>
      <w:numFmt w:val="bullet"/>
      <w:lvlText w:val="o"/>
      <w:lvlJc w:val="left"/>
      <w:pPr>
        <w:ind w:left="1440" w:hanging="360"/>
      </w:pPr>
      <w:rPr>
        <w:rFonts w:ascii="Courier New" w:hAnsi="Courier New" w:hint="default"/>
      </w:rPr>
    </w:lvl>
    <w:lvl w:ilvl="2" w:tplc="FA2E4E00">
      <w:start w:val="1"/>
      <w:numFmt w:val="bullet"/>
      <w:lvlText w:val=""/>
      <w:lvlJc w:val="left"/>
      <w:pPr>
        <w:ind w:left="2160" w:hanging="360"/>
      </w:pPr>
      <w:rPr>
        <w:rFonts w:ascii="Wingdings" w:hAnsi="Wingdings" w:hint="default"/>
      </w:rPr>
    </w:lvl>
    <w:lvl w:ilvl="3" w:tplc="E6AAC96E">
      <w:start w:val="1"/>
      <w:numFmt w:val="bullet"/>
      <w:lvlText w:val=""/>
      <w:lvlJc w:val="left"/>
      <w:pPr>
        <w:ind w:left="2880" w:hanging="360"/>
      </w:pPr>
      <w:rPr>
        <w:rFonts w:ascii="Symbol" w:hAnsi="Symbol" w:hint="default"/>
      </w:rPr>
    </w:lvl>
    <w:lvl w:ilvl="4" w:tplc="15D61E8E">
      <w:start w:val="1"/>
      <w:numFmt w:val="bullet"/>
      <w:lvlText w:val="o"/>
      <w:lvlJc w:val="left"/>
      <w:pPr>
        <w:ind w:left="3600" w:hanging="360"/>
      </w:pPr>
      <w:rPr>
        <w:rFonts w:ascii="Courier New" w:hAnsi="Courier New" w:hint="default"/>
      </w:rPr>
    </w:lvl>
    <w:lvl w:ilvl="5" w:tplc="7EF2ABF0">
      <w:start w:val="1"/>
      <w:numFmt w:val="bullet"/>
      <w:lvlText w:val=""/>
      <w:lvlJc w:val="left"/>
      <w:pPr>
        <w:ind w:left="4320" w:hanging="360"/>
      </w:pPr>
      <w:rPr>
        <w:rFonts w:ascii="Wingdings" w:hAnsi="Wingdings" w:hint="default"/>
      </w:rPr>
    </w:lvl>
    <w:lvl w:ilvl="6" w:tplc="9432E91A">
      <w:start w:val="1"/>
      <w:numFmt w:val="bullet"/>
      <w:lvlText w:val=""/>
      <w:lvlJc w:val="left"/>
      <w:pPr>
        <w:ind w:left="5040" w:hanging="360"/>
      </w:pPr>
      <w:rPr>
        <w:rFonts w:ascii="Symbol" w:hAnsi="Symbol" w:hint="default"/>
      </w:rPr>
    </w:lvl>
    <w:lvl w:ilvl="7" w:tplc="34AABFFE">
      <w:start w:val="1"/>
      <w:numFmt w:val="bullet"/>
      <w:lvlText w:val="o"/>
      <w:lvlJc w:val="left"/>
      <w:pPr>
        <w:ind w:left="5760" w:hanging="360"/>
      </w:pPr>
      <w:rPr>
        <w:rFonts w:ascii="Courier New" w:hAnsi="Courier New" w:hint="default"/>
      </w:rPr>
    </w:lvl>
    <w:lvl w:ilvl="8" w:tplc="14EC14E6">
      <w:start w:val="1"/>
      <w:numFmt w:val="bullet"/>
      <w:lvlText w:val=""/>
      <w:lvlJc w:val="left"/>
      <w:pPr>
        <w:ind w:left="6480" w:hanging="360"/>
      </w:pPr>
      <w:rPr>
        <w:rFonts w:ascii="Wingdings" w:hAnsi="Wingdings" w:hint="default"/>
      </w:rPr>
    </w:lvl>
  </w:abstractNum>
  <w:abstractNum w:abstractNumId="30" w15:restartNumberingAfterBreak="0">
    <w:nsid w:val="795F7CA3"/>
    <w:multiLevelType w:val="hybridMultilevel"/>
    <w:tmpl w:val="93FCAD1E"/>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322B3"/>
    <w:multiLevelType w:val="hybridMultilevel"/>
    <w:tmpl w:val="CEF2AC2A"/>
    <w:lvl w:ilvl="0" w:tplc="476EB348">
      <w:start w:val="1"/>
      <w:numFmt w:val="bullet"/>
      <w:lvlText w:val="&gt;"/>
      <w:lvlJc w:val="left"/>
      <w:pPr>
        <w:ind w:left="720" w:hanging="360"/>
      </w:pPr>
      <w:rPr>
        <w:rFonts w:ascii="HelveticaNeueLT Std Lt" w:hAnsi="HelveticaNeueLT Std Lt" w:hint="default"/>
      </w:rPr>
    </w:lvl>
    <w:lvl w:ilvl="1" w:tplc="65BC497C">
      <w:start w:val="1"/>
      <w:numFmt w:val="bullet"/>
      <w:lvlText w:val="o"/>
      <w:lvlJc w:val="left"/>
      <w:pPr>
        <w:ind w:left="1440" w:hanging="360"/>
      </w:pPr>
      <w:rPr>
        <w:rFonts w:ascii="Courier New" w:hAnsi="Courier New" w:hint="default"/>
      </w:rPr>
    </w:lvl>
    <w:lvl w:ilvl="2" w:tplc="84AE761E">
      <w:start w:val="1"/>
      <w:numFmt w:val="bullet"/>
      <w:lvlText w:val=""/>
      <w:lvlJc w:val="left"/>
      <w:pPr>
        <w:ind w:left="2160" w:hanging="360"/>
      </w:pPr>
      <w:rPr>
        <w:rFonts w:ascii="Wingdings" w:hAnsi="Wingdings" w:hint="default"/>
      </w:rPr>
    </w:lvl>
    <w:lvl w:ilvl="3" w:tplc="F24E60CE">
      <w:start w:val="1"/>
      <w:numFmt w:val="bullet"/>
      <w:lvlText w:val=""/>
      <w:lvlJc w:val="left"/>
      <w:pPr>
        <w:ind w:left="2880" w:hanging="360"/>
      </w:pPr>
      <w:rPr>
        <w:rFonts w:ascii="Symbol" w:hAnsi="Symbol" w:hint="default"/>
      </w:rPr>
    </w:lvl>
    <w:lvl w:ilvl="4" w:tplc="50DEC476">
      <w:start w:val="1"/>
      <w:numFmt w:val="bullet"/>
      <w:lvlText w:val="o"/>
      <w:lvlJc w:val="left"/>
      <w:pPr>
        <w:ind w:left="3600" w:hanging="360"/>
      </w:pPr>
      <w:rPr>
        <w:rFonts w:ascii="Courier New" w:hAnsi="Courier New" w:hint="default"/>
      </w:rPr>
    </w:lvl>
    <w:lvl w:ilvl="5" w:tplc="8E2A4B12">
      <w:start w:val="1"/>
      <w:numFmt w:val="bullet"/>
      <w:lvlText w:val=""/>
      <w:lvlJc w:val="left"/>
      <w:pPr>
        <w:ind w:left="4320" w:hanging="360"/>
      </w:pPr>
      <w:rPr>
        <w:rFonts w:ascii="Wingdings" w:hAnsi="Wingdings" w:hint="default"/>
      </w:rPr>
    </w:lvl>
    <w:lvl w:ilvl="6" w:tplc="515CA12C">
      <w:start w:val="1"/>
      <w:numFmt w:val="bullet"/>
      <w:lvlText w:val=""/>
      <w:lvlJc w:val="left"/>
      <w:pPr>
        <w:ind w:left="5040" w:hanging="360"/>
      </w:pPr>
      <w:rPr>
        <w:rFonts w:ascii="Symbol" w:hAnsi="Symbol" w:hint="default"/>
      </w:rPr>
    </w:lvl>
    <w:lvl w:ilvl="7" w:tplc="A080EAEE">
      <w:start w:val="1"/>
      <w:numFmt w:val="bullet"/>
      <w:lvlText w:val="o"/>
      <w:lvlJc w:val="left"/>
      <w:pPr>
        <w:ind w:left="5760" w:hanging="360"/>
      </w:pPr>
      <w:rPr>
        <w:rFonts w:ascii="Courier New" w:hAnsi="Courier New" w:hint="default"/>
      </w:rPr>
    </w:lvl>
    <w:lvl w:ilvl="8" w:tplc="42C4EE32">
      <w:start w:val="1"/>
      <w:numFmt w:val="bullet"/>
      <w:lvlText w:val=""/>
      <w:lvlJc w:val="left"/>
      <w:pPr>
        <w:ind w:left="6480" w:hanging="360"/>
      </w:pPr>
      <w:rPr>
        <w:rFonts w:ascii="Wingdings" w:hAnsi="Wingdings" w:hint="default"/>
      </w:rPr>
    </w:lvl>
  </w:abstractNum>
  <w:abstractNum w:abstractNumId="32" w15:restartNumberingAfterBreak="0">
    <w:nsid w:val="7F2330B7"/>
    <w:multiLevelType w:val="hybridMultilevel"/>
    <w:tmpl w:val="53BA6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9"/>
  </w:num>
  <w:num w:numId="4">
    <w:abstractNumId w:val="2"/>
  </w:num>
  <w:num w:numId="5">
    <w:abstractNumId w:val="1"/>
  </w:num>
  <w:num w:numId="6">
    <w:abstractNumId w:val="0"/>
  </w:num>
  <w:num w:numId="7">
    <w:abstractNumId w:val="13"/>
  </w:num>
  <w:num w:numId="8">
    <w:abstractNumId w:val="24"/>
  </w:num>
  <w:num w:numId="9">
    <w:abstractNumId w:val="21"/>
  </w:num>
  <w:num w:numId="10">
    <w:abstractNumId w:val="23"/>
  </w:num>
  <w:num w:numId="11">
    <w:abstractNumId w:val="27"/>
  </w:num>
  <w:num w:numId="12">
    <w:abstractNumId w:val="8"/>
  </w:num>
  <w:num w:numId="13">
    <w:abstractNumId w:val="15"/>
  </w:num>
  <w:num w:numId="14">
    <w:abstractNumId w:val="19"/>
  </w:num>
  <w:num w:numId="15">
    <w:abstractNumId w:val="10"/>
  </w:num>
  <w:num w:numId="16">
    <w:abstractNumId w:val="14"/>
  </w:num>
  <w:num w:numId="17">
    <w:abstractNumId w:val="25"/>
  </w:num>
  <w:num w:numId="18">
    <w:abstractNumId w:val="16"/>
  </w:num>
  <w:num w:numId="19">
    <w:abstractNumId w:val="7"/>
  </w:num>
  <w:num w:numId="20">
    <w:abstractNumId w:val="11"/>
  </w:num>
  <w:num w:numId="21">
    <w:abstractNumId w:val="31"/>
  </w:num>
  <w:num w:numId="22">
    <w:abstractNumId w:val="12"/>
  </w:num>
  <w:num w:numId="23">
    <w:abstractNumId w:val="26"/>
  </w:num>
  <w:num w:numId="24">
    <w:abstractNumId w:val="18"/>
  </w:num>
  <w:num w:numId="25">
    <w:abstractNumId w:val="32"/>
  </w:num>
  <w:num w:numId="26">
    <w:abstractNumId w:val="4"/>
  </w:num>
  <w:num w:numId="27">
    <w:abstractNumId w:val="9"/>
  </w:num>
  <w:num w:numId="28">
    <w:abstractNumId w:val="30"/>
  </w:num>
  <w:num w:numId="29">
    <w:abstractNumId w:val="2"/>
  </w:num>
  <w:num w:numId="30">
    <w:abstractNumId w:val="2"/>
  </w:num>
  <w:num w:numId="31">
    <w:abstractNumId w:val="2"/>
  </w:num>
  <w:num w:numId="32">
    <w:abstractNumId w:val="2"/>
  </w:num>
  <w:num w:numId="33">
    <w:abstractNumId w:val="2"/>
  </w:num>
  <w:num w:numId="34">
    <w:abstractNumId w:val="3"/>
  </w:num>
  <w:num w:numId="35">
    <w:abstractNumId w:val="6"/>
  </w:num>
  <w:num w:numId="36">
    <w:abstractNumId w:val="27"/>
  </w:num>
  <w:num w:numId="37">
    <w:abstractNumId w:val="22"/>
  </w:num>
  <w:num w:numId="38">
    <w:abstractNumId w:val="17"/>
  </w:num>
  <w:num w:numId="39">
    <w:abstractNumId w:val="2"/>
  </w:num>
  <w:num w:numId="4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61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DB"/>
    <w:rsid w:val="0000061C"/>
    <w:rsid w:val="00000ADD"/>
    <w:rsid w:val="00000C62"/>
    <w:rsid w:val="00000DBD"/>
    <w:rsid w:val="00001650"/>
    <w:rsid w:val="00002180"/>
    <w:rsid w:val="00002262"/>
    <w:rsid w:val="000030B8"/>
    <w:rsid w:val="0000421A"/>
    <w:rsid w:val="000049DA"/>
    <w:rsid w:val="0000550D"/>
    <w:rsid w:val="000055BF"/>
    <w:rsid w:val="0000592E"/>
    <w:rsid w:val="000062E2"/>
    <w:rsid w:val="00006985"/>
    <w:rsid w:val="00006C65"/>
    <w:rsid w:val="00006F9B"/>
    <w:rsid w:val="00007FB2"/>
    <w:rsid w:val="000101B2"/>
    <w:rsid w:val="00010667"/>
    <w:rsid w:val="00011022"/>
    <w:rsid w:val="000110A4"/>
    <w:rsid w:val="00011148"/>
    <w:rsid w:val="000115DA"/>
    <w:rsid w:val="00011C29"/>
    <w:rsid w:val="00011CDA"/>
    <w:rsid w:val="00012070"/>
    <w:rsid w:val="00012375"/>
    <w:rsid w:val="00012455"/>
    <w:rsid w:val="000126C5"/>
    <w:rsid w:val="000127BC"/>
    <w:rsid w:val="00012841"/>
    <w:rsid w:val="000129D5"/>
    <w:rsid w:val="00013385"/>
    <w:rsid w:val="000145C1"/>
    <w:rsid w:val="000147C7"/>
    <w:rsid w:val="0001536D"/>
    <w:rsid w:val="00015AE7"/>
    <w:rsid w:val="00015F61"/>
    <w:rsid w:val="000161DF"/>
    <w:rsid w:val="00016286"/>
    <w:rsid w:val="000169B1"/>
    <w:rsid w:val="00016E21"/>
    <w:rsid w:val="00016EC8"/>
    <w:rsid w:val="0001719C"/>
    <w:rsid w:val="00017970"/>
    <w:rsid w:val="0002093C"/>
    <w:rsid w:val="00020C84"/>
    <w:rsid w:val="00021C4E"/>
    <w:rsid w:val="0002224E"/>
    <w:rsid w:val="00022533"/>
    <w:rsid w:val="00022812"/>
    <w:rsid w:val="00022857"/>
    <w:rsid w:val="00022935"/>
    <w:rsid w:val="00022A0D"/>
    <w:rsid w:val="00022D27"/>
    <w:rsid w:val="00023932"/>
    <w:rsid w:val="00023E7E"/>
    <w:rsid w:val="00024552"/>
    <w:rsid w:val="000245E5"/>
    <w:rsid w:val="00026F91"/>
    <w:rsid w:val="00027919"/>
    <w:rsid w:val="00027A1D"/>
    <w:rsid w:val="00027BAD"/>
    <w:rsid w:val="00030B07"/>
    <w:rsid w:val="00030BC3"/>
    <w:rsid w:val="00030BD4"/>
    <w:rsid w:val="00031143"/>
    <w:rsid w:val="000312DA"/>
    <w:rsid w:val="00031BD0"/>
    <w:rsid w:val="0003203A"/>
    <w:rsid w:val="00032621"/>
    <w:rsid w:val="000326CD"/>
    <w:rsid w:val="00032E08"/>
    <w:rsid w:val="00032FE0"/>
    <w:rsid w:val="00033080"/>
    <w:rsid w:val="000338AF"/>
    <w:rsid w:val="00033B87"/>
    <w:rsid w:val="000343BE"/>
    <w:rsid w:val="000343C6"/>
    <w:rsid w:val="000344CC"/>
    <w:rsid w:val="0003484D"/>
    <w:rsid w:val="00034910"/>
    <w:rsid w:val="000355DB"/>
    <w:rsid w:val="00035644"/>
    <w:rsid w:val="000356EC"/>
    <w:rsid w:val="000362EC"/>
    <w:rsid w:val="00036752"/>
    <w:rsid w:val="00037D58"/>
    <w:rsid w:val="00041DF8"/>
    <w:rsid w:val="00041F7A"/>
    <w:rsid w:val="00042ECD"/>
    <w:rsid w:val="0004421D"/>
    <w:rsid w:val="00044837"/>
    <w:rsid w:val="000449EF"/>
    <w:rsid w:val="00044D3B"/>
    <w:rsid w:val="00045060"/>
    <w:rsid w:val="00045163"/>
    <w:rsid w:val="00045AAE"/>
    <w:rsid w:val="00045AB9"/>
    <w:rsid w:val="000461FE"/>
    <w:rsid w:val="00046DA5"/>
    <w:rsid w:val="00047187"/>
    <w:rsid w:val="000473FD"/>
    <w:rsid w:val="0004764C"/>
    <w:rsid w:val="00047977"/>
    <w:rsid w:val="00047D82"/>
    <w:rsid w:val="0005011A"/>
    <w:rsid w:val="0005045A"/>
    <w:rsid w:val="000505FB"/>
    <w:rsid w:val="000506E3"/>
    <w:rsid w:val="000509B5"/>
    <w:rsid w:val="00050E11"/>
    <w:rsid w:val="00051C1E"/>
    <w:rsid w:val="00051DA5"/>
    <w:rsid w:val="0005206F"/>
    <w:rsid w:val="00053247"/>
    <w:rsid w:val="0005355E"/>
    <w:rsid w:val="00053741"/>
    <w:rsid w:val="000539F9"/>
    <w:rsid w:val="00053C7A"/>
    <w:rsid w:val="00054818"/>
    <w:rsid w:val="00054A43"/>
    <w:rsid w:val="00054C27"/>
    <w:rsid w:val="00054C50"/>
    <w:rsid w:val="000553E5"/>
    <w:rsid w:val="000555A6"/>
    <w:rsid w:val="0005586E"/>
    <w:rsid w:val="00055EC3"/>
    <w:rsid w:val="000563CE"/>
    <w:rsid w:val="00056C08"/>
    <w:rsid w:val="000571DD"/>
    <w:rsid w:val="00057362"/>
    <w:rsid w:val="0005741A"/>
    <w:rsid w:val="0005765D"/>
    <w:rsid w:val="000577C6"/>
    <w:rsid w:val="000577CE"/>
    <w:rsid w:val="00057BFF"/>
    <w:rsid w:val="000602EC"/>
    <w:rsid w:val="00060D29"/>
    <w:rsid w:val="00061013"/>
    <w:rsid w:val="000612F2"/>
    <w:rsid w:val="00061CF1"/>
    <w:rsid w:val="00061E79"/>
    <w:rsid w:val="000624B1"/>
    <w:rsid w:val="0006291B"/>
    <w:rsid w:val="00062BCD"/>
    <w:rsid w:val="000638A2"/>
    <w:rsid w:val="00063A76"/>
    <w:rsid w:val="00065028"/>
    <w:rsid w:val="00065314"/>
    <w:rsid w:val="00065415"/>
    <w:rsid w:val="0006548A"/>
    <w:rsid w:val="0006558E"/>
    <w:rsid w:val="000656C7"/>
    <w:rsid w:val="0006597E"/>
    <w:rsid w:val="000659B6"/>
    <w:rsid w:val="00065B08"/>
    <w:rsid w:val="00065F50"/>
    <w:rsid w:val="000660E4"/>
    <w:rsid w:val="0006686F"/>
    <w:rsid w:val="0006722A"/>
    <w:rsid w:val="000675D1"/>
    <w:rsid w:val="000678F3"/>
    <w:rsid w:val="00067EE6"/>
    <w:rsid w:val="00070A7D"/>
    <w:rsid w:val="00070A7E"/>
    <w:rsid w:val="00070BD1"/>
    <w:rsid w:val="00070F2C"/>
    <w:rsid w:val="0007151A"/>
    <w:rsid w:val="00071938"/>
    <w:rsid w:val="00071DCD"/>
    <w:rsid w:val="00071EB2"/>
    <w:rsid w:val="00072733"/>
    <w:rsid w:val="000732CF"/>
    <w:rsid w:val="000738F7"/>
    <w:rsid w:val="00074E52"/>
    <w:rsid w:val="00074F50"/>
    <w:rsid w:val="00075914"/>
    <w:rsid w:val="00075B96"/>
    <w:rsid w:val="00075F59"/>
    <w:rsid w:val="000766D5"/>
    <w:rsid w:val="00077175"/>
    <w:rsid w:val="00077210"/>
    <w:rsid w:val="0007738B"/>
    <w:rsid w:val="00077D08"/>
    <w:rsid w:val="00077DC6"/>
    <w:rsid w:val="00080729"/>
    <w:rsid w:val="00080929"/>
    <w:rsid w:val="00080981"/>
    <w:rsid w:val="00080CAC"/>
    <w:rsid w:val="00081128"/>
    <w:rsid w:val="000817B7"/>
    <w:rsid w:val="00081888"/>
    <w:rsid w:val="0008196A"/>
    <w:rsid w:val="00081D72"/>
    <w:rsid w:val="00082CF0"/>
    <w:rsid w:val="00082EFB"/>
    <w:rsid w:val="00083B68"/>
    <w:rsid w:val="00083DB0"/>
    <w:rsid w:val="000844DF"/>
    <w:rsid w:val="000854F4"/>
    <w:rsid w:val="00085B4A"/>
    <w:rsid w:val="00085ED1"/>
    <w:rsid w:val="00087366"/>
    <w:rsid w:val="00087ACA"/>
    <w:rsid w:val="00090470"/>
    <w:rsid w:val="000915ED"/>
    <w:rsid w:val="0009180B"/>
    <w:rsid w:val="00091880"/>
    <w:rsid w:val="0009209D"/>
    <w:rsid w:val="00092458"/>
    <w:rsid w:val="0009257D"/>
    <w:rsid w:val="00092C0F"/>
    <w:rsid w:val="00092C96"/>
    <w:rsid w:val="00092D67"/>
    <w:rsid w:val="00092EF7"/>
    <w:rsid w:val="0009324D"/>
    <w:rsid w:val="00093B08"/>
    <w:rsid w:val="00093EE0"/>
    <w:rsid w:val="00093F9D"/>
    <w:rsid w:val="00094332"/>
    <w:rsid w:val="0009463C"/>
    <w:rsid w:val="00094882"/>
    <w:rsid w:val="00094D26"/>
    <w:rsid w:val="00095743"/>
    <w:rsid w:val="00095819"/>
    <w:rsid w:val="00095E59"/>
    <w:rsid w:val="00096925"/>
    <w:rsid w:val="000969B2"/>
    <w:rsid w:val="000969BD"/>
    <w:rsid w:val="000969BF"/>
    <w:rsid w:val="00097F88"/>
    <w:rsid w:val="000A0182"/>
    <w:rsid w:val="000A0956"/>
    <w:rsid w:val="000A0C22"/>
    <w:rsid w:val="000A11F5"/>
    <w:rsid w:val="000A12DD"/>
    <w:rsid w:val="000A1400"/>
    <w:rsid w:val="000A1982"/>
    <w:rsid w:val="000A1C15"/>
    <w:rsid w:val="000A2EED"/>
    <w:rsid w:val="000A37C6"/>
    <w:rsid w:val="000A3C43"/>
    <w:rsid w:val="000A4363"/>
    <w:rsid w:val="000A4433"/>
    <w:rsid w:val="000A4A51"/>
    <w:rsid w:val="000A5D2B"/>
    <w:rsid w:val="000A6B38"/>
    <w:rsid w:val="000A6B83"/>
    <w:rsid w:val="000A7726"/>
    <w:rsid w:val="000A7825"/>
    <w:rsid w:val="000B1EDF"/>
    <w:rsid w:val="000B1FA6"/>
    <w:rsid w:val="000B1FDB"/>
    <w:rsid w:val="000B307B"/>
    <w:rsid w:val="000B3A20"/>
    <w:rsid w:val="000B3AF7"/>
    <w:rsid w:val="000B3C28"/>
    <w:rsid w:val="000B3EFA"/>
    <w:rsid w:val="000B3F11"/>
    <w:rsid w:val="000B44E1"/>
    <w:rsid w:val="000B4664"/>
    <w:rsid w:val="000B5DE3"/>
    <w:rsid w:val="000B6014"/>
    <w:rsid w:val="000B679E"/>
    <w:rsid w:val="000B6C9B"/>
    <w:rsid w:val="000B7474"/>
    <w:rsid w:val="000B74D5"/>
    <w:rsid w:val="000C01AA"/>
    <w:rsid w:val="000C0797"/>
    <w:rsid w:val="000C0A2E"/>
    <w:rsid w:val="000C0A57"/>
    <w:rsid w:val="000C0BAE"/>
    <w:rsid w:val="000C1687"/>
    <w:rsid w:val="000C2150"/>
    <w:rsid w:val="000C230C"/>
    <w:rsid w:val="000C3381"/>
    <w:rsid w:val="000C4EDF"/>
    <w:rsid w:val="000C5828"/>
    <w:rsid w:val="000C5B4F"/>
    <w:rsid w:val="000C5B51"/>
    <w:rsid w:val="000C6363"/>
    <w:rsid w:val="000C69B9"/>
    <w:rsid w:val="000C6AB4"/>
    <w:rsid w:val="000C6D91"/>
    <w:rsid w:val="000C7F7A"/>
    <w:rsid w:val="000D02F8"/>
    <w:rsid w:val="000D080F"/>
    <w:rsid w:val="000D0984"/>
    <w:rsid w:val="000D2ABF"/>
    <w:rsid w:val="000D2F38"/>
    <w:rsid w:val="000D316D"/>
    <w:rsid w:val="000D3341"/>
    <w:rsid w:val="000D4539"/>
    <w:rsid w:val="000D47C6"/>
    <w:rsid w:val="000D4ADD"/>
    <w:rsid w:val="000D4C29"/>
    <w:rsid w:val="000D4D8C"/>
    <w:rsid w:val="000D609A"/>
    <w:rsid w:val="000D6750"/>
    <w:rsid w:val="000D6BF8"/>
    <w:rsid w:val="000D70DB"/>
    <w:rsid w:val="000D71D9"/>
    <w:rsid w:val="000D72C8"/>
    <w:rsid w:val="000D76E0"/>
    <w:rsid w:val="000D7BE7"/>
    <w:rsid w:val="000D7E38"/>
    <w:rsid w:val="000D7E8B"/>
    <w:rsid w:val="000D7F8A"/>
    <w:rsid w:val="000D7F97"/>
    <w:rsid w:val="000E058E"/>
    <w:rsid w:val="000E0728"/>
    <w:rsid w:val="000E146E"/>
    <w:rsid w:val="000E158A"/>
    <w:rsid w:val="000E1F7D"/>
    <w:rsid w:val="000E214C"/>
    <w:rsid w:val="000E2D44"/>
    <w:rsid w:val="000E4309"/>
    <w:rsid w:val="000E4449"/>
    <w:rsid w:val="000E47B8"/>
    <w:rsid w:val="000E4F82"/>
    <w:rsid w:val="000E5531"/>
    <w:rsid w:val="000E6097"/>
    <w:rsid w:val="000E70B9"/>
    <w:rsid w:val="000F0BDC"/>
    <w:rsid w:val="000F0CB4"/>
    <w:rsid w:val="000F138B"/>
    <w:rsid w:val="000F14FC"/>
    <w:rsid w:val="000F1BC7"/>
    <w:rsid w:val="000F1F65"/>
    <w:rsid w:val="000F2A21"/>
    <w:rsid w:val="000F2CB6"/>
    <w:rsid w:val="000F2DF0"/>
    <w:rsid w:val="000F3998"/>
    <w:rsid w:val="000F39DC"/>
    <w:rsid w:val="000F4F27"/>
    <w:rsid w:val="000F5266"/>
    <w:rsid w:val="000F52D8"/>
    <w:rsid w:val="000F5529"/>
    <w:rsid w:val="000F5867"/>
    <w:rsid w:val="000F735E"/>
    <w:rsid w:val="000F7D43"/>
    <w:rsid w:val="001009C3"/>
    <w:rsid w:val="00100E02"/>
    <w:rsid w:val="001016C9"/>
    <w:rsid w:val="00103829"/>
    <w:rsid w:val="0010407D"/>
    <w:rsid w:val="0010503D"/>
    <w:rsid w:val="0010562A"/>
    <w:rsid w:val="00105A07"/>
    <w:rsid w:val="00105A33"/>
    <w:rsid w:val="0010611A"/>
    <w:rsid w:val="0010625F"/>
    <w:rsid w:val="00106CD1"/>
    <w:rsid w:val="00107087"/>
    <w:rsid w:val="0011040A"/>
    <w:rsid w:val="00110AEF"/>
    <w:rsid w:val="00111664"/>
    <w:rsid w:val="0011175F"/>
    <w:rsid w:val="001118BC"/>
    <w:rsid w:val="001119AF"/>
    <w:rsid w:val="00111FCE"/>
    <w:rsid w:val="00112D50"/>
    <w:rsid w:val="00113485"/>
    <w:rsid w:val="00113644"/>
    <w:rsid w:val="00113E55"/>
    <w:rsid w:val="001143EE"/>
    <w:rsid w:val="0011483C"/>
    <w:rsid w:val="00114952"/>
    <w:rsid w:val="00115926"/>
    <w:rsid w:val="0011605E"/>
    <w:rsid w:val="00116DB9"/>
    <w:rsid w:val="00116F79"/>
    <w:rsid w:val="001171E7"/>
    <w:rsid w:val="0011747A"/>
    <w:rsid w:val="00117E0A"/>
    <w:rsid w:val="00120C04"/>
    <w:rsid w:val="00120C93"/>
    <w:rsid w:val="00121889"/>
    <w:rsid w:val="00121B92"/>
    <w:rsid w:val="00121C96"/>
    <w:rsid w:val="0012283D"/>
    <w:rsid w:val="001229A5"/>
    <w:rsid w:val="00123EE1"/>
    <w:rsid w:val="0012489B"/>
    <w:rsid w:val="001251E8"/>
    <w:rsid w:val="00125281"/>
    <w:rsid w:val="001256D6"/>
    <w:rsid w:val="001257FD"/>
    <w:rsid w:val="00125F70"/>
    <w:rsid w:val="00126B3A"/>
    <w:rsid w:val="00127034"/>
    <w:rsid w:val="001271BA"/>
    <w:rsid w:val="0012785A"/>
    <w:rsid w:val="00127933"/>
    <w:rsid w:val="00130017"/>
    <w:rsid w:val="00130080"/>
    <w:rsid w:val="00130938"/>
    <w:rsid w:val="00130A7B"/>
    <w:rsid w:val="00130F91"/>
    <w:rsid w:val="001312E8"/>
    <w:rsid w:val="001323E8"/>
    <w:rsid w:val="0013498D"/>
    <w:rsid w:val="001349ED"/>
    <w:rsid w:val="00134F27"/>
    <w:rsid w:val="00134F5B"/>
    <w:rsid w:val="001351FA"/>
    <w:rsid w:val="001351FB"/>
    <w:rsid w:val="00135A0A"/>
    <w:rsid w:val="00136A80"/>
    <w:rsid w:val="00136AA4"/>
    <w:rsid w:val="00136CBA"/>
    <w:rsid w:val="00136E0B"/>
    <w:rsid w:val="00137424"/>
    <w:rsid w:val="001378E9"/>
    <w:rsid w:val="00140318"/>
    <w:rsid w:val="00140324"/>
    <w:rsid w:val="001403D6"/>
    <w:rsid w:val="0014064E"/>
    <w:rsid w:val="001408AE"/>
    <w:rsid w:val="00140CC9"/>
    <w:rsid w:val="001414AA"/>
    <w:rsid w:val="001419EA"/>
    <w:rsid w:val="00141AD9"/>
    <w:rsid w:val="00141D78"/>
    <w:rsid w:val="001422A7"/>
    <w:rsid w:val="0014275B"/>
    <w:rsid w:val="001430DC"/>
    <w:rsid w:val="00144266"/>
    <w:rsid w:val="001442F7"/>
    <w:rsid w:val="0014455D"/>
    <w:rsid w:val="001450A2"/>
    <w:rsid w:val="00145176"/>
    <w:rsid w:val="00145A39"/>
    <w:rsid w:val="001460F4"/>
    <w:rsid w:val="00146806"/>
    <w:rsid w:val="00146A20"/>
    <w:rsid w:val="00146CE6"/>
    <w:rsid w:val="0015008F"/>
    <w:rsid w:val="001507F9"/>
    <w:rsid w:val="00150858"/>
    <w:rsid w:val="001509E8"/>
    <w:rsid w:val="001520D4"/>
    <w:rsid w:val="00152728"/>
    <w:rsid w:val="00152903"/>
    <w:rsid w:val="00152B3A"/>
    <w:rsid w:val="00152E87"/>
    <w:rsid w:val="0015313A"/>
    <w:rsid w:val="001533B3"/>
    <w:rsid w:val="00153F17"/>
    <w:rsid w:val="00153FD5"/>
    <w:rsid w:val="00154472"/>
    <w:rsid w:val="00154E8A"/>
    <w:rsid w:val="0015614F"/>
    <w:rsid w:val="001577C2"/>
    <w:rsid w:val="00157FF1"/>
    <w:rsid w:val="00160389"/>
    <w:rsid w:val="001609B6"/>
    <w:rsid w:val="00160D39"/>
    <w:rsid w:val="00161412"/>
    <w:rsid w:val="00161C0E"/>
    <w:rsid w:val="00161FB6"/>
    <w:rsid w:val="00162567"/>
    <w:rsid w:val="00162B17"/>
    <w:rsid w:val="00162FBA"/>
    <w:rsid w:val="001633C4"/>
    <w:rsid w:val="001636F9"/>
    <w:rsid w:val="00163AE0"/>
    <w:rsid w:val="00164414"/>
    <w:rsid w:val="0016487D"/>
    <w:rsid w:val="00165455"/>
    <w:rsid w:val="00165C30"/>
    <w:rsid w:val="00166011"/>
    <w:rsid w:val="00166F19"/>
    <w:rsid w:val="001704D5"/>
    <w:rsid w:val="00170AEA"/>
    <w:rsid w:val="00170B40"/>
    <w:rsid w:val="0017116F"/>
    <w:rsid w:val="00171591"/>
    <w:rsid w:val="001717AF"/>
    <w:rsid w:val="001717F9"/>
    <w:rsid w:val="00171E6F"/>
    <w:rsid w:val="00173164"/>
    <w:rsid w:val="001738CD"/>
    <w:rsid w:val="00173981"/>
    <w:rsid w:val="00174A78"/>
    <w:rsid w:val="001753A6"/>
    <w:rsid w:val="0017582E"/>
    <w:rsid w:val="00175C29"/>
    <w:rsid w:val="00176672"/>
    <w:rsid w:val="001767B9"/>
    <w:rsid w:val="0017719D"/>
    <w:rsid w:val="00177383"/>
    <w:rsid w:val="00177720"/>
    <w:rsid w:val="001778C4"/>
    <w:rsid w:val="0018047B"/>
    <w:rsid w:val="00180C11"/>
    <w:rsid w:val="00180E76"/>
    <w:rsid w:val="00181073"/>
    <w:rsid w:val="00181176"/>
    <w:rsid w:val="00181213"/>
    <w:rsid w:val="001814C3"/>
    <w:rsid w:val="00181D78"/>
    <w:rsid w:val="001825F6"/>
    <w:rsid w:val="00183FD7"/>
    <w:rsid w:val="00184734"/>
    <w:rsid w:val="0018548B"/>
    <w:rsid w:val="00185B93"/>
    <w:rsid w:val="00185CAB"/>
    <w:rsid w:val="00185E2E"/>
    <w:rsid w:val="001875B7"/>
    <w:rsid w:val="00187747"/>
    <w:rsid w:val="00187AAB"/>
    <w:rsid w:val="00187C85"/>
    <w:rsid w:val="00187CB3"/>
    <w:rsid w:val="0019050A"/>
    <w:rsid w:val="00190BB0"/>
    <w:rsid w:val="00190E08"/>
    <w:rsid w:val="001910D4"/>
    <w:rsid w:val="00191520"/>
    <w:rsid w:val="001929CF"/>
    <w:rsid w:val="00192FF2"/>
    <w:rsid w:val="00193B89"/>
    <w:rsid w:val="00193D1D"/>
    <w:rsid w:val="001943B8"/>
    <w:rsid w:val="001947E7"/>
    <w:rsid w:val="00194999"/>
    <w:rsid w:val="00194BBC"/>
    <w:rsid w:val="00195956"/>
    <w:rsid w:val="00196328"/>
    <w:rsid w:val="0019640C"/>
    <w:rsid w:val="001966E5"/>
    <w:rsid w:val="00196800"/>
    <w:rsid w:val="001976E3"/>
    <w:rsid w:val="00197A95"/>
    <w:rsid w:val="001A0E2D"/>
    <w:rsid w:val="001A0F15"/>
    <w:rsid w:val="001A124F"/>
    <w:rsid w:val="001A1687"/>
    <w:rsid w:val="001A2CA7"/>
    <w:rsid w:val="001A39F4"/>
    <w:rsid w:val="001A3E26"/>
    <w:rsid w:val="001A44EC"/>
    <w:rsid w:val="001A45BB"/>
    <w:rsid w:val="001A473D"/>
    <w:rsid w:val="001A49CF"/>
    <w:rsid w:val="001A4D12"/>
    <w:rsid w:val="001A5119"/>
    <w:rsid w:val="001A526D"/>
    <w:rsid w:val="001A54D7"/>
    <w:rsid w:val="001A5712"/>
    <w:rsid w:val="001A5996"/>
    <w:rsid w:val="001A5D79"/>
    <w:rsid w:val="001A6A62"/>
    <w:rsid w:val="001A7D63"/>
    <w:rsid w:val="001A7FF7"/>
    <w:rsid w:val="001B106E"/>
    <w:rsid w:val="001B1FCD"/>
    <w:rsid w:val="001B3A0A"/>
    <w:rsid w:val="001B41CE"/>
    <w:rsid w:val="001B41F4"/>
    <w:rsid w:val="001B4D8E"/>
    <w:rsid w:val="001B58AA"/>
    <w:rsid w:val="001B5B11"/>
    <w:rsid w:val="001B5F4D"/>
    <w:rsid w:val="001B6033"/>
    <w:rsid w:val="001B6085"/>
    <w:rsid w:val="001B60AF"/>
    <w:rsid w:val="001B62B1"/>
    <w:rsid w:val="001B67EA"/>
    <w:rsid w:val="001B7062"/>
    <w:rsid w:val="001B719F"/>
    <w:rsid w:val="001B7D7D"/>
    <w:rsid w:val="001B7E48"/>
    <w:rsid w:val="001B7EB1"/>
    <w:rsid w:val="001C09F1"/>
    <w:rsid w:val="001C1245"/>
    <w:rsid w:val="001C12E4"/>
    <w:rsid w:val="001C140F"/>
    <w:rsid w:val="001C17CE"/>
    <w:rsid w:val="001C1C3F"/>
    <w:rsid w:val="001C1E39"/>
    <w:rsid w:val="001C20BA"/>
    <w:rsid w:val="001C2250"/>
    <w:rsid w:val="001C2865"/>
    <w:rsid w:val="001C2B3F"/>
    <w:rsid w:val="001C3519"/>
    <w:rsid w:val="001C36CA"/>
    <w:rsid w:val="001C3C86"/>
    <w:rsid w:val="001C3F7D"/>
    <w:rsid w:val="001C44D1"/>
    <w:rsid w:val="001C4DBE"/>
    <w:rsid w:val="001C4E3B"/>
    <w:rsid w:val="001C52B9"/>
    <w:rsid w:val="001C58A0"/>
    <w:rsid w:val="001C59D9"/>
    <w:rsid w:val="001C5DC8"/>
    <w:rsid w:val="001C5FF8"/>
    <w:rsid w:val="001C65A4"/>
    <w:rsid w:val="001C6AEE"/>
    <w:rsid w:val="001C6BF5"/>
    <w:rsid w:val="001C71AB"/>
    <w:rsid w:val="001C72DB"/>
    <w:rsid w:val="001C743A"/>
    <w:rsid w:val="001C761E"/>
    <w:rsid w:val="001C7630"/>
    <w:rsid w:val="001D0640"/>
    <w:rsid w:val="001D15B8"/>
    <w:rsid w:val="001D2371"/>
    <w:rsid w:val="001D2969"/>
    <w:rsid w:val="001D2E9B"/>
    <w:rsid w:val="001D322F"/>
    <w:rsid w:val="001D3882"/>
    <w:rsid w:val="001D4260"/>
    <w:rsid w:val="001D56AF"/>
    <w:rsid w:val="001D5DF1"/>
    <w:rsid w:val="001D6D15"/>
    <w:rsid w:val="001D7800"/>
    <w:rsid w:val="001D7D59"/>
    <w:rsid w:val="001E116E"/>
    <w:rsid w:val="001E125D"/>
    <w:rsid w:val="001E1423"/>
    <w:rsid w:val="001E18A4"/>
    <w:rsid w:val="001E20E0"/>
    <w:rsid w:val="001E23BD"/>
    <w:rsid w:val="001E3021"/>
    <w:rsid w:val="001E30A0"/>
    <w:rsid w:val="001E3A4F"/>
    <w:rsid w:val="001E3EEA"/>
    <w:rsid w:val="001E41DC"/>
    <w:rsid w:val="001E4605"/>
    <w:rsid w:val="001E4DBD"/>
    <w:rsid w:val="001E5375"/>
    <w:rsid w:val="001E5792"/>
    <w:rsid w:val="001E624E"/>
    <w:rsid w:val="001E6CC7"/>
    <w:rsid w:val="001E6D20"/>
    <w:rsid w:val="001E71F3"/>
    <w:rsid w:val="001E7D76"/>
    <w:rsid w:val="001F22FF"/>
    <w:rsid w:val="001F2B7F"/>
    <w:rsid w:val="001F3233"/>
    <w:rsid w:val="001F347D"/>
    <w:rsid w:val="001F40DC"/>
    <w:rsid w:val="001F4394"/>
    <w:rsid w:val="001F47A2"/>
    <w:rsid w:val="001F4DEF"/>
    <w:rsid w:val="001F6286"/>
    <w:rsid w:val="001F6492"/>
    <w:rsid w:val="001F687D"/>
    <w:rsid w:val="001F7558"/>
    <w:rsid w:val="001F794D"/>
    <w:rsid w:val="001F7D24"/>
    <w:rsid w:val="00200B97"/>
    <w:rsid w:val="00201BD8"/>
    <w:rsid w:val="00201EE2"/>
    <w:rsid w:val="002023FD"/>
    <w:rsid w:val="00203638"/>
    <w:rsid w:val="00203E9A"/>
    <w:rsid w:val="00203FAE"/>
    <w:rsid w:val="0020411D"/>
    <w:rsid w:val="00205B57"/>
    <w:rsid w:val="00205F33"/>
    <w:rsid w:val="00206099"/>
    <w:rsid w:val="00206E44"/>
    <w:rsid w:val="0020730A"/>
    <w:rsid w:val="00207626"/>
    <w:rsid w:val="002079FF"/>
    <w:rsid w:val="00207EC8"/>
    <w:rsid w:val="00207FE9"/>
    <w:rsid w:val="002107BA"/>
    <w:rsid w:val="00210876"/>
    <w:rsid w:val="002108B7"/>
    <w:rsid w:val="00210B28"/>
    <w:rsid w:val="002118A4"/>
    <w:rsid w:val="00212176"/>
    <w:rsid w:val="002124BD"/>
    <w:rsid w:val="00212683"/>
    <w:rsid w:val="002126C1"/>
    <w:rsid w:val="00214173"/>
    <w:rsid w:val="0021426C"/>
    <w:rsid w:val="00214442"/>
    <w:rsid w:val="00214CB0"/>
    <w:rsid w:val="00214D6E"/>
    <w:rsid w:val="00214F75"/>
    <w:rsid w:val="00215270"/>
    <w:rsid w:val="002153C2"/>
    <w:rsid w:val="002157E0"/>
    <w:rsid w:val="00215B81"/>
    <w:rsid w:val="00215D40"/>
    <w:rsid w:val="002162DE"/>
    <w:rsid w:val="00216450"/>
    <w:rsid w:val="00216606"/>
    <w:rsid w:val="00216A57"/>
    <w:rsid w:val="00216C36"/>
    <w:rsid w:val="00216F6E"/>
    <w:rsid w:val="00217260"/>
    <w:rsid w:val="00217448"/>
    <w:rsid w:val="00217DFE"/>
    <w:rsid w:val="00217E9D"/>
    <w:rsid w:val="002204A8"/>
    <w:rsid w:val="00220605"/>
    <w:rsid w:val="002208EE"/>
    <w:rsid w:val="002209DD"/>
    <w:rsid w:val="00220FE5"/>
    <w:rsid w:val="002212BD"/>
    <w:rsid w:val="00221AC4"/>
    <w:rsid w:val="00221DFF"/>
    <w:rsid w:val="002224AB"/>
    <w:rsid w:val="0022252A"/>
    <w:rsid w:val="00222AB2"/>
    <w:rsid w:val="0022334F"/>
    <w:rsid w:val="002234EC"/>
    <w:rsid w:val="002234F5"/>
    <w:rsid w:val="002243A9"/>
    <w:rsid w:val="00224561"/>
    <w:rsid w:val="00224745"/>
    <w:rsid w:val="00224965"/>
    <w:rsid w:val="00224F9A"/>
    <w:rsid w:val="00226351"/>
    <w:rsid w:val="00226819"/>
    <w:rsid w:val="00227974"/>
    <w:rsid w:val="00230008"/>
    <w:rsid w:val="002305A4"/>
    <w:rsid w:val="002316A5"/>
    <w:rsid w:val="00231E16"/>
    <w:rsid w:val="0023299B"/>
    <w:rsid w:val="00232A67"/>
    <w:rsid w:val="00232A8C"/>
    <w:rsid w:val="00232D8C"/>
    <w:rsid w:val="00232F7E"/>
    <w:rsid w:val="00233101"/>
    <w:rsid w:val="002335D2"/>
    <w:rsid w:val="00233817"/>
    <w:rsid w:val="002339AB"/>
    <w:rsid w:val="00233AE7"/>
    <w:rsid w:val="00233D44"/>
    <w:rsid w:val="002340DB"/>
    <w:rsid w:val="00234177"/>
    <w:rsid w:val="00234242"/>
    <w:rsid w:val="00234D58"/>
    <w:rsid w:val="00234E94"/>
    <w:rsid w:val="00235060"/>
    <w:rsid w:val="002351FF"/>
    <w:rsid w:val="00235933"/>
    <w:rsid w:val="00235938"/>
    <w:rsid w:val="0023640A"/>
    <w:rsid w:val="002367FF"/>
    <w:rsid w:val="00236E28"/>
    <w:rsid w:val="00236FD4"/>
    <w:rsid w:val="00237765"/>
    <w:rsid w:val="00237B58"/>
    <w:rsid w:val="0024064E"/>
    <w:rsid w:val="00240CE9"/>
    <w:rsid w:val="00241092"/>
    <w:rsid w:val="00241215"/>
    <w:rsid w:val="00241415"/>
    <w:rsid w:val="00241A91"/>
    <w:rsid w:val="00241AB6"/>
    <w:rsid w:val="00241F37"/>
    <w:rsid w:val="002434BA"/>
    <w:rsid w:val="00245061"/>
    <w:rsid w:val="00245538"/>
    <w:rsid w:val="00246089"/>
    <w:rsid w:val="00246093"/>
    <w:rsid w:val="00246702"/>
    <w:rsid w:val="002469D2"/>
    <w:rsid w:val="00246CFF"/>
    <w:rsid w:val="00246DB9"/>
    <w:rsid w:val="002473D0"/>
    <w:rsid w:val="00247C59"/>
    <w:rsid w:val="00247CC0"/>
    <w:rsid w:val="00247F2E"/>
    <w:rsid w:val="00247F92"/>
    <w:rsid w:val="002501D5"/>
    <w:rsid w:val="00250ADC"/>
    <w:rsid w:val="00250B07"/>
    <w:rsid w:val="002511A2"/>
    <w:rsid w:val="00252D9E"/>
    <w:rsid w:val="0025391C"/>
    <w:rsid w:val="0025421E"/>
    <w:rsid w:val="002542C0"/>
    <w:rsid w:val="00254D57"/>
    <w:rsid w:val="0025547A"/>
    <w:rsid w:val="00255A88"/>
    <w:rsid w:val="00255F98"/>
    <w:rsid w:val="00256540"/>
    <w:rsid w:val="00256EB1"/>
    <w:rsid w:val="00257202"/>
    <w:rsid w:val="00257553"/>
    <w:rsid w:val="0025794F"/>
    <w:rsid w:val="002606DA"/>
    <w:rsid w:val="0026078B"/>
    <w:rsid w:val="00260E58"/>
    <w:rsid w:val="00260FB2"/>
    <w:rsid w:val="00261318"/>
    <w:rsid w:val="00261569"/>
    <w:rsid w:val="00261D6B"/>
    <w:rsid w:val="00262128"/>
    <w:rsid w:val="0026369A"/>
    <w:rsid w:val="0026374E"/>
    <w:rsid w:val="00263971"/>
    <w:rsid w:val="00263B32"/>
    <w:rsid w:val="002644D5"/>
    <w:rsid w:val="00264641"/>
    <w:rsid w:val="00264896"/>
    <w:rsid w:val="00264C50"/>
    <w:rsid w:val="0026585F"/>
    <w:rsid w:val="00265D81"/>
    <w:rsid w:val="0026668F"/>
    <w:rsid w:val="00266B68"/>
    <w:rsid w:val="002673E3"/>
    <w:rsid w:val="0026762F"/>
    <w:rsid w:val="00267868"/>
    <w:rsid w:val="00267EFF"/>
    <w:rsid w:val="00270263"/>
    <w:rsid w:val="00270BB0"/>
    <w:rsid w:val="0027165D"/>
    <w:rsid w:val="00271914"/>
    <w:rsid w:val="00271A23"/>
    <w:rsid w:val="00271D03"/>
    <w:rsid w:val="00273CEB"/>
    <w:rsid w:val="002742A3"/>
    <w:rsid w:val="00274371"/>
    <w:rsid w:val="00274C68"/>
    <w:rsid w:val="00274C7A"/>
    <w:rsid w:val="00274CD7"/>
    <w:rsid w:val="00274D50"/>
    <w:rsid w:val="002752C1"/>
    <w:rsid w:val="00275485"/>
    <w:rsid w:val="00275743"/>
    <w:rsid w:val="00275DE6"/>
    <w:rsid w:val="00277E00"/>
    <w:rsid w:val="0028049B"/>
    <w:rsid w:val="002807D1"/>
    <w:rsid w:val="00280E6B"/>
    <w:rsid w:val="0028133F"/>
    <w:rsid w:val="002813E1"/>
    <w:rsid w:val="00281C80"/>
    <w:rsid w:val="00281C89"/>
    <w:rsid w:val="00281EE4"/>
    <w:rsid w:val="0028282F"/>
    <w:rsid w:val="00282D8A"/>
    <w:rsid w:val="002836B6"/>
    <w:rsid w:val="00283A1B"/>
    <w:rsid w:val="00283CC8"/>
    <w:rsid w:val="00284112"/>
    <w:rsid w:val="00284128"/>
    <w:rsid w:val="00284490"/>
    <w:rsid w:val="002858B5"/>
    <w:rsid w:val="00286295"/>
    <w:rsid w:val="002863A8"/>
    <w:rsid w:val="00286B50"/>
    <w:rsid w:val="00286D45"/>
    <w:rsid w:val="00287733"/>
    <w:rsid w:val="00290896"/>
    <w:rsid w:val="00290AFC"/>
    <w:rsid w:val="00290B7C"/>
    <w:rsid w:val="00290BFE"/>
    <w:rsid w:val="00290EB6"/>
    <w:rsid w:val="0029110B"/>
    <w:rsid w:val="002915B2"/>
    <w:rsid w:val="002919F9"/>
    <w:rsid w:val="002925F6"/>
    <w:rsid w:val="00293291"/>
    <w:rsid w:val="00293457"/>
    <w:rsid w:val="00294461"/>
    <w:rsid w:val="00294B6D"/>
    <w:rsid w:val="00294D46"/>
    <w:rsid w:val="0029593B"/>
    <w:rsid w:val="00295E60"/>
    <w:rsid w:val="00297102"/>
    <w:rsid w:val="002976B8"/>
    <w:rsid w:val="00297FC5"/>
    <w:rsid w:val="002A0417"/>
    <w:rsid w:val="002A16D8"/>
    <w:rsid w:val="002A17D4"/>
    <w:rsid w:val="002A1BC8"/>
    <w:rsid w:val="002A1DD2"/>
    <w:rsid w:val="002A213C"/>
    <w:rsid w:val="002A23B7"/>
    <w:rsid w:val="002A27A6"/>
    <w:rsid w:val="002A313F"/>
    <w:rsid w:val="002A31F2"/>
    <w:rsid w:val="002A360E"/>
    <w:rsid w:val="002A3829"/>
    <w:rsid w:val="002A3EF2"/>
    <w:rsid w:val="002A4B85"/>
    <w:rsid w:val="002A4EF5"/>
    <w:rsid w:val="002A6215"/>
    <w:rsid w:val="002A64AA"/>
    <w:rsid w:val="002A6F32"/>
    <w:rsid w:val="002A77A0"/>
    <w:rsid w:val="002B0631"/>
    <w:rsid w:val="002B0931"/>
    <w:rsid w:val="002B0DED"/>
    <w:rsid w:val="002B12C8"/>
    <w:rsid w:val="002B19A2"/>
    <w:rsid w:val="002B381A"/>
    <w:rsid w:val="002B3B10"/>
    <w:rsid w:val="002B3D9C"/>
    <w:rsid w:val="002B469F"/>
    <w:rsid w:val="002B498A"/>
    <w:rsid w:val="002B4D91"/>
    <w:rsid w:val="002B4FCC"/>
    <w:rsid w:val="002B5285"/>
    <w:rsid w:val="002B531C"/>
    <w:rsid w:val="002B565C"/>
    <w:rsid w:val="002B58E0"/>
    <w:rsid w:val="002B5E3A"/>
    <w:rsid w:val="002B7408"/>
    <w:rsid w:val="002B7CFD"/>
    <w:rsid w:val="002C00F2"/>
    <w:rsid w:val="002C0BF9"/>
    <w:rsid w:val="002C1390"/>
    <w:rsid w:val="002C13DD"/>
    <w:rsid w:val="002C15DD"/>
    <w:rsid w:val="002C1A80"/>
    <w:rsid w:val="002C1C11"/>
    <w:rsid w:val="002C1D80"/>
    <w:rsid w:val="002C210F"/>
    <w:rsid w:val="002C2345"/>
    <w:rsid w:val="002C25B0"/>
    <w:rsid w:val="002C2704"/>
    <w:rsid w:val="002C414D"/>
    <w:rsid w:val="002C4A56"/>
    <w:rsid w:val="002C61FA"/>
    <w:rsid w:val="002C63BB"/>
    <w:rsid w:val="002C64A2"/>
    <w:rsid w:val="002C64A8"/>
    <w:rsid w:val="002C6825"/>
    <w:rsid w:val="002C687E"/>
    <w:rsid w:val="002C7C05"/>
    <w:rsid w:val="002D0029"/>
    <w:rsid w:val="002D0353"/>
    <w:rsid w:val="002D0A51"/>
    <w:rsid w:val="002D1318"/>
    <w:rsid w:val="002D1361"/>
    <w:rsid w:val="002D1D7F"/>
    <w:rsid w:val="002D21DC"/>
    <w:rsid w:val="002D22AA"/>
    <w:rsid w:val="002D28B7"/>
    <w:rsid w:val="002D2A55"/>
    <w:rsid w:val="002D2EBB"/>
    <w:rsid w:val="002D30F5"/>
    <w:rsid w:val="002D3600"/>
    <w:rsid w:val="002D3930"/>
    <w:rsid w:val="002D3AE6"/>
    <w:rsid w:val="002D4E40"/>
    <w:rsid w:val="002D4EA8"/>
    <w:rsid w:val="002D5685"/>
    <w:rsid w:val="002D5A28"/>
    <w:rsid w:val="002D6108"/>
    <w:rsid w:val="002D65C7"/>
    <w:rsid w:val="002D69F8"/>
    <w:rsid w:val="002D6F2A"/>
    <w:rsid w:val="002D700D"/>
    <w:rsid w:val="002D71E0"/>
    <w:rsid w:val="002D725A"/>
    <w:rsid w:val="002D7EE0"/>
    <w:rsid w:val="002D7F5C"/>
    <w:rsid w:val="002D7FB1"/>
    <w:rsid w:val="002E00B2"/>
    <w:rsid w:val="002E0625"/>
    <w:rsid w:val="002E0CBF"/>
    <w:rsid w:val="002E1C20"/>
    <w:rsid w:val="002E258C"/>
    <w:rsid w:val="002E2CB4"/>
    <w:rsid w:val="002E3227"/>
    <w:rsid w:val="002E341E"/>
    <w:rsid w:val="002E40F0"/>
    <w:rsid w:val="002E45B6"/>
    <w:rsid w:val="002E469B"/>
    <w:rsid w:val="002E4C86"/>
    <w:rsid w:val="002E4DDC"/>
    <w:rsid w:val="002E4E57"/>
    <w:rsid w:val="002E5A4B"/>
    <w:rsid w:val="002E6426"/>
    <w:rsid w:val="002E6C58"/>
    <w:rsid w:val="002F008A"/>
    <w:rsid w:val="002F0E80"/>
    <w:rsid w:val="002F1DB2"/>
    <w:rsid w:val="002F2B1D"/>
    <w:rsid w:val="002F3947"/>
    <w:rsid w:val="002F3D73"/>
    <w:rsid w:val="002F3ED3"/>
    <w:rsid w:val="002F43BF"/>
    <w:rsid w:val="002F5D36"/>
    <w:rsid w:val="002F5FA5"/>
    <w:rsid w:val="002F68A8"/>
    <w:rsid w:val="002F6E0E"/>
    <w:rsid w:val="002F6EED"/>
    <w:rsid w:val="002F705C"/>
    <w:rsid w:val="002F70F3"/>
    <w:rsid w:val="002F76E0"/>
    <w:rsid w:val="003004B0"/>
    <w:rsid w:val="00300B97"/>
    <w:rsid w:val="00300EC1"/>
    <w:rsid w:val="00301BA5"/>
    <w:rsid w:val="003020D0"/>
    <w:rsid w:val="00302480"/>
    <w:rsid w:val="0030250D"/>
    <w:rsid w:val="00302758"/>
    <w:rsid w:val="00302D57"/>
    <w:rsid w:val="00303437"/>
    <w:rsid w:val="0030383B"/>
    <w:rsid w:val="00303FF3"/>
    <w:rsid w:val="0030409F"/>
    <w:rsid w:val="003047DD"/>
    <w:rsid w:val="0030565F"/>
    <w:rsid w:val="003058C9"/>
    <w:rsid w:val="00307659"/>
    <w:rsid w:val="00307EB9"/>
    <w:rsid w:val="0031020E"/>
    <w:rsid w:val="00310394"/>
    <w:rsid w:val="00310543"/>
    <w:rsid w:val="00310974"/>
    <w:rsid w:val="00311DC1"/>
    <w:rsid w:val="00311FC3"/>
    <w:rsid w:val="00312FE5"/>
    <w:rsid w:val="003136CC"/>
    <w:rsid w:val="00313EE7"/>
    <w:rsid w:val="00313F0B"/>
    <w:rsid w:val="00315965"/>
    <w:rsid w:val="00315BC3"/>
    <w:rsid w:val="00316183"/>
    <w:rsid w:val="003165E6"/>
    <w:rsid w:val="003172C7"/>
    <w:rsid w:val="00317930"/>
    <w:rsid w:val="0031793A"/>
    <w:rsid w:val="00317D5C"/>
    <w:rsid w:val="00317F13"/>
    <w:rsid w:val="0032052F"/>
    <w:rsid w:val="0032071B"/>
    <w:rsid w:val="003209E8"/>
    <w:rsid w:val="003215B5"/>
    <w:rsid w:val="00321A51"/>
    <w:rsid w:val="00321AB3"/>
    <w:rsid w:val="00321B51"/>
    <w:rsid w:val="003221CF"/>
    <w:rsid w:val="003230A6"/>
    <w:rsid w:val="003233ED"/>
    <w:rsid w:val="0032353C"/>
    <w:rsid w:val="00324301"/>
    <w:rsid w:val="00324946"/>
    <w:rsid w:val="00324968"/>
    <w:rsid w:val="003249EC"/>
    <w:rsid w:val="00324D9F"/>
    <w:rsid w:val="00325ACF"/>
    <w:rsid w:val="00325C86"/>
    <w:rsid w:val="00326245"/>
    <w:rsid w:val="003264F9"/>
    <w:rsid w:val="00326551"/>
    <w:rsid w:val="0032671A"/>
    <w:rsid w:val="00326AB5"/>
    <w:rsid w:val="00326B27"/>
    <w:rsid w:val="00326EC7"/>
    <w:rsid w:val="00327948"/>
    <w:rsid w:val="00327E36"/>
    <w:rsid w:val="0033000F"/>
    <w:rsid w:val="003300C6"/>
    <w:rsid w:val="0033055A"/>
    <w:rsid w:val="003308DB"/>
    <w:rsid w:val="00330EC8"/>
    <w:rsid w:val="00331352"/>
    <w:rsid w:val="0033145E"/>
    <w:rsid w:val="003316B1"/>
    <w:rsid w:val="00331EB1"/>
    <w:rsid w:val="00332011"/>
    <w:rsid w:val="0033247E"/>
    <w:rsid w:val="00332518"/>
    <w:rsid w:val="00332925"/>
    <w:rsid w:val="00332BA2"/>
    <w:rsid w:val="00332FD6"/>
    <w:rsid w:val="003332ED"/>
    <w:rsid w:val="0033429B"/>
    <w:rsid w:val="0033469A"/>
    <w:rsid w:val="00334D08"/>
    <w:rsid w:val="0033538C"/>
    <w:rsid w:val="003354F0"/>
    <w:rsid w:val="00335B9D"/>
    <w:rsid w:val="003360C7"/>
    <w:rsid w:val="00336340"/>
    <w:rsid w:val="00336357"/>
    <w:rsid w:val="003368DC"/>
    <w:rsid w:val="00336989"/>
    <w:rsid w:val="0033733E"/>
    <w:rsid w:val="00337AD4"/>
    <w:rsid w:val="00337AFD"/>
    <w:rsid w:val="00337B3D"/>
    <w:rsid w:val="00337C7C"/>
    <w:rsid w:val="003400FB"/>
    <w:rsid w:val="00340E88"/>
    <w:rsid w:val="003414F0"/>
    <w:rsid w:val="00341523"/>
    <w:rsid w:val="0034226C"/>
    <w:rsid w:val="00343180"/>
    <w:rsid w:val="0034355A"/>
    <w:rsid w:val="00343B94"/>
    <w:rsid w:val="0034424B"/>
    <w:rsid w:val="0034425E"/>
    <w:rsid w:val="003442EC"/>
    <w:rsid w:val="00344386"/>
    <w:rsid w:val="00344A25"/>
    <w:rsid w:val="003452F9"/>
    <w:rsid w:val="00345927"/>
    <w:rsid w:val="003466E0"/>
    <w:rsid w:val="0034689E"/>
    <w:rsid w:val="00346E21"/>
    <w:rsid w:val="00350584"/>
    <w:rsid w:val="00350C32"/>
    <w:rsid w:val="00350F1F"/>
    <w:rsid w:val="00351398"/>
    <w:rsid w:val="00351857"/>
    <w:rsid w:val="00351B27"/>
    <w:rsid w:val="00351BF8"/>
    <w:rsid w:val="00351EBD"/>
    <w:rsid w:val="00352533"/>
    <w:rsid w:val="00353420"/>
    <w:rsid w:val="00353E36"/>
    <w:rsid w:val="003545E8"/>
    <w:rsid w:val="003546DF"/>
    <w:rsid w:val="00354952"/>
    <w:rsid w:val="00354FE6"/>
    <w:rsid w:val="0035608B"/>
    <w:rsid w:val="00356D6C"/>
    <w:rsid w:val="00357414"/>
    <w:rsid w:val="00357CEB"/>
    <w:rsid w:val="003604A7"/>
    <w:rsid w:val="003610E1"/>
    <w:rsid w:val="0036111F"/>
    <w:rsid w:val="00361FFF"/>
    <w:rsid w:val="00362549"/>
    <w:rsid w:val="00362B1E"/>
    <w:rsid w:val="003643E8"/>
    <w:rsid w:val="0036445D"/>
    <w:rsid w:val="00364961"/>
    <w:rsid w:val="00365483"/>
    <w:rsid w:val="00366B63"/>
    <w:rsid w:val="00366B82"/>
    <w:rsid w:val="003671BE"/>
    <w:rsid w:val="003674EF"/>
    <w:rsid w:val="0037046E"/>
    <w:rsid w:val="00370FA8"/>
    <w:rsid w:val="0037179F"/>
    <w:rsid w:val="00372485"/>
    <w:rsid w:val="00373200"/>
    <w:rsid w:val="003734C5"/>
    <w:rsid w:val="00373752"/>
    <w:rsid w:val="00373EF9"/>
    <w:rsid w:val="00374417"/>
    <w:rsid w:val="003748E6"/>
    <w:rsid w:val="003749F5"/>
    <w:rsid w:val="00374CCD"/>
    <w:rsid w:val="00375EF5"/>
    <w:rsid w:val="003767A5"/>
    <w:rsid w:val="00376A5A"/>
    <w:rsid w:val="00376F31"/>
    <w:rsid w:val="00376F6E"/>
    <w:rsid w:val="00376FB4"/>
    <w:rsid w:val="00377963"/>
    <w:rsid w:val="00377CD2"/>
    <w:rsid w:val="00380037"/>
    <w:rsid w:val="003806CB"/>
    <w:rsid w:val="0038084F"/>
    <w:rsid w:val="00380BF7"/>
    <w:rsid w:val="003816D8"/>
    <w:rsid w:val="003818A6"/>
    <w:rsid w:val="00381934"/>
    <w:rsid w:val="00381B31"/>
    <w:rsid w:val="00381B6C"/>
    <w:rsid w:val="00381D15"/>
    <w:rsid w:val="003820F2"/>
    <w:rsid w:val="00382D36"/>
    <w:rsid w:val="00382E48"/>
    <w:rsid w:val="0038307E"/>
    <w:rsid w:val="00384D2E"/>
    <w:rsid w:val="00385068"/>
    <w:rsid w:val="00385254"/>
    <w:rsid w:val="003865F3"/>
    <w:rsid w:val="003872FE"/>
    <w:rsid w:val="0038778F"/>
    <w:rsid w:val="003878C0"/>
    <w:rsid w:val="00387CB0"/>
    <w:rsid w:val="003905C0"/>
    <w:rsid w:val="00390705"/>
    <w:rsid w:val="00390943"/>
    <w:rsid w:val="00390C4F"/>
    <w:rsid w:val="003913FF"/>
    <w:rsid w:val="003916A5"/>
    <w:rsid w:val="003917D3"/>
    <w:rsid w:val="00391E12"/>
    <w:rsid w:val="00391EA1"/>
    <w:rsid w:val="003921FF"/>
    <w:rsid w:val="00392A9F"/>
    <w:rsid w:val="003933E8"/>
    <w:rsid w:val="00393EB8"/>
    <w:rsid w:val="0039402C"/>
    <w:rsid w:val="00394031"/>
    <w:rsid w:val="00394F74"/>
    <w:rsid w:val="003951D6"/>
    <w:rsid w:val="00395744"/>
    <w:rsid w:val="00395BE6"/>
    <w:rsid w:val="003961A5"/>
    <w:rsid w:val="00396202"/>
    <w:rsid w:val="0039694C"/>
    <w:rsid w:val="003974AC"/>
    <w:rsid w:val="00397A89"/>
    <w:rsid w:val="003A00FD"/>
    <w:rsid w:val="003A031D"/>
    <w:rsid w:val="003A04DB"/>
    <w:rsid w:val="003A0712"/>
    <w:rsid w:val="003A07E8"/>
    <w:rsid w:val="003A08FA"/>
    <w:rsid w:val="003A189C"/>
    <w:rsid w:val="003A2250"/>
    <w:rsid w:val="003A287D"/>
    <w:rsid w:val="003A291C"/>
    <w:rsid w:val="003A4197"/>
    <w:rsid w:val="003A4242"/>
    <w:rsid w:val="003A4890"/>
    <w:rsid w:val="003A49DA"/>
    <w:rsid w:val="003A4C78"/>
    <w:rsid w:val="003A4C7A"/>
    <w:rsid w:val="003A5F5B"/>
    <w:rsid w:val="003A5FA9"/>
    <w:rsid w:val="003A688B"/>
    <w:rsid w:val="003A6F1D"/>
    <w:rsid w:val="003A75CE"/>
    <w:rsid w:val="003A77F1"/>
    <w:rsid w:val="003A789A"/>
    <w:rsid w:val="003B010F"/>
    <w:rsid w:val="003B0526"/>
    <w:rsid w:val="003B07DC"/>
    <w:rsid w:val="003B0BA0"/>
    <w:rsid w:val="003B0EED"/>
    <w:rsid w:val="003B12EC"/>
    <w:rsid w:val="003B1495"/>
    <w:rsid w:val="003B150F"/>
    <w:rsid w:val="003B1DF0"/>
    <w:rsid w:val="003B2571"/>
    <w:rsid w:val="003B2859"/>
    <w:rsid w:val="003B373E"/>
    <w:rsid w:val="003B38A5"/>
    <w:rsid w:val="003B3DDF"/>
    <w:rsid w:val="003B4844"/>
    <w:rsid w:val="003B4908"/>
    <w:rsid w:val="003B4B07"/>
    <w:rsid w:val="003B68CF"/>
    <w:rsid w:val="003B6C03"/>
    <w:rsid w:val="003B6E68"/>
    <w:rsid w:val="003B77B6"/>
    <w:rsid w:val="003C24E5"/>
    <w:rsid w:val="003C2E9D"/>
    <w:rsid w:val="003C3664"/>
    <w:rsid w:val="003C4438"/>
    <w:rsid w:val="003C44AB"/>
    <w:rsid w:val="003C459A"/>
    <w:rsid w:val="003C4DCE"/>
    <w:rsid w:val="003C5409"/>
    <w:rsid w:val="003C5AD0"/>
    <w:rsid w:val="003C6D81"/>
    <w:rsid w:val="003C6FC1"/>
    <w:rsid w:val="003C76A6"/>
    <w:rsid w:val="003C77E0"/>
    <w:rsid w:val="003C7BB5"/>
    <w:rsid w:val="003D0BE4"/>
    <w:rsid w:val="003D17D7"/>
    <w:rsid w:val="003D1893"/>
    <w:rsid w:val="003D1CA8"/>
    <w:rsid w:val="003D1D04"/>
    <w:rsid w:val="003D2678"/>
    <w:rsid w:val="003D2C26"/>
    <w:rsid w:val="003D2DD2"/>
    <w:rsid w:val="003D2F1D"/>
    <w:rsid w:val="003D34BA"/>
    <w:rsid w:val="003D3632"/>
    <w:rsid w:val="003D3897"/>
    <w:rsid w:val="003D60F3"/>
    <w:rsid w:val="003D616E"/>
    <w:rsid w:val="003D6FB2"/>
    <w:rsid w:val="003D71A3"/>
    <w:rsid w:val="003D7BD5"/>
    <w:rsid w:val="003D7D49"/>
    <w:rsid w:val="003E0122"/>
    <w:rsid w:val="003E04A9"/>
    <w:rsid w:val="003E09CB"/>
    <w:rsid w:val="003E0C4D"/>
    <w:rsid w:val="003E0F14"/>
    <w:rsid w:val="003E15B9"/>
    <w:rsid w:val="003E15EC"/>
    <w:rsid w:val="003E1D53"/>
    <w:rsid w:val="003E2B8A"/>
    <w:rsid w:val="003E3034"/>
    <w:rsid w:val="003E3698"/>
    <w:rsid w:val="003E393B"/>
    <w:rsid w:val="003E4435"/>
    <w:rsid w:val="003E4A36"/>
    <w:rsid w:val="003E6844"/>
    <w:rsid w:val="003E684C"/>
    <w:rsid w:val="003E697A"/>
    <w:rsid w:val="003E6CCE"/>
    <w:rsid w:val="003F0F79"/>
    <w:rsid w:val="003F10EE"/>
    <w:rsid w:val="003F16F6"/>
    <w:rsid w:val="003F1EFD"/>
    <w:rsid w:val="003F20CD"/>
    <w:rsid w:val="003F24F9"/>
    <w:rsid w:val="003F2850"/>
    <w:rsid w:val="003F28C4"/>
    <w:rsid w:val="003F2A44"/>
    <w:rsid w:val="003F324A"/>
    <w:rsid w:val="003F43BA"/>
    <w:rsid w:val="003F452B"/>
    <w:rsid w:val="003F4659"/>
    <w:rsid w:val="003F49D5"/>
    <w:rsid w:val="003F4DC7"/>
    <w:rsid w:val="003F5233"/>
    <w:rsid w:val="003F5235"/>
    <w:rsid w:val="003F5512"/>
    <w:rsid w:val="003F5694"/>
    <w:rsid w:val="003F56A6"/>
    <w:rsid w:val="003F5967"/>
    <w:rsid w:val="003F6F4A"/>
    <w:rsid w:val="003F7284"/>
    <w:rsid w:val="003F7CC1"/>
    <w:rsid w:val="003F7E94"/>
    <w:rsid w:val="00400504"/>
    <w:rsid w:val="00402655"/>
    <w:rsid w:val="004027E4"/>
    <w:rsid w:val="00402B3E"/>
    <w:rsid w:val="00405AC5"/>
    <w:rsid w:val="00405B0E"/>
    <w:rsid w:val="00406853"/>
    <w:rsid w:val="004068CB"/>
    <w:rsid w:val="00406ED2"/>
    <w:rsid w:val="00406F07"/>
    <w:rsid w:val="00407749"/>
    <w:rsid w:val="004105E1"/>
    <w:rsid w:val="0041071D"/>
    <w:rsid w:val="00410B55"/>
    <w:rsid w:val="004116F4"/>
    <w:rsid w:val="0041198E"/>
    <w:rsid w:val="00411DF3"/>
    <w:rsid w:val="00411FD8"/>
    <w:rsid w:val="004120A2"/>
    <w:rsid w:val="00412516"/>
    <w:rsid w:val="0041351F"/>
    <w:rsid w:val="00413AA9"/>
    <w:rsid w:val="00414AFC"/>
    <w:rsid w:val="00414BAE"/>
    <w:rsid w:val="004151A7"/>
    <w:rsid w:val="00415310"/>
    <w:rsid w:val="00415915"/>
    <w:rsid w:val="00415BCB"/>
    <w:rsid w:val="00415E8B"/>
    <w:rsid w:val="0041601E"/>
    <w:rsid w:val="00416228"/>
    <w:rsid w:val="0041765C"/>
    <w:rsid w:val="00417875"/>
    <w:rsid w:val="0041791C"/>
    <w:rsid w:val="00420900"/>
    <w:rsid w:val="00420CB6"/>
    <w:rsid w:val="00420F6C"/>
    <w:rsid w:val="00421709"/>
    <w:rsid w:val="004225E8"/>
    <w:rsid w:val="00422A28"/>
    <w:rsid w:val="0042304A"/>
    <w:rsid w:val="00423052"/>
    <w:rsid w:val="0042314A"/>
    <w:rsid w:val="00423493"/>
    <w:rsid w:val="00423763"/>
    <w:rsid w:val="004237F9"/>
    <w:rsid w:val="00423899"/>
    <w:rsid w:val="00423BA2"/>
    <w:rsid w:val="00423E39"/>
    <w:rsid w:val="00424796"/>
    <w:rsid w:val="00425696"/>
    <w:rsid w:val="0042659C"/>
    <w:rsid w:val="004267BF"/>
    <w:rsid w:val="00426F6E"/>
    <w:rsid w:val="0042762F"/>
    <w:rsid w:val="00427DC7"/>
    <w:rsid w:val="00427E1A"/>
    <w:rsid w:val="004304F7"/>
    <w:rsid w:val="00430AEA"/>
    <w:rsid w:val="00431460"/>
    <w:rsid w:val="00431613"/>
    <w:rsid w:val="00431792"/>
    <w:rsid w:val="00431D98"/>
    <w:rsid w:val="00431F8C"/>
    <w:rsid w:val="00431FC5"/>
    <w:rsid w:val="0043297A"/>
    <w:rsid w:val="00432EB2"/>
    <w:rsid w:val="004332E0"/>
    <w:rsid w:val="00434E92"/>
    <w:rsid w:val="004355CC"/>
    <w:rsid w:val="00435DA7"/>
    <w:rsid w:val="00435F7E"/>
    <w:rsid w:val="0043632D"/>
    <w:rsid w:val="00436956"/>
    <w:rsid w:val="00436EEE"/>
    <w:rsid w:val="00437051"/>
    <w:rsid w:val="0043714F"/>
    <w:rsid w:val="004379FF"/>
    <w:rsid w:val="00437A63"/>
    <w:rsid w:val="00440916"/>
    <w:rsid w:val="00440A8D"/>
    <w:rsid w:val="004411A5"/>
    <w:rsid w:val="00442D40"/>
    <w:rsid w:val="00443016"/>
    <w:rsid w:val="004438B5"/>
    <w:rsid w:val="004440D8"/>
    <w:rsid w:val="004455DA"/>
    <w:rsid w:val="00445D31"/>
    <w:rsid w:val="00447037"/>
    <w:rsid w:val="00447EAA"/>
    <w:rsid w:val="00447FF0"/>
    <w:rsid w:val="0045124D"/>
    <w:rsid w:val="004513E4"/>
    <w:rsid w:val="00451C98"/>
    <w:rsid w:val="00452841"/>
    <w:rsid w:val="00452ADF"/>
    <w:rsid w:val="00452CAE"/>
    <w:rsid w:val="00452CDF"/>
    <w:rsid w:val="00452FF1"/>
    <w:rsid w:val="004539D4"/>
    <w:rsid w:val="00454596"/>
    <w:rsid w:val="0045498D"/>
    <w:rsid w:val="00454DC4"/>
    <w:rsid w:val="004552B2"/>
    <w:rsid w:val="004555C5"/>
    <w:rsid w:val="004556F5"/>
    <w:rsid w:val="004557D6"/>
    <w:rsid w:val="0045605D"/>
    <w:rsid w:val="00456688"/>
    <w:rsid w:val="00456A01"/>
    <w:rsid w:val="0045796B"/>
    <w:rsid w:val="00457DF7"/>
    <w:rsid w:val="00457F1E"/>
    <w:rsid w:val="004605BA"/>
    <w:rsid w:val="0046099F"/>
    <w:rsid w:val="0046135B"/>
    <w:rsid w:val="004616BC"/>
    <w:rsid w:val="00461D47"/>
    <w:rsid w:val="004624E6"/>
    <w:rsid w:val="0046277E"/>
    <w:rsid w:val="0046278E"/>
    <w:rsid w:val="00462883"/>
    <w:rsid w:val="0046299F"/>
    <w:rsid w:val="00463553"/>
    <w:rsid w:val="00463563"/>
    <w:rsid w:val="004635D4"/>
    <w:rsid w:val="00463744"/>
    <w:rsid w:val="00464B47"/>
    <w:rsid w:val="00464D57"/>
    <w:rsid w:val="004650F6"/>
    <w:rsid w:val="004651DD"/>
    <w:rsid w:val="0046556C"/>
    <w:rsid w:val="004658A2"/>
    <w:rsid w:val="004716AD"/>
    <w:rsid w:val="004718CC"/>
    <w:rsid w:val="00471A88"/>
    <w:rsid w:val="0047202C"/>
    <w:rsid w:val="00472705"/>
    <w:rsid w:val="00472A69"/>
    <w:rsid w:val="00472B76"/>
    <w:rsid w:val="00473502"/>
    <w:rsid w:val="0047385D"/>
    <w:rsid w:val="00474044"/>
    <w:rsid w:val="0047430A"/>
    <w:rsid w:val="0047434B"/>
    <w:rsid w:val="004744BB"/>
    <w:rsid w:val="004750C2"/>
    <w:rsid w:val="00475CC8"/>
    <w:rsid w:val="00476019"/>
    <w:rsid w:val="0047633A"/>
    <w:rsid w:val="00477E4E"/>
    <w:rsid w:val="00477E8C"/>
    <w:rsid w:val="00480702"/>
    <w:rsid w:val="00481093"/>
    <w:rsid w:val="00481695"/>
    <w:rsid w:val="004836FE"/>
    <w:rsid w:val="0048372D"/>
    <w:rsid w:val="00483A38"/>
    <w:rsid w:val="00483DFB"/>
    <w:rsid w:val="00483F1F"/>
    <w:rsid w:val="00484A20"/>
    <w:rsid w:val="004850EC"/>
    <w:rsid w:val="00485236"/>
    <w:rsid w:val="00485621"/>
    <w:rsid w:val="00485947"/>
    <w:rsid w:val="0048676B"/>
    <w:rsid w:val="00486FB0"/>
    <w:rsid w:val="00490B0C"/>
    <w:rsid w:val="00490EAF"/>
    <w:rsid w:val="00491277"/>
    <w:rsid w:val="00491387"/>
    <w:rsid w:val="00492221"/>
    <w:rsid w:val="00492469"/>
    <w:rsid w:val="004925F3"/>
    <w:rsid w:val="004926E3"/>
    <w:rsid w:val="00492816"/>
    <w:rsid w:val="00492AFC"/>
    <w:rsid w:val="00492BEE"/>
    <w:rsid w:val="004941F7"/>
    <w:rsid w:val="004948A0"/>
    <w:rsid w:val="00494F11"/>
    <w:rsid w:val="004952C2"/>
    <w:rsid w:val="00495A96"/>
    <w:rsid w:val="00495BB3"/>
    <w:rsid w:val="00495C4A"/>
    <w:rsid w:val="00496E91"/>
    <w:rsid w:val="00497F90"/>
    <w:rsid w:val="004A0261"/>
    <w:rsid w:val="004A0BBF"/>
    <w:rsid w:val="004A126A"/>
    <w:rsid w:val="004A1808"/>
    <w:rsid w:val="004A201A"/>
    <w:rsid w:val="004A2ADD"/>
    <w:rsid w:val="004A2EA3"/>
    <w:rsid w:val="004A4C39"/>
    <w:rsid w:val="004A56BB"/>
    <w:rsid w:val="004A5CBD"/>
    <w:rsid w:val="004A5F55"/>
    <w:rsid w:val="004A631F"/>
    <w:rsid w:val="004A64C7"/>
    <w:rsid w:val="004A672E"/>
    <w:rsid w:val="004A685A"/>
    <w:rsid w:val="004A70D6"/>
    <w:rsid w:val="004A713A"/>
    <w:rsid w:val="004A7A67"/>
    <w:rsid w:val="004A7ECA"/>
    <w:rsid w:val="004B0049"/>
    <w:rsid w:val="004B01AD"/>
    <w:rsid w:val="004B0F13"/>
    <w:rsid w:val="004B1447"/>
    <w:rsid w:val="004B1722"/>
    <w:rsid w:val="004B1751"/>
    <w:rsid w:val="004B2597"/>
    <w:rsid w:val="004B293D"/>
    <w:rsid w:val="004B2C90"/>
    <w:rsid w:val="004B2FB2"/>
    <w:rsid w:val="004B574A"/>
    <w:rsid w:val="004B5B4A"/>
    <w:rsid w:val="004B5ECE"/>
    <w:rsid w:val="004B5FBC"/>
    <w:rsid w:val="004B610D"/>
    <w:rsid w:val="004B6333"/>
    <w:rsid w:val="004B6A49"/>
    <w:rsid w:val="004B6EB7"/>
    <w:rsid w:val="004B726A"/>
    <w:rsid w:val="004C004F"/>
    <w:rsid w:val="004C00FE"/>
    <w:rsid w:val="004C0253"/>
    <w:rsid w:val="004C03BA"/>
    <w:rsid w:val="004C14B8"/>
    <w:rsid w:val="004C1722"/>
    <w:rsid w:val="004C1947"/>
    <w:rsid w:val="004C2408"/>
    <w:rsid w:val="004C24EC"/>
    <w:rsid w:val="004C2E17"/>
    <w:rsid w:val="004C3223"/>
    <w:rsid w:val="004C3632"/>
    <w:rsid w:val="004C4350"/>
    <w:rsid w:val="004C4E4B"/>
    <w:rsid w:val="004C50A0"/>
    <w:rsid w:val="004C59D4"/>
    <w:rsid w:val="004C5B20"/>
    <w:rsid w:val="004C6412"/>
    <w:rsid w:val="004C6CE4"/>
    <w:rsid w:val="004C7A8D"/>
    <w:rsid w:val="004D07C7"/>
    <w:rsid w:val="004D0E14"/>
    <w:rsid w:val="004D12F2"/>
    <w:rsid w:val="004D1900"/>
    <w:rsid w:val="004D1A91"/>
    <w:rsid w:val="004D225C"/>
    <w:rsid w:val="004D2F27"/>
    <w:rsid w:val="004D3283"/>
    <w:rsid w:val="004D33F9"/>
    <w:rsid w:val="004D3EDD"/>
    <w:rsid w:val="004D4081"/>
    <w:rsid w:val="004D4809"/>
    <w:rsid w:val="004D56FF"/>
    <w:rsid w:val="004D5ADC"/>
    <w:rsid w:val="004D6137"/>
    <w:rsid w:val="004D639F"/>
    <w:rsid w:val="004D64B5"/>
    <w:rsid w:val="004D6517"/>
    <w:rsid w:val="004D6BE2"/>
    <w:rsid w:val="004D6EC0"/>
    <w:rsid w:val="004D7031"/>
    <w:rsid w:val="004D73BD"/>
    <w:rsid w:val="004D79E4"/>
    <w:rsid w:val="004D7FE7"/>
    <w:rsid w:val="004E003E"/>
    <w:rsid w:val="004E0513"/>
    <w:rsid w:val="004E05DC"/>
    <w:rsid w:val="004E0AD1"/>
    <w:rsid w:val="004E0E14"/>
    <w:rsid w:val="004E19A2"/>
    <w:rsid w:val="004E1F60"/>
    <w:rsid w:val="004E2053"/>
    <w:rsid w:val="004E2310"/>
    <w:rsid w:val="004E33EB"/>
    <w:rsid w:val="004E37DA"/>
    <w:rsid w:val="004E39D3"/>
    <w:rsid w:val="004E4045"/>
    <w:rsid w:val="004E4FBD"/>
    <w:rsid w:val="004E508A"/>
    <w:rsid w:val="004E5B12"/>
    <w:rsid w:val="004E616D"/>
    <w:rsid w:val="004E65F0"/>
    <w:rsid w:val="004E6995"/>
    <w:rsid w:val="004E69C9"/>
    <w:rsid w:val="004E706C"/>
    <w:rsid w:val="004E7432"/>
    <w:rsid w:val="004E75B6"/>
    <w:rsid w:val="004E75C7"/>
    <w:rsid w:val="004E7975"/>
    <w:rsid w:val="004F064E"/>
    <w:rsid w:val="004F09BD"/>
    <w:rsid w:val="004F1BDE"/>
    <w:rsid w:val="004F235B"/>
    <w:rsid w:val="004F2576"/>
    <w:rsid w:val="004F2CEE"/>
    <w:rsid w:val="004F3649"/>
    <w:rsid w:val="004F3741"/>
    <w:rsid w:val="004F4894"/>
    <w:rsid w:val="004F556E"/>
    <w:rsid w:val="004F591C"/>
    <w:rsid w:val="004F602C"/>
    <w:rsid w:val="004F672D"/>
    <w:rsid w:val="004F6CCE"/>
    <w:rsid w:val="004F6CF2"/>
    <w:rsid w:val="004F7094"/>
    <w:rsid w:val="004F7171"/>
    <w:rsid w:val="004F7F44"/>
    <w:rsid w:val="00500109"/>
    <w:rsid w:val="005009D4"/>
    <w:rsid w:val="00500B49"/>
    <w:rsid w:val="005010B7"/>
    <w:rsid w:val="005012BB"/>
    <w:rsid w:val="00501621"/>
    <w:rsid w:val="00502590"/>
    <w:rsid w:val="00502649"/>
    <w:rsid w:val="00502983"/>
    <w:rsid w:val="00502D40"/>
    <w:rsid w:val="00502DDC"/>
    <w:rsid w:val="00502F1F"/>
    <w:rsid w:val="005037B4"/>
    <w:rsid w:val="00504010"/>
    <w:rsid w:val="0050410F"/>
    <w:rsid w:val="00504E06"/>
    <w:rsid w:val="00505047"/>
    <w:rsid w:val="005056E9"/>
    <w:rsid w:val="00505E9A"/>
    <w:rsid w:val="00506F02"/>
    <w:rsid w:val="005074F3"/>
    <w:rsid w:val="005076C7"/>
    <w:rsid w:val="00507995"/>
    <w:rsid w:val="005079BF"/>
    <w:rsid w:val="00507DF5"/>
    <w:rsid w:val="00510090"/>
    <w:rsid w:val="00510160"/>
    <w:rsid w:val="005103A2"/>
    <w:rsid w:val="00510845"/>
    <w:rsid w:val="005116EB"/>
    <w:rsid w:val="00512173"/>
    <w:rsid w:val="0051269A"/>
    <w:rsid w:val="00512C5F"/>
    <w:rsid w:val="00513024"/>
    <w:rsid w:val="00513956"/>
    <w:rsid w:val="0051410E"/>
    <w:rsid w:val="0051480A"/>
    <w:rsid w:val="00515FF2"/>
    <w:rsid w:val="005161C3"/>
    <w:rsid w:val="005168D6"/>
    <w:rsid w:val="00516EA3"/>
    <w:rsid w:val="00517034"/>
    <w:rsid w:val="005179DB"/>
    <w:rsid w:val="005208AD"/>
    <w:rsid w:val="00521667"/>
    <w:rsid w:val="005219E7"/>
    <w:rsid w:val="00521B1F"/>
    <w:rsid w:val="00521B57"/>
    <w:rsid w:val="00521BD8"/>
    <w:rsid w:val="00521FA0"/>
    <w:rsid w:val="005233D2"/>
    <w:rsid w:val="00523A0D"/>
    <w:rsid w:val="00523AA0"/>
    <w:rsid w:val="00523C13"/>
    <w:rsid w:val="00523ECB"/>
    <w:rsid w:val="00524B24"/>
    <w:rsid w:val="00524BD0"/>
    <w:rsid w:val="00524FC6"/>
    <w:rsid w:val="00525F9A"/>
    <w:rsid w:val="0052635F"/>
    <w:rsid w:val="00526982"/>
    <w:rsid w:val="00526F3C"/>
    <w:rsid w:val="00531B9A"/>
    <w:rsid w:val="00531D15"/>
    <w:rsid w:val="00532673"/>
    <w:rsid w:val="00532D45"/>
    <w:rsid w:val="00533021"/>
    <w:rsid w:val="00533048"/>
    <w:rsid w:val="00533175"/>
    <w:rsid w:val="00533F3C"/>
    <w:rsid w:val="00535588"/>
    <w:rsid w:val="0053562C"/>
    <w:rsid w:val="005357B3"/>
    <w:rsid w:val="00535F31"/>
    <w:rsid w:val="00536491"/>
    <w:rsid w:val="00537604"/>
    <w:rsid w:val="005377C1"/>
    <w:rsid w:val="0053797E"/>
    <w:rsid w:val="00537D96"/>
    <w:rsid w:val="005408C0"/>
    <w:rsid w:val="005412FD"/>
    <w:rsid w:val="005415A3"/>
    <w:rsid w:val="0054160B"/>
    <w:rsid w:val="00542377"/>
    <w:rsid w:val="00542FA6"/>
    <w:rsid w:val="00544632"/>
    <w:rsid w:val="00544FAA"/>
    <w:rsid w:val="00545AA5"/>
    <w:rsid w:val="005464E7"/>
    <w:rsid w:val="00546798"/>
    <w:rsid w:val="005468CD"/>
    <w:rsid w:val="00546C93"/>
    <w:rsid w:val="005474E2"/>
    <w:rsid w:val="005476EB"/>
    <w:rsid w:val="00547B75"/>
    <w:rsid w:val="00550373"/>
    <w:rsid w:val="00550C99"/>
    <w:rsid w:val="00550FB9"/>
    <w:rsid w:val="005514FA"/>
    <w:rsid w:val="00551782"/>
    <w:rsid w:val="00551C9C"/>
    <w:rsid w:val="00551F45"/>
    <w:rsid w:val="00552E58"/>
    <w:rsid w:val="00553558"/>
    <w:rsid w:val="00553740"/>
    <w:rsid w:val="00553913"/>
    <w:rsid w:val="00553E23"/>
    <w:rsid w:val="00554426"/>
    <w:rsid w:val="00554438"/>
    <w:rsid w:val="00554708"/>
    <w:rsid w:val="005568FB"/>
    <w:rsid w:val="00556F55"/>
    <w:rsid w:val="005575A1"/>
    <w:rsid w:val="00557A65"/>
    <w:rsid w:val="00557B9F"/>
    <w:rsid w:val="00561609"/>
    <w:rsid w:val="0056180A"/>
    <w:rsid w:val="00562208"/>
    <w:rsid w:val="005623FA"/>
    <w:rsid w:val="005628F2"/>
    <w:rsid w:val="00562B6B"/>
    <w:rsid w:val="00562D55"/>
    <w:rsid w:val="0056395A"/>
    <w:rsid w:val="00563B04"/>
    <w:rsid w:val="00563C04"/>
    <w:rsid w:val="00563EF1"/>
    <w:rsid w:val="005647B4"/>
    <w:rsid w:val="00565138"/>
    <w:rsid w:val="00565255"/>
    <w:rsid w:val="005658FF"/>
    <w:rsid w:val="005664AD"/>
    <w:rsid w:val="00566AB4"/>
    <w:rsid w:val="00566F09"/>
    <w:rsid w:val="0056758C"/>
    <w:rsid w:val="00567906"/>
    <w:rsid w:val="00567C75"/>
    <w:rsid w:val="005700CB"/>
    <w:rsid w:val="0057045F"/>
    <w:rsid w:val="00571842"/>
    <w:rsid w:val="005718D2"/>
    <w:rsid w:val="00571BA4"/>
    <w:rsid w:val="005727F0"/>
    <w:rsid w:val="00572A2E"/>
    <w:rsid w:val="0057330A"/>
    <w:rsid w:val="0057359B"/>
    <w:rsid w:val="00573812"/>
    <w:rsid w:val="00574AD6"/>
    <w:rsid w:val="0057513E"/>
    <w:rsid w:val="00575273"/>
    <w:rsid w:val="005755FD"/>
    <w:rsid w:val="005756A0"/>
    <w:rsid w:val="005758B3"/>
    <w:rsid w:val="00575AC5"/>
    <w:rsid w:val="00575C28"/>
    <w:rsid w:val="00575FC5"/>
    <w:rsid w:val="0057605D"/>
    <w:rsid w:val="00576C74"/>
    <w:rsid w:val="0057794B"/>
    <w:rsid w:val="00577F3D"/>
    <w:rsid w:val="00580405"/>
    <w:rsid w:val="00580600"/>
    <w:rsid w:val="00580755"/>
    <w:rsid w:val="00580A18"/>
    <w:rsid w:val="005812C6"/>
    <w:rsid w:val="00581347"/>
    <w:rsid w:val="00581AC9"/>
    <w:rsid w:val="00581CF5"/>
    <w:rsid w:val="0058219D"/>
    <w:rsid w:val="00582396"/>
    <w:rsid w:val="005827A2"/>
    <w:rsid w:val="00582AB8"/>
    <w:rsid w:val="00582C38"/>
    <w:rsid w:val="0058337D"/>
    <w:rsid w:val="0058339C"/>
    <w:rsid w:val="00583411"/>
    <w:rsid w:val="00583AE0"/>
    <w:rsid w:val="005844B7"/>
    <w:rsid w:val="005847AA"/>
    <w:rsid w:val="005849F8"/>
    <w:rsid w:val="00584CE2"/>
    <w:rsid w:val="005871A9"/>
    <w:rsid w:val="005874A7"/>
    <w:rsid w:val="0058755F"/>
    <w:rsid w:val="005876D7"/>
    <w:rsid w:val="00587B60"/>
    <w:rsid w:val="00587D6D"/>
    <w:rsid w:val="00590299"/>
    <w:rsid w:val="005908CB"/>
    <w:rsid w:val="00590A58"/>
    <w:rsid w:val="00590F83"/>
    <w:rsid w:val="00591CC4"/>
    <w:rsid w:val="00592528"/>
    <w:rsid w:val="005926A0"/>
    <w:rsid w:val="005938DF"/>
    <w:rsid w:val="0059390B"/>
    <w:rsid w:val="00593BED"/>
    <w:rsid w:val="005946C8"/>
    <w:rsid w:val="005946E8"/>
    <w:rsid w:val="00594A01"/>
    <w:rsid w:val="00594BFF"/>
    <w:rsid w:val="00594E9C"/>
    <w:rsid w:val="00595C7B"/>
    <w:rsid w:val="005965F1"/>
    <w:rsid w:val="0059733B"/>
    <w:rsid w:val="00597817"/>
    <w:rsid w:val="005A099B"/>
    <w:rsid w:val="005A15B7"/>
    <w:rsid w:val="005A245E"/>
    <w:rsid w:val="005A279D"/>
    <w:rsid w:val="005A2D9C"/>
    <w:rsid w:val="005A3472"/>
    <w:rsid w:val="005A3498"/>
    <w:rsid w:val="005A34C4"/>
    <w:rsid w:val="005A3549"/>
    <w:rsid w:val="005A3588"/>
    <w:rsid w:val="005A479A"/>
    <w:rsid w:val="005A4C37"/>
    <w:rsid w:val="005A4F6B"/>
    <w:rsid w:val="005A55FE"/>
    <w:rsid w:val="005A585E"/>
    <w:rsid w:val="005A5B65"/>
    <w:rsid w:val="005A5D85"/>
    <w:rsid w:val="005A5FB2"/>
    <w:rsid w:val="005A60E9"/>
    <w:rsid w:val="005A6A11"/>
    <w:rsid w:val="005A6AFF"/>
    <w:rsid w:val="005A6B3E"/>
    <w:rsid w:val="005A6FAF"/>
    <w:rsid w:val="005A720D"/>
    <w:rsid w:val="005A7A95"/>
    <w:rsid w:val="005B0265"/>
    <w:rsid w:val="005B0F5D"/>
    <w:rsid w:val="005B10A4"/>
    <w:rsid w:val="005B19EB"/>
    <w:rsid w:val="005B1D15"/>
    <w:rsid w:val="005B1F06"/>
    <w:rsid w:val="005B2093"/>
    <w:rsid w:val="005B2183"/>
    <w:rsid w:val="005B250C"/>
    <w:rsid w:val="005B2F0D"/>
    <w:rsid w:val="005B3EF9"/>
    <w:rsid w:val="005B408B"/>
    <w:rsid w:val="005B4AFD"/>
    <w:rsid w:val="005B4B0B"/>
    <w:rsid w:val="005B58BF"/>
    <w:rsid w:val="005B5A18"/>
    <w:rsid w:val="005B6069"/>
    <w:rsid w:val="005B6899"/>
    <w:rsid w:val="005B6DBA"/>
    <w:rsid w:val="005B707D"/>
    <w:rsid w:val="005B733B"/>
    <w:rsid w:val="005B736A"/>
    <w:rsid w:val="005B7757"/>
    <w:rsid w:val="005B77C2"/>
    <w:rsid w:val="005C1620"/>
    <w:rsid w:val="005C353F"/>
    <w:rsid w:val="005C3915"/>
    <w:rsid w:val="005C3EB4"/>
    <w:rsid w:val="005C42D5"/>
    <w:rsid w:val="005C4B7D"/>
    <w:rsid w:val="005C4FE5"/>
    <w:rsid w:val="005C59AD"/>
    <w:rsid w:val="005C5E03"/>
    <w:rsid w:val="005C6071"/>
    <w:rsid w:val="005C670E"/>
    <w:rsid w:val="005C6A43"/>
    <w:rsid w:val="005C6DFE"/>
    <w:rsid w:val="005C6F0F"/>
    <w:rsid w:val="005C6F8E"/>
    <w:rsid w:val="005C71D0"/>
    <w:rsid w:val="005C723C"/>
    <w:rsid w:val="005D1B78"/>
    <w:rsid w:val="005D2502"/>
    <w:rsid w:val="005D289A"/>
    <w:rsid w:val="005D3A42"/>
    <w:rsid w:val="005D40BB"/>
    <w:rsid w:val="005D47F3"/>
    <w:rsid w:val="005D49BF"/>
    <w:rsid w:val="005D4AA5"/>
    <w:rsid w:val="005D4C1C"/>
    <w:rsid w:val="005D50B4"/>
    <w:rsid w:val="005D5205"/>
    <w:rsid w:val="005D5415"/>
    <w:rsid w:val="005D551C"/>
    <w:rsid w:val="005D55D2"/>
    <w:rsid w:val="005D5FFA"/>
    <w:rsid w:val="005D61AB"/>
    <w:rsid w:val="005D6380"/>
    <w:rsid w:val="005D6723"/>
    <w:rsid w:val="005D689C"/>
    <w:rsid w:val="005D6F4E"/>
    <w:rsid w:val="005D7C73"/>
    <w:rsid w:val="005D7F1B"/>
    <w:rsid w:val="005E0E38"/>
    <w:rsid w:val="005E1071"/>
    <w:rsid w:val="005E1664"/>
    <w:rsid w:val="005E21C8"/>
    <w:rsid w:val="005E250B"/>
    <w:rsid w:val="005E2D73"/>
    <w:rsid w:val="005E2EA0"/>
    <w:rsid w:val="005E3026"/>
    <w:rsid w:val="005E3ACD"/>
    <w:rsid w:val="005E4A99"/>
    <w:rsid w:val="005E4DE2"/>
    <w:rsid w:val="005E4FDA"/>
    <w:rsid w:val="005E5C21"/>
    <w:rsid w:val="005E6AB7"/>
    <w:rsid w:val="005E6CAA"/>
    <w:rsid w:val="005E70B1"/>
    <w:rsid w:val="005E7226"/>
    <w:rsid w:val="005E72C5"/>
    <w:rsid w:val="005E74AF"/>
    <w:rsid w:val="005E78B9"/>
    <w:rsid w:val="005E7A57"/>
    <w:rsid w:val="005F05B7"/>
    <w:rsid w:val="005F0725"/>
    <w:rsid w:val="005F13F5"/>
    <w:rsid w:val="005F1437"/>
    <w:rsid w:val="005F169D"/>
    <w:rsid w:val="005F1B5F"/>
    <w:rsid w:val="005F2281"/>
    <w:rsid w:val="005F242A"/>
    <w:rsid w:val="005F24B0"/>
    <w:rsid w:val="005F2AE8"/>
    <w:rsid w:val="005F2F0B"/>
    <w:rsid w:val="005F4477"/>
    <w:rsid w:val="005F4668"/>
    <w:rsid w:val="005F46E2"/>
    <w:rsid w:val="005F47A2"/>
    <w:rsid w:val="005F47CA"/>
    <w:rsid w:val="005F4EE4"/>
    <w:rsid w:val="005F4F90"/>
    <w:rsid w:val="005F5079"/>
    <w:rsid w:val="005F66E2"/>
    <w:rsid w:val="005F6894"/>
    <w:rsid w:val="005F6B8D"/>
    <w:rsid w:val="005F6C70"/>
    <w:rsid w:val="005F6F7C"/>
    <w:rsid w:val="005F6FC1"/>
    <w:rsid w:val="005F7059"/>
    <w:rsid w:val="00600590"/>
    <w:rsid w:val="00600B63"/>
    <w:rsid w:val="0060119B"/>
    <w:rsid w:val="00602515"/>
    <w:rsid w:val="00602A0A"/>
    <w:rsid w:val="00602B5B"/>
    <w:rsid w:val="00602D51"/>
    <w:rsid w:val="006034E1"/>
    <w:rsid w:val="00603D46"/>
    <w:rsid w:val="00603F4D"/>
    <w:rsid w:val="0060421B"/>
    <w:rsid w:val="00604315"/>
    <w:rsid w:val="00604E26"/>
    <w:rsid w:val="0060523F"/>
    <w:rsid w:val="006052CF"/>
    <w:rsid w:val="0060627D"/>
    <w:rsid w:val="00606726"/>
    <w:rsid w:val="006073D7"/>
    <w:rsid w:val="00607816"/>
    <w:rsid w:val="0060792C"/>
    <w:rsid w:val="00607A7E"/>
    <w:rsid w:val="00607B8D"/>
    <w:rsid w:val="006103D5"/>
    <w:rsid w:val="0061057D"/>
    <w:rsid w:val="0061089D"/>
    <w:rsid w:val="00610A20"/>
    <w:rsid w:val="00610CE2"/>
    <w:rsid w:val="00611585"/>
    <w:rsid w:val="00611C71"/>
    <w:rsid w:val="00611F5C"/>
    <w:rsid w:val="00612355"/>
    <w:rsid w:val="006128D3"/>
    <w:rsid w:val="00613690"/>
    <w:rsid w:val="00614124"/>
    <w:rsid w:val="006141DB"/>
    <w:rsid w:val="0061467C"/>
    <w:rsid w:val="00614B60"/>
    <w:rsid w:val="00615307"/>
    <w:rsid w:val="00615A62"/>
    <w:rsid w:val="0061659C"/>
    <w:rsid w:val="00616E09"/>
    <w:rsid w:val="00616E36"/>
    <w:rsid w:val="006178A5"/>
    <w:rsid w:val="00617B32"/>
    <w:rsid w:val="006202B0"/>
    <w:rsid w:val="006206E9"/>
    <w:rsid w:val="00620A4B"/>
    <w:rsid w:val="00620AFF"/>
    <w:rsid w:val="00620BEE"/>
    <w:rsid w:val="00621266"/>
    <w:rsid w:val="00621361"/>
    <w:rsid w:val="00621947"/>
    <w:rsid w:val="00622240"/>
    <w:rsid w:val="00622A3B"/>
    <w:rsid w:val="00622EEA"/>
    <w:rsid w:val="0062396C"/>
    <w:rsid w:val="00623FF9"/>
    <w:rsid w:val="00624F99"/>
    <w:rsid w:val="00624FF7"/>
    <w:rsid w:val="006258BA"/>
    <w:rsid w:val="00625972"/>
    <w:rsid w:val="00625D83"/>
    <w:rsid w:val="00625EBE"/>
    <w:rsid w:val="0062609F"/>
    <w:rsid w:val="006260FF"/>
    <w:rsid w:val="00626F45"/>
    <w:rsid w:val="00627634"/>
    <w:rsid w:val="00627B85"/>
    <w:rsid w:val="00627D4E"/>
    <w:rsid w:val="00630028"/>
    <w:rsid w:val="00630467"/>
    <w:rsid w:val="006306B6"/>
    <w:rsid w:val="006317D7"/>
    <w:rsid w:val="00631B28"/>
    <w:rsid w:val="00632B89"/>
    <w:rsid w:val="0063346D"/>
    <w:rsid w:val="00633728"/>
    <w:rsid w:val="00633FD4"/>
    <w:rsid w:val="006342C4"/>
    <w:rsid w:val="00634478"/>
    <w:rsid w:val="0063452A"/>
    <w:rsid w:val="00634E78"/>
    <w:rsid w:val="00634F8D"/>
    <w:rsid w:val="00635330"/>
    <w:rsid w:val="0063692A"/>
    <w:rsid w:val="0063697E"/>
    <w:rsid w:val="00636EF5"/>
    <w:rsid w:val="00637031"/>
    <w:rsid w:val="006371F8"/>
    <w:rsid w:val="00637A13"/>
    <w:rsid w:val="00640159"/>
    <w:rsid w:val="00640253"/>
    <w:rsid w:val="0064072A"/>
    <w:rsid w:val="0064094B"/>
    <w:rsid w:val="0064097F"/>
    <w:rsid w:val="00641351"/>
    <w:rsid w:val="00641AA7"/>
    <w:rsid w:val="0064288C"/>
    <w:rsid w:val="00643343"/>
    <w:rsid w:val="00644373"/>
    <w:rsid w:val="006445D9"/>
    <w:rsid w:val="006446C1"/>
    <w:rsid w:val="006448EB"/>
    <w:rsid w:val="00644FCA"/>
    <w:rsid w:val="006450FD"/>
    <w:rsid w:val="006454F8"/>
    <w:rsid w:val="00645915"/>
    <w:rsid w:val="00646B7F"/>
    <w:rsid w:val="00646CC4"/>
    <w:rsid w:val="00646DB1"/>
    <w:rsid w:val="00647785"/>
    <w:rsid w:val="00647D8C"/>
    <w:rsid w:val="00647F36"/>
    <w:rsid w:val="00650907"/>
    <w:rsid w:val="00650DD8"/>
    <w:rsid w:val="00650E33"/>
    <w:rsid w:val="0065120D"/>
    <w:rsid w:val="006519C3"/>
    <w:rsid w:val="00652B30"/>
    <w:rsid w:val="00653361"/>
    <w:rsid w:val="00653F32"/>
    <w:rsid w:val="00653F45"/>
    <w:rsid w:val="006542F3"/>
    <w:rsid w:val="006544FC"/>
    <w:rsid w:val="006553ED"/>
    <w:rsid w:val="006555E2"/>
    <w:rsid w:val="006557E0"/>
    <w:rsid w:val="00655AE2"/>
    <w:rsid w:val="00655F65"/>
    <w:rsid w:val="006560FE"/>
    <w:rsid w:val="0065632C"/>
    <w:rsid w:val="00656345"/>
    <w:rsid w:val="00656918"/>
    <w:rsid w:val="00656DC6"/>
    <w:rsid w:val="00657065"/>
    <w:rsid w:val="00657372"/>
    <w:rsid w:val="00660B2E"/>
    <w:rsid w:val="00660D81"/>
    <w:rsid w:val="00660EC6"/>
    <w:rsid w:val="00660F4A"/>
    <w:rsid w:val="00661044"/>
    <w:rsid w:val="00661276"/>
    <w:rsid w:val="006615BA"/>
    <w:rsid w:val="006624C7"/>
    <w:rsid w:val="00662512"/>
    <w:rsid w:val="00662604"/>
    <w:rsid w:val="006627AD"/>
    <w:rsid w:val="00664110"/>
    <w:rsid w:val="00664D17"/>
    <w:rsid w:val="006651BE"/>
    <w:rsid w:val="006654EB"/>
    <w:rsid w:val="00665BA3"/>
    <w:rsid w:val="00666520"/>
    <w:rsid w:val="0066656A"/>
    <w:rsid w:val="00667408"/>
    <w:rsid w:val="00667C5B"/>
    <w:rsid w:val="00667E45"/>
    <w:rsid w:val="00667F4E"/>
    <w:rsid w:val="00670100"/>
    <w:rsid w:val="00670149"/>
    <w:rsid w:val="0067112E"/>
    <w:rsid w:val="006713ED"/>
    <w:rsid w:val="00671513"/>
    <w:rsid w:val="00673067"/>
    <w:rsid w:val="00673185"/>
    <w:rsid w:val="00673695"/>
    <w:rsid w:val="006738E7"/>
    <w:rsid w:val="00675663"/>
    <w:rsid w:val="00677247"/>
    <w:rsid w:val="00677471"/>
    <w:rsid w:val="00677F68"/>
    <w:rsid w:val="00680639"/>
    <w:rsid w:val="006807DD"/>
    <w:rsid w:val="006815F5"/>
    <w:rsid w:val="00681E41"/>
    <w:rsid w:val="00681FF2"/>
    <w:rsid w:val="00682654"/>
    <w:rsid w:val="00682A4D"/>
    <w:rsid w:val="006832FE"/>
    <w:rsid w:val="00684A2F"/>
    <w:rsid w:val="00685A9C"/>
    <w:rsid w:val="00686119"/>
    <w:rsid w:val="0068679C"/>
    <w:rsid w:val="00687315"/>
    <w:rsid w:val="00687967"/>
    <w:rsid w:val="00690794"/>
    <w:rsid w:val="006908B0"/>
    <w:rsid w:val="006909A2"/>
    <w:rsid w:val="00690C59"/>
    <w:rsid w:val="00690F55"/>
    <w:rsid w:val="006912CF"/>
    <w:rsid w:val="00691D0F"/>
    <w:rsid w:val="00691EB8"/>
    <w:rsid w:val="006927E7"/>
    <w:rsid w:val="00692CDE"/>
    <w:rsid w:val="00693073"/>
    <w:rsid w:val="0069394A"/>
    <w:rsid w:val="00694057"/>
    <w:rsid w:val="00695070"/>
    <w:rsid w:val="00695358"/>
    <w:rsid w:val="00695ECC"/>
    <w:rsid w:val="00696AA1"/>
    <w:rsid w:val="0069731F"/>
    <w:rsid w:val="006977FF"/>
    <w:rsid w:val="00697F8D"/>
    <w:rsid w:val="006A00C9"/>
    <w:rsid w:val="006A015D"/>
    <w:rsid w:val="006A01FA"/>
    <w:rsid w:val="006A06BF"/>
    <w:rsid w:val="006A0E9E"/>
    <w:rsid w:val="006A1669"/>
    <w:rsid w:val="006A20EB"/>
    <w:rsid w:val="006A25C7"/>
    <w:rsid w:val="006A263E"/>
    <w:rsid w:val="006A2C2B"/>
    <w:rsid w:val="006A2D17"/>
    <w:rsid w:val="006A2F66"/>
    <w:rsid w:val="006A3BB8"/>
    <w:rsid w:val="006A43B6"/>
    <w:rsid w:val="006A48E7"/>
    <w:rsid w:val="006A4AAD"/>
    <w:rsid w:val="006A5469"/>
    <w:rsid w:val="006A550D"/>
    <w:rsid w:val="006A598F"/>
    <w:rsid w:val="006A5A5A"/>
    <w:rsid w:val="006A5F48"/>
    <w:rsid w:val="006A6212"/>
    <w:rsid w:val="006A623F"/>
    <w:rsid w:val="006A673B"/>
    <w:rsid w:val="006A6DA2"/>
    <w:rsid w:val="006A7423"/>
    <w:rsid w:val="006A764E"/>
    <w:rsid w:val="006A78AB"/>
    <w:rsid w:val="006A7AB2"/>
    <w:rsid w:val="006B085A"/>
    <w:rsid w:val="006B0D4B"/>
    <w:rsid w:val="006B1033"/>
    <w:rsid w:val="006B13E8"/>
    <w:rsid w:val="006B25BB"/>
    <w:rsid w:val="006B2758"/>
    <w:rsid w:val="006B2FFE"/>
    <w:rsid w:val="006B39F2"/>
    <w:rsid w:val="006B4B21"/>
    <w:rsid w:val="006B523A"/>
    <w:rsid w:val="006B52DE"/>
    <w:rsid w:val="006B5717"/>
    <w:rsid w:val="006B582F"/>
    <w:rsid w:val="006B5BE8"/>
    <w:rsid w:val="006B5EB2"/>
    <w:rsid w:val="006B64E5"/>
    <w:rsid w:val="006B6AE2"/>
    <w:rsid w:val="006B7183"/>
    <w:rsid w:val="006B7C70"/>
    <w:rsid w:val="006C0169"/>
    <w:rsid w:val="006C0B48"/>
    <w:rsid w:val="006C0BE0"/>
    <w:rsid w:val="006C0CEB"/>
    <w:rsid w:val="006C13ED"/>
    <w:rsid w:val="006C1631"/>
    <w:rsid w:val="006C178B"/>
    <w:rsid w:val="006C243A"/>
    <w:rsid w:val="006C2ECF"/>
    <w:rsid w:val="006C2F00"/>
    <w:rsid w:val="006C2FA7"/>
    <w:rsid w:val="006C398D"/>
    <w:rsid w:val="006C3B1E"/>
    <w:rsid w:val="006C3E33"/>
    <w:rsid w:val="006C402F"/>
    <w:rsid w:val="006C4175"/>
    <w:rsid w:val="006C47FD"/>
    <w:rsid w:val="006C4A6B"/>
    <w:rsid w:val="006C546C"/>
    <w:rsid w:val="006C5C19"/>
    <w:rsid w:val="006C6690"/>
    <w:rsid w:val="006C70A0"/>
    <w:rsid w:val="006C757F"/>
    <w:rsid w:val="006C7FBF"/>
    <w:rsid w:val="006D0BA0"/>
    <w:rsid w:val="006D13B1"/>
    <w:rsid w:val="006D1768"/>
    <w:rsid w:val="006D202F"/>
    <w:rsid w:val="006D21A5"/>
    <w:rsid w:val="006D27CB"/>
    <w:rsid w:val="006D2EFB"/>
    <w:rsid w:val="006D2F08"/>
    <w:rsid w:val="006D2F98"/>
    <w:rsid w:val="006D4156"/>
    <w:rsid w:val="006D448F"/>
    <w:rsid w:val="006D552C"/>
    <w:rsid w:val="006D558D"/>
    <w:rsid w:val="006D55D6"/>
    <w:rsid w:val="006D576C"/>
    <w:rsid w:val="006D5865"/>
    <w:rsid w:val="006D737C"/>
    <w:rsid w:val="006D7980"/>
    <w:rsid w:val="006E0EE0"/>
    <w:rsid w:val="006E18D1"/>
    <w:rsid w:val="006E22B1"/>
    <w:rsid w:val="006E264E"/>
    <w:rsid w:val="006E34D0"/>
    <w:rsid w:val="006E3701"/>
    <w:rsid w:val="006E3AB3"/>
    <w:rsid w:val="006E406B"/>
    <w:rsid w:val="006E46A4"/>
    <w:rsid w:val="006E498F"/>
    <w:rsid w:val="006E4B1B"/>
    <w:rsid w:val="006E51F6"/>
    <w:rsid w:val="006E535F"/>
    <w:rsid w:val="006E5445"/>
    <w:rsid w:val="006E55F8"/>
    <w:rsid w:val="006E5603"/>
    <w:rsid w:val="006E5E30"/>
    <w:rsid w:val="006E6604"/>
    <w:rsid w:val="006E6AB9"/>
    <w:rsid w:val="006E6D18"/>
    <w:rsid w:val="006E73FE"/>
    <w:rsid w:val="006E7D70"/>
    <w:rsid w:val="006E7D93"/>
    <w:rsid w:val="006F1917"/>
    <w:rsid w:val="006F27D4"/>
    <w:rsid w:val="006F2A1B"/>
    <w:rsid w:val="006F436B"/>
    <w:rsid w:val="006F5F26"/>
    <w:rsid w:val="006F670F"/>
    <w:rsid w:val="006F702F"/>
    <w:rsid w:val="006F7069"/>
    <w:rsid w:val="006F7D33"/>
    <w:rsid w:val="0070010D"/>
    <w:rsid w:val="00700234"/>
    <w:rsid w:val="0070133D"/>
    <w:rsid w:val="00701516"/>
    <w:rsid w:val="00701B64"/>
    <w:rsid w:val="00701F6C"/>
    <w:rsid w:val="00702106"/>
    <w:rsid w:val="0070227C"/>
    <w:rsid w:val="0070236E"/>
    <w:rsid w:val="007029A3"/>
    <w:rsid w:val="00702CE8"/>
    <w:rsid w:val="00702D7E"/>
    <w:rsid w:val="00702F29"/>
    <w:rsid w:val="007033D4"/>
    <w:rsid w:val="00704450"/>
    <w:rsid w:val="0070522E"/>
    <w:rsid w:val="00706048"/>
    <w:rsid w:val="0070643B"/>
    <w:rsid w:val="007064F0"/>
    <w:rsid w:val="007065AA"/>
    <w:rsid w:val="00706E4E"/>
    <w:rsid w:val="0070791C"/>
    <w:rsid w:val="00707DF2"/>
    <w:rsid w:val="00710268"/>
    <w:rsid w:val="007107C5"/>
    <w:rsid w:val="00711259"/>
    <w:rsid w:val="0071135A"/>
    <w:rsid w:val="00711554"/>
    <w:rsid w:val="00711860"/>
    <w:rsid w:val="0071206D"/>
    <w:rsid w:val="007123E8"/>
    <w:rsid w:val="007127FD"/>
    <w:rsid w:val="007128F4"/>
    <w:rsid w:val="00712A89"/>
    <w:rsid w:val="00712DAF"/>
    <w:rsid w:val="00712DDE"/>
    <w:rsid w:val="0071326A"/>
    <w:rsid w:val="0071383C"/>
    <w:rsid w:val="00713B50"/>
    <w:rsid w:val="0071400A"/>
    <w:rsid w:val="007141A7"/>
    <w:rsid w:val="007151E5"/>
    <w:rsid w:val="00715722"/>
    <w:rsid w:val="00715BAF"/>
    <w:rsid w:val="00715C09"/>
    <w:rsid w:val="00716082"/>
    <w:rsid w:val="00716345"/>
    <w:rsid w:val="00716530"/>
    <w:rsid w:val="007170A5"/>
    <w:rsid w:val="00717346"/>
    <w:rsid w:val="007173A7"/>
    <w:rsid w:val="00717772"/>
    <w:rsid w:val="00720A11"/>
    <w:rsid w:val="00721032"/>
    <w:rsid w:val="00721597"/>
    <w:rsid w:val="007215D8"/>
    <w:rsid w:val="007217D5"/>
    <w:rsid w:val="00721B55"/>
    <w:rsid w:val="0072390A"/>
    <w:rsid w:val="00723CAC"/>
    <w:rsid w:val="00724493"/>
    <w:rsid w:val="00724E2E"/>
    <w:rsid w:val="007254EE"/>
    <w:rsid w:val="00726006"/>
    <w:rsid w:val="007262FD"/>
    <w:rsid w:val="00726CE4"/>
    <w:rsid w:val="00727176"/>
    <w:rsid w:val="0072777D"/>
    <w:rsid w:val="00730EA0"/>
    <w:rsid w:val="0073127B"/>
    <w:rsid w:val="0073169C"/>
    <w:rsid w:val="00731D56"/>
    <w:rsid w:val="00731D84"/>
    <w:rsid w:val="00732B77"/>
    <w:rsid w:val="00734143"/>
    <w:rsid w:val="00734231"/>
    <w:rsid w:val="00734572"/>
    <w:rsid w:val="00734632"/>
    <w:rsid w:val="007357D5"/>
    <w:rsid w:val="00735E47"/>
    <w:rsid w:val="0073638A"/>
    <w:rsid w:val="0073658D"/>
    <w:rsid w:val="007372FD"/>
    <w:rsid w:val="00737E47"/>
    <w:rsid w:val="00740346"/>
    <w:rsid w:val="00740EAC"/>
    <w:rsid w:val="007413AB"/>
    <w:rsid w:val="007414F2"/>
    <w:rsid w:val="00741EFA"/>
    <w:rsid w:val="00742742"/>
    <w:rsid w:val="00742DF1"/>
    <w:rsid w:val="007434A4"/>
    <w:rsid w:val="0074399A"/>
    <w:rsid w:val="00743A0E"/>
    <w:rsid w:val="00744057"/>
    <w:rsid w:val="007444DC"/>
    <w:rsid w:val="00744956"/>
    <w:rsid w:val="00745A5C"/>
    <w:rsid w:val="0074605F"/>
    <w:rsid w:val="00747CAA"/>
    <w:rsid w:val="00747E94"/>
    <w:rsid w:val="00750189"/>
    <w:rsid w:val="007504ED"/>
    <w:rsid w:val="00750A23"/>
    <w:rsid w:val="007517B5"/>
    <w:rsid w:val="00751B0B"/>
    <w:rsid w:val="00751B23"/>
    <w:rsid w:val="00754353"/>
    <w:rsid w:val="00754AD3"/>
    <w:rsid w:val="00754C83"/>
    <w:rsid w:val="00754DCC"/>
    <w:rsid w:val="00755138"/>
    <w:rsid w:val="00756C3F"/>
    <w:rsid w:val="00756E33"/>
    <w:rsid w:val="007573DB"/>
    <w:rsid w:val="007576CF"/>
    <w:rsid w:val="0076055B"/>
    <w:rsid w:val="00760996"/>
    <w:rsid w:val="00761B5E"/>
    <w:rsid w:val="00761B7F"/>
    <w:rsid w:val="00761E5C"/>
    <w:rsid w:val="007621B4"/>
    <w:rsid w:val="00763ABC"/>
    <w:rsid w:val="00764424"/>
    <w:rsid w:val="007644FE"/>
    <w:rsid w:val="00764634"/>
    <w:rsid w:val="00764C61"/>
    <w:rsid w:val="00765732"/>
    <w:rsid w:val="007658B7"/>
    <w:rsid w:val="00765B4B"/>
    <w:rsid w:val="00765DF8"/>
    <w:rsid w:val="00766749"/>
    <w:rsid w:val="007671FD"/>
    <w:rsid w:val="007672F6"/>
    <w:rsid w:val="00767C1B"/>
    <w:rsid w:val="00767F98"/>
    <w:rsid w:val="00770A67"/>
    <w:rsid w:val="00770B3F"/>
    <w:rsid w:val="007714A9"/>
    <w:rsid w:val="007720F1"/>
    <w:rsid w:val="007727DB"/>
    <w:rsid w:val="0077305A"/>
    <w:rsid w:val="00773A77"/>
    <w:rsid w:val="00774B2B"/>
    <w:rsid w:val="00774B50"/>
    <w:rsid w:val="00774F88"/>
    <w:rsid w:val="00774FDB"/>
    <w:rsid w:val="0077531D"/>
    <w:rsid w:val="0077607E"/>
    <w:rsid w:val="00776FF1"/>
    <w:rsid w:val="007777CE"/>
    <w:rsid w:val="00777BA2"/>
    <w:rsid w:val="00781408"/>
    <w:rsid w:val="007820CC"/>
    <w:rsid w:val="00782152"/>
    <w:rsid w:val="007828E2"/>
    <w:rsid w:val="00783303"/>
    <w:rsid w:val="007835C7"/>
    <w:rsid w:val="007837EB"/>
    <w:rsid w:val="00784F7F"/>
    <w:rsid w:val="00784FDE"/>
    <w:rsid w:val="0078545B"/>
    <w:rsid w:val="00785B27"/>
    <w:rsid w:val="007863CE"/>
    <w:rsid w:val="0078697B"/>
    <w:rsid w:val="007869FC"/>
    <w:rsid w:val="00787401"/>
    <w:rsid w:val="0078783D"/>
    <w:rsid w:val="007878BD"/>
    <w:rsid w:val="007879A6"/>
    <w:rsid w:val="00790051"/>
    <w:rsid w:val="00790091"/>
    <w:rsid w:val="0079021D"/>
    <w:rsid w:val="00790CF3"/>
    <w:rsid w:val="00790FC1"/>
    <w:rsid w:val="0079111B"/>
    <w:rsid w:val="0079156A"/>
    <w:rsid w:val="00791C3A"/>
    <w:rsid w:val="00791C43"/>
    <w:rsid w:val="00791E53"/>
    <w:rsid w:val="007921A7"/>
    <w:rsid w:val="00792240"/>
    <w:rsid w:val="0079260D"/>
    <w:rsid w:val="00792688"/>
    <w:rsid w:val="007938CF"/>
    <w:rsid w:val="00793A49"/>
    <w:rsid w:val="00794338"/>
    <w:rsid w:val="00794358"/>
    <w:rsid w:val="00794A00"/>
    <w:rsid w:val="00794B2D"/>
    <w:rsid w:val="00794CC7"/>
    <w:rsid w:val="00795050"/>
    <w:rsid w:val="007951A2"/>
    <w:rsid w:val="00795B3B"/>
    <w:rsid w:val="00795CFE"/>
    <w:rsid w:val="00796919"/>
    <w:rsid w:val="00796F25"/>
    <w:rsid w:val="007A0B8B"/>
    <w:rsid w:val="007A0CAD"/>
    <w:rsid w:val="007A0D47"/>
    <w:rsid w:val="007A1768"/>
    <w:rsid w:val="007A189A"/>
    <w:rsid w:val="007A21E9"/>
    <w:rsid w:val="007A2E98"/>
    <w:rsid w:val="007A314F"/>
    <w:rsid w:val="007A368B"/>
    <w:rsid w:val="007A3BA3"/>
    <w:rsid w:val="007A3E0C"/>
    <w:rsid w:val="007A4007"/>
    <w:rsid w:val="007A4080"/>
    <w:rsid w:val="007A4215"/>
    <w:rsid w:val="007A45DA"/>
    <w:rsid w:val="007A4920"/>
    <w:rsid w:val="007A4C39"/>
    <w:rsid w:val="007A5474"/>
    <w:rsid w:val="007A6351"/>
    <w:rsid w:val="007A6460"/>
    <w:rsid w:val="007A6CC0"/>
    <w:rsid w:val="007A753E"/>
    <w:rsid w:val="007A7775"/>
    <w:rsid w:val="007A7FEC"/>
    <w:rsid w:val="007B0D6D"/>
    <w:rsid w:val="007B1499"/>
    <w:rsid w:val="007B14A4"/>
    <w:rsid w:val="007B1B25"/>
    <w:rsid w:val="007B1BBF"/>
    <w:rsid w:val="007B1C71"/>
    <w:rsid w:val="007B242A"/>
    <w:rsid w:val="007B2959"/>
    <w:rsid w:val="007B2960"/>
    <w:rsid w:val="007B3179"/>
    <w:rsid w:val="007B355D"/>
    <w:rsid w:val="007B39F1"/>
    <w:rsid w:val="007B3B44"/>
    <w:rsid w:val="007B3D18"/>
    <w:rsid w:val="007B42C4"/>
    <w:rsid w:val="007B48D2"/>
    <w:rsid w:val="007B49EA"/>
    <w:rsid w:val="007B5C18"/>
    <w:rsid w:val="007B5E5B"/>
    <w:rsid w:val="007B5ED2"/>
    <w:rsid w:val="007B657C"/>
    <w:rsid w:val="007B6827"/>
    <w:rsid w:val="007B6ACA"/>
    <w:rsid w:val="007B75C5"/>
    <w:rsid w:val="007B7681"/>
    <w:rsid w:val="007B76F8"/>
    <w:rsid w:val="007B7980"/>
    <w:rsid w:val="007C060F"/>
    <w:rsid w:val="007C0C14"/>
    <w:rsid w:val="007C0DEF"/>
    <w:rsid w:val="007C13B5"/>
    <w:rsid w:val="007C3083"/>
    <w:rsid w:val="007C31A6"/>
    <w:rsid w:val="007C356D"/>
    <w:rsid w:val="007C35E4"/>
    <w:rsid w:val="007C446C"/>
    <w:rsid w:val="007C4A99"/>
    <w:rsid w:val="007C51D4"/>
    <w:rsid w:val="007C58B3"/>
    <w:rsid w:val="007C5BB9"/>
    <w:rsid w:val="007C5D5A"/>
    <w:rsid w:val="007C607F"/>
    <w:rsid w:val="007C6AE3"/>
    <w:rsid w:val="007C6D7F"/>
    <w:rsid w:val="007C721D"/>
    <w:rsid w:val="007C747F"/>
    <w:rsid w:val="007C79DD"/>
    <w:rsid w:val="007C7CB1"/>
    <w:rsid w:val="007C7D88"/>
    <w:rsid w:val="007CE847"/>
    <w:rsid w:val="007D0940"/>
    <w:rsid w:val="007D0A98"/>
    <w:rsid w:val="007D0EBD"/>
    <w:rsid w:val="007D1A97"/>
    <w:rsid w:val="007D1ED7"/>
    <w:rsid w:val="007D1F01"/>
    <w:rsid w:val="007D2192"/>
    <w:rsid w:val="007D263D"/>
    <w:rsid w:val="007D2CD6"/>
    <w:rsid w:val="007D3063"/>
    <w:rsid w:val="007D38A7"/>
    <w:rsid w:val="007D39C9"/>
    <w:rsid w:val="007D3CEB"/>
    <w:rsid w:val="007D46F6"/>
    <w:rsid w:val="007D4990"/>
    <w:rsid w:val="007D58FE"/>
    <w:rsid w:val="007D7E8C"/>
    <w:rsid w:val="007E0C56"/>
    <w:rsid w:val="007E1184"/>
    <w:rsid w:val="007E1882"/>
    <w:rsid w:val="007E188D"/>
    <w:rsid w:val="007E1933"/>
    <w:rsid w:val="007E58B7"/>
    <w:rsid w:val="007E5A1A"/>
    <w:rsid w:val="007E5D71"/>
    <w:rsid w:val="007E6547"/>
    <w:rsid w:val="007E6617"/>
    <w:rsid w:val="007E664D"/>
    <w:rsid w:val="007E7683"/>
    <w:rsid w:val="007F02CB"/>
    <w:rsid w:val="007F0724"/>
    <w:rsid w:val="007F07C0"/>
    <w:rsid w:val="007F0A6B"/>
    <w:rsid w:val="007F2361"/>
    <w:rsid w:val="007F2865"/>
    <w:rsid w:val="007F2C55"/>
    <w:rsid w:val="007F326C"/>
    <w:rsid w:val="007F334E"/>
    <w:rsid w:val="007F3A3C"/>
    <w:rsid w:val="007F49FA"/>
    <w:rsid w:val="007F54C4"/>
    <w:rsid w:val="007F5901"/>
    <w:rsid w:val="007F5BCE"/>
    <w:rsid w:val="007F5ED3"/>
    <w:rsid w:val="007F605F"/>
    <w:rsid w:val="007F6740"/>
    <w:rsid w:val="007F6775"/>
    <w:rsid w:val="007F6E75"/>
    <w:rsid w:val="007F6E9A"/>
    <w:rsid w:val="007F75C2"/>
    <w:rsid w:val="007F7E61"/>
    <w:rsid w:val="00800CCD"/>
    <w:rsid w:val="008011C6"/>
    <w:rsid w:val="00801697"/>
    <w:rsid w:val="00801AC3"/>
    <w:rsid w:val="00801E1A"/>
    <w:rsid w:val="00801EB1"/>
    <w:rsid w:val="00802623"/>
    <w:rsid w:val="00802E49"/>
    <w:rsid w:val="00802E60"/>
    <w:rsid w:val="008034C8"/>
    <w:rsid w:val="0080425C"/>
    <w:rsid w:val="008044D4"/>
    <w:rsid w:val="008049E7"/>
    <w:rsid w:val="00804CEB"/>
    <w:rsid w:val="00805294"/>
    <w:rsid w:val="0080550A"/>
    <w:rsid w:val="00805516"/>
    <w:rsid w:val="00805AA1"/>
    <w:rsid w:val="00805BB5"/>
    <w:rsid w:val="00805CA3"/>
    <w:rsid w:val="00805F71"/>
    <w:rsid w:val="008061C7"/>
    <w:rsid w:val="0080628C"/>
    <w:rsid w:val="00806988"/>
    <w:rsid w:val="00807145"/>
    <w:rsid w:val="008072EB"/>
    <w:rsid w:val="0080750B"/>
    <w:rsid w:val="00810433"/>
    <w:rsid w:val="00810785"/>
    <w:rsid w:val="00810A08"/>
    <w:rsid w:val="00810AB4"/>
    <w:rsid w:val="00810ED1"/>
    <w:rsid w:val="00810F96"/>
    <w:rsid w:val="008116E6"/>
    <w:rsid w:val="0081223F"/>
    <w:rsid w:val="00812EEE"/>
    <w:rsid w:val="0081429E"/>
    <w:rsid w:val="00814615"/>
    <w:rsid w:val="00816D43"/>
    <w:rsid w:val="00816E9F"/>
    <w:rsid w:val="008171E8"/>
    <w:rsid w:val="00817B56"/>
    <w:rsid w:val="008203B3"/>
    <w:rsid w:val="008205C6"/>
    <w:rsid w:val="0082076D"/>
    <w:rsid w:val="00820C79"/>
    <w:rsid w:val="00821A88"/>
    <w:rsid w:val="00822262"/>
    <w:rsid w:val="00822288"/>
    <w:rsid w:val="008222F5"/>
    <w:rsid w:val="00822A31"/>
    <w:rsid w:val="0082322E"/>
    <w:rsid w:val="00823892"/>
    <w:rsid w:val="0082495D"/>
    <w:rsid w:val="008249BE"/>
    <w:rsid w:val="00825FD2"/>
    <w:rsid w:val="0082627D"/>
    <w:rsid w:val="00826294"/>
    <w:rsid w:val="008262D4"/>
    <w:rsid w:val="008269EB"/>
    <w:rsid w:val="00826B65"/>
    <w:rsid w:val="008272BA"/>
    <w:rsid w:val="00827B76"/>
    <w:rsid w:val="00827DD4"/>
    <w:rsid w:val="00830439"/>
    <w:rsid w:val="008309D2"/>
    <w:rsid w:val="008319BE"/>
    <w:rsid w:val="00831AC3"/>
    <w:rsid w:val="00832695"/>
    <w:rsid w:val="00832872"/>
    <w:rsid w:val="00832CD1"/>
    <w:rsid w:val="00833441"/>
    <w:rsid w:val="00833712"/>
    <w:rsid w:val="00833CE4"/>
    <w:rsid w:val="0083400B"/>
    <w:rsid w:val="00835298"/>
    <w:rsid w:val="00835C38"/>
    <w:rsid w:val="00836B09"/>
    <w:rsid w:val="00836FCE"/>
    <w:rsid w:val="0083A473"/>
    <w:rsid w:val="008408FF"/>
    <w:rsid w:val="00840C2E"/>
    <w:rsid w:val="0084112B"/>
    <w:rsid w:val="00841BAB"/>
    <w:rsid w:val="00842061"/>
    <w:rsid w:val="00842724"/>
    <w:rsid w:val="008436D9"/>
    <w:rsid w:val="008437C3"/>
    <w:rsid w:val="00843FC1"/>
    <w:rsid w:val="0084470D"/>
    <w:rsid w:val="00844730"/>
    <w:rsid w:val="00844C5F"/>
    <w:rsid w:val="00845243"/>
    <w:rsid w:val="00845CCB"/>
    <w:rsid w:val="00846171"/>
    <w:rsid w:val="008506BA"/>
    <w:rsid w:val="00851189"/>
    <w:rsid w:val="0085193A"/>
    <w:rsid w:val="00851E28"/>
    <w:rsid w:val="00851F3F"/>
    <w:rsid w:val="0085209C"/>
    <w:rsid w:val="00853475"/>
    <w:rsid w:val="0085460B"/>
    <w:rsid w:val="00854923"/>
    <w:rsid w:val="00856415"/>
    <w:rsid w:val="00856EDC"/>
    <w:rsid w:val="00856F81"/>
    <w:rsid w:val="0085727B"/>
    <w:rsid w:val="008572AB"/>
    <w:rsid w:val="008573AB"/>
    <w:rsid w:val="00857664"/>
    <w:rsid w:val="00857704"/>
    <w:rsid w:val="00857873"/>
    <w:rsid w:val="00857F60"/>
    <w:rsid w:val="00860678"/>
    <w:rsid w:val="00860733"/>
    <w:rsid w:val="00860749"/>
    <w:rsid w:val="00861671"/>
    <w:rsid w:val="008617C5"/>
    <w:rsid w:val="0086234D"/>
    <w:rsid w:val="008623B5"/>
    <w:rsid w:val="0086266C"/>
    <w:rsid w:val="008635E9"/>
    <w:rsid w:val="00863940"/>
    <w:rsid w:val="00863DB1"/>
    <w:rsid w:val="00863E34"/>
    <w:rsid w:val="00864172"/>
    <w:rsid w:val="00865D57"/>
    <w:rsid w:val="008663DF"/>
    <w:rsid w:val="00866ED5"/>
    <w:rsid w:val="00866F9E"/>
    <w:rsid w:val="00867F4B"/>
    <w:rsid w:val="0087059F"/>
    <w:rsid w:val="008706F8"/>
    <w:rsid w:val="00870ABA"/>
    <w:rsid w:val="008710E1"/>
    <w:rsid w:val="00871422"/>
    <w:rsid w:val="008716E5"/>
    <w:rsid w:val="00872031"/>
    <w:rsid w:val="0087230A"/>
    <w:rsid w:val="008732C8"/>
    <w:rsid w:val="00874B78"/>
    <w:rsid w:val="00874DE7"/>
    <w:rsid w:val="00874E69"/>
    <w:rsid w:val="008756D2"/>
    <w:rsid w:val="0087646D"/>
    <w:rsid w:val="00876564"/>
    <w:rsid w:val="00876B6D"/>
    <w:rsid w:val="00876B82"/>
    <w:rsid w:val="00877116"/>
    <w:rsid w:val="008807E7"/>
    <w:rsid w:val="008807F5"/>
    <w:rsid w:val="00880A15"/>
    <w:rsid w:val="008814F3"/>
    <w:rsid w:val="008816D9"/>
    <w:rsid w:val="00881CA9"/>
    <w:rsid w:val="0088208C"/>
    <w:rsid w:val="0088278D"/>
    <w:rsid w:val="008828D6"/>
    <w:rsid w:val="00883628"/>
    <w:rsid w:val="00883669"/>
    <w:rsid w:val="0088382C"/>
    <w:rsid w:val="008839E7"/>
    <w:rsid w:val="00884A72"/>
    <w:rsid w:val="008853CE"/>
    <w:rsid w:val="00885544"/>
    <w:rsid w:val="00885814"/>
    <w:rsid w:val="0088634E"/>
    <w:rsid w:val="00886633"/>
    <w:rsid w:val="0088695B"/>
    <w:rsid w:val="00886A76"/>
    <w:rsid w:val="00887EF3"/>
    <w:rsid w:val="00890593"/>
    <w:rsid w:val="008916A6"/>
    <w:rsid w:val="008917A5"/>
    <w:rsid w:val="00891B17"/>
    <w:rsid w:val="00892559"/>
    <w:rsid w:val="00892EC7"/>
    <w:rsid w:val="00893AB8"/>
    <w:rsid w:val="00894510"/>
    <w:rsid w:val="00894714"/>
    <w:rsid w:val="0089476E"/>
    <w:rsid w:val="0089530E"/>
    <w:rsid w:val="00896747"/>
    <w:rsid w:val="00896994"/>
    <w:rsid w:val="00897AFA"/>
    <w:rsid w:val="00897CF3"/>
    <w:rsid w:val="008A04C8"/>
    <w:rsid w:val="008A080E"/>
    <w:rsid w:val="008A08A1"/>
    <w:rsid w:val="008A1198"/>
    <w:rsid w:val="008A11B9"/>
    <w:rsid w:val="008A2190"/>
    <w:rsid w:val="008A30BF"/>
    <w:rsid w:val="008A3711"/>
    <w:rsid w:val="008A38B3"/>
    <w:rsid w:val="008A3A23"/>
    <w:rsid w:val="008A3F2C"/>
    <w:rsid w:val="008A49EF"/>
    <w:rsid w:val="008A51D5"/>
    <w:rsid w:val="008A55B0"/>
    <w:rsid w:val="008A5ACD"/>
    <w:rsid w:val="008A5B7C"/>
    <w:rsid w:val="008A61AA"/>
    <w:rsid w:val="008A6913"/>
    <w:rsid w:val="008A69AB"/>
    <w:rsid w:val="008A773D"/>
    <w:rsid w:val="008A7C7C"/>
    <w:rsid w:val="008B0119"/>
    <w:rsid w:val="008B07DC"/>
    <w:rsid w:val="008B0C73"/>
    <w:rsid w:val="008B18F6"/>
    <w:rsid w:val="008B1E68"/>
    <w:rsid w:val="008B3181"/>
    <w:rsid w:val="008B3BE1"/>
    <w:rsid w:val="008B453B"/>
    <w:rsid w:val="008B4B35"/>
    <w:rsid w:val="008B4FC0"/>
    <w:rsid w:val="008B5044"/>
    <w:rsid w:val="008B5B85"/>
    <w:rsid w:val="008B60B5"/>
    <w:rsid w:val="008B62DA"/>
    <w:rsid w:val="008B666C"/>
    <w:rsid w:val="008B6F01"/>
    <w:rsid w:val="008B70F3"/>
    <w:rsid w:val="008B71B7"/>
    <w:rsid w:val="008B71C4"/>
    <w:rsid w:val="008B732C"/>
    <w:rsid w:val="008B76DF"/>
    <w:rsid w:val="008C069D"/>
    <w:rsid w:val="008C0D65"/>
    <w:rsid w:val="008C10F4"/>
    <w:rsid w:val="008C1709"/>
    <w:rsid w:val="008C20C5"/>
    <w:rsid w:val="008C2910"/>
    <w:rsid w:val="008C2A34"/>
    <w:rsid w:val="008C33D2"/>
    <w:rsid w:val="008C383F"/>
    <w:rsid w:val="008C3A9C"/>
    <w:rsid w:val="008C3BC9"/>
    <w:rsid w:val="008C3C64"/>
    <w:rsid w:val="008C5436"/>
    <w:rsid w:val="008C57B5"/>
    <w:rsid w:val="008C5CD2"/>
    <w:rsid w:val="008C5FFF"/>
    <w:rsid w:val="008C64D1"/>
    <w:rsid w:val="008C65F7"/>
    <w:rsid w:val="008C6855"/>
    <w:rsid w:val="008C688B"/>
    <w:rsid w:val="008C7FD9"/>
    <w:rsid w:val="008D0B6F"/>
    <w:rsid w:val="008D0EB1"/>
    <w:rsid w:val="008D1129"/>
    <w:rsid w:val="008D135E"/>
    <w:rsid w:val="008D18D1"/>
    <w:rsid w:val="008D1C62"/>
    <w:rsid w:val="008D200F"/>
    <w:rsid w:val="008D21A8"/>
    <w:rsid w:val="008D236E"/>
    <w:rsid w:val="008D2D23"/>
    <w:rsid w:val="008D321D"/>
    <w:rsid w:val="008D32C7"/>
    <w:rsid w:val="008D34BE"/>
    <w:rsid w:val="008D3505"/>
    <w:rsid w:val="008D39B6"/>
    <w:rsid w:val="008D4669"/>
    <w:rsid w:val="008D486C"/>
    <w:rsid w:val="008D5CDB"/>
    <w:rsid w:val="008D6453"/>
    <w:rsid w:val="008D6ADB"/>
    <w:rsid w:val="008D6FA3"/>
    <w:rsid w:val="008D7A6E"/>
    <w:rsid w:val="008E1128"/>
    <w:rsid w:val="008E1852"/>
    <w:rsid w:val="008E18D2"/>
    <w:rsid w:val="008E2085"/>
    <w:rsid w:val="008E2A11"/>
    <w:rsid w:val="008E2FA1"/>
    <w:rsid w:val="008E30BC"/>
    <w:rsid w:val="008E3474"/>
    <w:rsid w:val="008E405F"/>
    <w:rsid w:val="008E44C1"/>
    <w:rsid w:val="008E4767"/>
    <w:rsid w:val="008E4CBE"/>
    <w:rsid w:val="008E5BE3"/>
    <w:rsid w:val="008E7049"/>
    <w:rsid w:val="008E7A8C"/>
    <w:rsid w:val="008F0125"/>
    <w:rsid w:val="008F052B"/>
    <w:rsid w:val="008F0BB4"/>
    <w:rsid w:val="008F101A"/>
    <w:rsid w:val="008F10D6"/>
    <w:rsid w:val="008F1A17"/>
    <w:rsid w:val="008F1D8C"/>
    <w:rsid w:val="008F31B8"/>
    <w:rsid w:val="008F393C"/>
    <w:rsid w:val="008F3AC5"/>
    <w:rsid w:val="008F3BE2"/>
    <w:rsid w:val="008F3C6F"/>
    <w:rsid w:val="008F403D"/>
    <w:rsid w:val="008F408C"/>
    <w:rsid w:val="008F435F"/>
    <w:rsid w:val="008F4A5E"/>
    <w:rsid w:val="008F57A8"/>
    <w:rsid w:val="008F5CD6"/>
    <w:rsid w:val="008F5FD6"/>
    <w:rsid w:val="008F6BD9"/>
    <w:rsid w:val="008F7D18"/>
    <w:rsid w:val="009013CB"/>
    <w:rsid w:val="0090203B"/>
    <w:rsid w:val="0090227C"/>
    <w:rsid w:val="009024D7"/>
    <w:rsid w:val="0090290B"/>
    <w:rsid w:val="0090298A"/>
    <w:rsid w:val="0090300E"/>
    <w:rsid w:val="0090311D"/>
    <w:rsid w:val="00903190"/>
    <w:rsid w:val="00903285"/>
    <w:rsid w:val="00903796"/>
    <w:rsid w:val="00903B4E"/>
    <w:rsid w:val="00904AD9"/>
    <w:rsid w:val="00904CDF"/>
    <w:rsid w:val="00905115"/>
    <w:rsid w:val="009053C1"/>
    <w:rsid w:val="0090568C"/>
    <w:rsid w:val="0090651B"/>
    <w:rsid w:val="009069FE"/>
    <w:rsid w:val="00906EB6"/>
    <w:rsid w:val="00906F40"/>
    <w:rsid w:val="0090731E"/>
    <w:rsid w:val="009074D6"/>
    <w:rsid w:val="009075E5"/>
    <w:rsid w:val="00907805"/>
    <w:rsid w:val="00907BD1"/>
    <w:rsid w:val="009105F4"/>
    <w:rsid w:val="00910964"/>
    <w:rsid w:val="00910A0F"/>
    <w:rsid w:val="00910A83"/>
    <w:rsid w:val="00911149"/>
    <w:rsid w:val="00911ABC"/>
    <w:rsid w:val="00911C2F"/>
    <w:rsid w:val="00911D57"/>
    <w:rsid w:val="0091206E"/>
    <w:rsid w:val="0091272F"/>
    <w:rsid w:val="00913979"/>
    <w:rsid w:val="009142E3"/>
    <w:rsid w:val="00915B1C"/>
    <w:rsid w:val="009165AD"/>
    <w:rsid w:val="009174F3"/>
    <w:rsid w:val="0091788F"/>
    <w:rsid w:val="0091797D"/>
    <w:rsid w:val="00917BC6"/>
    <w:rsid w:val="00917C30"/>
    <w:rsid w:val="00920513"/>
    <w:rsid w:val="009207B7"/>
    <w:rsid w:val="00921FC8"/>
    <w:rsid w:val="00922B23"/>
    <w:rsid w:val="00922F42"/>
    <w:rsid w:val="0092306E"/>
    <w:rsid w:val="009236C0"/>
    <w:rsid w:val="00923CBA"/>
    <w:rsid w:val="00924C83"/>
    <w:rsid w:val="00925018"/>
    <w:rsid w:val="0092506F"/>
    <w:rsid w:val="00925EB0"/>
    <w:rsid w:val="0092621C"/>
    <w:rsid w:val="00926353"/>
    <w:rsid w:val="00926703"/>
    <w:rsid w:val="00926A86"/>
    <w:rsid w:val="009275C5"/>
    <w:rsid w:val="00927691"/>
    <w:rsid w:val="00927A5F"/>
    <w:rsid w:val="00927FF2"/>
    <w:rsid w:val="00930510"/>
    <w:rsid w:val="009308FD"/>
    <w:rsid w:val="009311E8"/>
    <w:rsid w:val="00931774"/>
    <w:rsid w:val="00932D9F"/>
    <w:rsid w:val="009335CC"/>
    <w:rsid w:val="00933650"/>
    <w:rsid w:val="00933BC7"/>
    <w:rsid w:val="00934097"/>
    <w:rsid w:val="009340FE"/>
    <w:rsid w:val="0093455B"/>
    <w:rsid w:val="00934859"/>
    <w:rsid w:val="00935220"/>
    <w:rsid w:val="009352B2"/>
    <w:rsid w:val="009356F2"/>
    <w:rsid w:val="009357EE"/>
    <w:rsid w:val="00935A01"/>
    <w:rsid w:val="00935B63"/>
    <w:rsid w:val="00935FC4"/>
    <w:rsid w:val="00936E95"/>
    <w:rsid w:val="00936F14"/>
    <w:rsid w:val="0093789D"/>
    <w:rsid w:val="00940167"/>
    <w:rsid w:val="009402B2"/>
    <w:rsid w:val="0094078F"/>
    <w:rsid w:val="00940E75"/>
    <w:rsid w:val="00940F93"/>
    <w:rsid w:val="00940FA3"/>
    <w:rsid w:val="00940FF0"/>
    <w:rsid w:val="009413B4"/>
    <w:rsid w:val="00941FB0"/>
    <w:rsid w:val="009426D4"/>
    <w:rsid w:val="00942A29"/>
    <w:rsid w:val="00942DD0"/>
    <w:rsid w:val="00943A30"/>
    <w:rsid w:val="00944CC8"/>
    <w:rsid w:val="00945146"/>
    <w:rsid w:val="00945363"/>
    <w:rsid w:val="009459E6"/>
    <w:rsid w:val="00945F7E"/>
    <w:rsid w:val="00947F25"/>
    <w:rsid w:val="009500C6"/>
    <w:rsid w:val="00950159"/>
    <w:rsid w:val="00950684"/>
    <w:rsid w:val="009519AD"/>
    <w:rsid w:val="00951DD7"/>
    <w:rsid w:val="00954141"/>
    <w:rsid w:val="009548EC"/>
    <w:rsid w:val="0095490B"/>
    <w:rsid w:val="00955164"/>
    <w:rsid w:val="009556F4"/>
    <w:rsid w:val="00955D34"/>
    <w:rsid w:val="00956785"/>
    <w:rsid w:val="00956F4C"/>
    <w:rsid w:val="009572B2"/>
    <w:rsid w:val="00957353"/>
    <w:rsid w:val="009573DE"/>
    <w:rsid w:val="00960A33"/>
    <w:rsid w:val="00960E43"/>
    <w:rsid w:val="00961F52"/>
    <w:rsid w:val="00962FC1"/>
    <w:rsid w:val="009630CA"/>
    <w:rsid w:val="00963334"/>
    <w:rsid w:val="00963D0A"/>
    <w:rsid w:val="00963F95"/>
    <w:rsid w:val="00964086"/>
    <w:rsid w:val="00964A28"/>
    <w:rsid w:val="00964F23"/>
    <w:rsid w:val="009656E7"/>
    <w:rsid w:val="0096575F"/>
    <w:rsid w:val="00965D38"/>
    <w:rsid w:val="00966077"/>
    <w:rsid w:val="009660BF"/>
    <w:rsid w:val="00966B1E"/>
    <w:rsid w:val="00967CF2"/>
    <w:rsid w:val="009701EB"/>
    <w:rsid w:val="0097079B"/>
    <w:rsid w:val="0097094A"/>
    <w:rsid w:val="0097130A"/>
    <w:rsid w:val="00971914"/>
    <w:rsid w:val="00971A00"/>
    <w:rsid w:val="00971BD6"/>
    <w:rsid w:val="00971ED4"/>
    <w:rsid w:val="00972EC2"/>
    <w:rsid w:val="00973133"/>
    <w:rsid w:val="009735C5"/>
    <w:rsid w:val="0097416D"/>
    <w:rsid w:val="009742A9"/>
    <w:rsid w:val="00974363"/>
    <w:rsid w:val="00974368"/>
    <w:rsid w:val="00975E60"/>
    <w:rsid w:val="00976206"/>
    <w:rsid w:val="009771BE"/>
    <w:rsid w:val="00977972"/>
    <w:rsid w:val="00977EC9"/>
    <w:rsid w:val="009802BB"/>
    <w:rsid w:val="00980327"/>
    <w:rsid w:val="009809D5"/>
    <w:rsid w:val="00981898"/>
    <w:rsid w:val="00981FBA"/>
    <w:rsid w:val="0098232C"/>
    <w:rsid w:val="00982B5E"/>
    <w:rsid w:val="00982BCD"/>
    <w:rsid w:val="00984711"/>
    <w:rsid w:val="00984B80"/>
    <w:rsid w:val="00984ED1"/>
    <w:rsid w:val="009852C0"/>
    <w:rsid w:val="0098534E"/>
    <w:rsid w:val="00986078"/>
    <w:rsid w:val="0098650E"/>
    <w:rsid w:val="00986543"/>
    <w:rsid w:val="0098656F"/>
    <w:rsid w:val="00987B36"/>
    <w:rsid w:val="00987F64"/>
    <w:rsid w:val="009905A6"/>
    <w:rsid w:val="00990FF9"/>
    <w:rsid w:val="009918D2"/>
    <w:rsid w:val="0099190D"/>
    <w:rsid w:val="00991B0B"/>
    <w:rsid w:val="0099298D"/>
    <w:rsid w:val="00993B9D"/>
    <w:rsid w:val="00994718"/>
    <w:rsid w:val="009947BB"/>
    <w:rsid w:val="00994CDB"/>
    <w:rsid w:val="00994D3C"/>
    <w:rsid w:val="00995452"/>
    <w:rsid w:val="0099577C"/>
    <w:rsid w:val="00996225"/>
    <w:rsid w:val="00996B15"/>
    <w:rsid w:val="00996B68"/>
    <w:rsid w:val="009970E8"/>
    <w:rsid w:val="0099769F"/>
    <w:rsid w:val="00997F7E"/>
    <w:rsid w:val="00999743"/>
    <w:rsid w:val="009A006F"/>
    <w:rsid w:val="009A021C"/>
    <w:rsid w:val="009A05C4"/>
    <w:rsid w:val="009A06F0"/>
    <w:rsid w:val="009A1222"/>
    <w:rsid w:val="009A1FFC"/>
    <w:rsid w:val="009A2026"/>
    <w:rsid w:val="009A211A"/>
    <w:rsid w:val="009A250F"/>
    <w:rsid w:val="009A25CC"/>
    <w:rsid w:val="009A2AEA"/>
    <w:rsid w:val="009A2BEA"/>
    <w:rsid w:val="009A2D21"/>
    <w:rsid w:val="009A2EED"/>
    <w:rsid w:val="009A3551"/>
    <w:rsid w:val="009A38BA"/>
    <w:rsid w:val="009A3947"/>
    <w:rsid w:val="009A3AE8"/>
    <w:rsid w:val="009A3F7F"/>
    <w:rsid w:val="009A4444"/>
    <w:rsid w:val="009A466D"/>
    <w:rsid w:val="009A4C2C"/>
    <w:rsid w:val="009A52A8"/>
    <w:rsid w:val="009A5D6B"/>
    <w:rsid w:val="009A5DEC"/>
    <w:rsid w:val="009A7332"/>
    <w:rsid w:val="009A7749"/>
    <w:rsid w:val="009B0141"/>
    <w:rsid w:val="009B0ACB"/>
    <w:rsid w:val="009B172B"/>
    <w:rsid w:val="009B1EB3"/>
    <w:rsid w:val="009B24A5"/>
    <w:rsid w:val="009B2601"/>
    <w:rsid w:val="009B27C9"/>
    <w:rsid w:val="009B332F"/>
    <w:rsid w:val="009B342D"/>
    <w:rsid w:val="009B388C"/>
    <w:rsid w:val="009B49A0"/>
    <w:rsid w:val="009B4E9E"/>
    <w:rsid w:val="009B4EA5"/>
    <w:rsid w:val="009B52FA"/>
    <w:rsid w:val="009B7DF4"/>
    <w:rsid w:val="009B83EB"/>
    <w:rsid w:val="009C0BAA"/>
    <w:rsid w:val="009C10BE"/>
    <w:rsid w:val="009C1345"/>
    <w:rsid w:val="009C1690"/>
    <w:rsid w:val="009C19E1"/>
    <w:rsid w:val="009C20D5"/>
    <w:rsid w:val="009C2229"/>
    <w:rsid w:val="009C25B9"/>
    <w:rsid w:val="009C2A3B"/>
    <w:rsid w:val="009C2A69"/>
    <w:rsid w:val="009C2B3B"/>
    <w:rsid w:val="009C2D57"/>
    <w:rsid w:val="009C3714"/>
    <w:rsid w:val="009C3CBA"/>
    <w:rsid w:val="009C4090"/>
    <w:rsid w:val="009C468C"/>
    <w:rsid w:val="009C4A48"/>
    <w:rsid w:val="009C4DA9"/>
    <w:rsid w:val="009C5004"/>
    <w:rsid w:val="009C5A0E"/>
    <w:rsid w:val="009C60F8"/>
    <w:rsid w:val="009C6563"/>
    <w:rsid w:val="009C659C"/>
    <w:rsid w:val="009C6638"/>
    <w:rsid w:val="009C668F"/>
    <w:rsid w:val="009C6881"/>
    <w:rsid w:val="009C6BBC"/>
    <w:rsid w:val="009C6DB3"/>
    <w:rsid w:val="009C75D2"/>
    <w:rsid w:val="009C75DD"/>
    <w:rsid w:val="009C7759"/>
    <w:rsid w:val="009D043D"/>
    <w:rsid w:val="009D0440"/>
    <w:rsid w:val="009D07C8"/>
    <w:rsid w:val="009D08F6"/>
    <w:rsid w:val="009D0D3E"/>
    <w:rsid w:val="009D10A5"/>
    <w:rsid w:val="009D11E8"/>
    <w:rsid w:val="009D1FD3"/>
    <w:rsid w:val="009D2137"/>
    <w:rsid w:val="009D223E"/>
    <w:rsid w:val="009D2301"/>
    <w:rsid w:val="009D47C5"/>
    <w:rsid w:val="009D4BC9"/>
    <w:rsid w:val="009D4C85"/>
    <w:rsid w:val="009D5A31"/>
    <w:rsid w:val="009D5BEC"/>
    <w:rsid w:val="009D5EFB"/>
    <w:rsid w:val="009D6733"/>
    <w:rsid w:val="009D6C71"/>
    <w:rsid w:val="009D6F2E"/>
    <w:rsid w:val="009D70A9"/>
    <w:rsid w:val="009D7417"/>
    <w:rsid w:val="009D7C68"/>
    <w:rsid w:val="009E0631"/>
    <w:rsid w:val="009E123D"/>
    <w:rsid w:val="009E15F8"/>
    <w:rsid w:val="009E16D0"/>
    <w:rsid w:val="009E171F"/>
    <w:rsid w:val="009E2051"/>
    <w:rsid w:val="009E21C4"/>
    <w:rsid w:val="009E2A13"/>
    <w:rsid w:val="009E2B88"/>
    <w:rsid w:val="009E2FBB"/>
    <w:rsid w:val="009E31C0"/>
    <w:rsid w:val="009E3710"/>
    <w:rsid w:val="009E38FD"/>
    <w:rsid w:val="009E3E70"/>
    <w:rsid w:val="009E5313"/>
    <w:rsid w:val="009E6057"/>
    <w:rsid w:val="009E7732"/>
    <w:rsid w:val="009F0B51"/>
    <w:rsid w:val="009F0ECE"/>
    <w:rsid w:val="009F13D6"/>
    <w:rsid w:val="009F1653"/>
    <w:rsid w:val="009F285E"/>
    <w:rsid w:val="009F3589"/>
    <w:rsid w:val="009F37E5"/>
    <w:rsid w:val="009F392B"/>
    <w:rsid w:val="009F3F7F"/>
    <w:rsid w:val="009F4C6B"/>
    <w:rsid w:val="009F4FBB"/>
    <w:rsid w:val="009F552B"/>
    <w:rsid w:val="009F5775"/>
    <w:rsid w:val="009F5791"/>
    <w:rsid w:val="009F5857"/>
    <w:rsid w:val="009F610F"/>
    <w:rsid w:val="009F6194"/>
    <w:rsid w:val="009F61A6"/>
    <w:rsid w:val="009F6359"/>
    <w:rsid w:val="009F6E63"/>
    <w:rsid w:val="009F7800"/>
    <w:rsid w:val="009F78A8"/>
    <w:rsid w:val="00A00662"/>
    <w:rsid w:val="00A00A5A"/>
    <w:rsid w:val="00A0182C"/>
    <w:rsid w:val="00A022C7"/>
    <w:rsid w:val="00A02882"/>
    <w:rsid w:val="00A02AD6"/>
    <w:rsid w:val="00A03D0A"/>
    <w:rsid w:val="00A03E40"/>
    <w:rsid w:val="00A043D1"/>
    <w:rsid w:val="00A04A7E"/>
    <w:rsid w:val="00A052F3"/>
    <w:rsid w:val="00A05693"/>
    <w:rsid w:val="00A05B08"/>
    <w:rsid w:val="00A05D28"/>
    <w:rsid w:val="00A05DBB"/>
    <w:rsid w:val="00A060DA"/>
    <w:rsid w:val="00A0640D"/>
    <w:rsid w:val="00A06CD5"/>
    <w:rsid w:val="00A07096"/>
    <w:rsid w:val="00A070B1"/>
    <w:rsid w:val="00A07318"/>
    <w:rsid w:val="00A07412"/>
    <w:rsid w:val="00A106A1"/>
    <w:rsid w:val="00A10A65"/>
    <w:rsid w:val="00A11370"/>
    <w:rsid w:val="00A11895"/>
    <w:rsid w:val="00A118E6"/>
    <w:rsid w:val="00A11A2A"/>
    <w:rsid w:val="00A127DC"/>
    <w:rsid w:val="00A1485D"/>
    <w:rsid w:val="00A1495F"/>
    <w:rsid w:val="00A14A3A"/>
    <w:rsid w:val="00A14C82"/>
    <w:rsid w:val="00A1511E"/>
    <w:rsid w:val="00A158B5"/>
    <w:rsid w:val="00A15D78"/>
    <w:rsid w:val="00A1663A"/>
    <w:rsid w:val="00A16946"/>
    <w:rsid w:val="00A17737"/>
    <w:rsid w:val="00A203D6"/>
    <w:rsid w:val="00A20D1D"/>
    <w:rsid w:val="00A21463"/>
    <w:rsid w:val="00A22014"/>
    <w:rsid w:val="00A224CE"/>
    <w:rsid w:val="00A22522"/>
    <w:rsid w:val="00A22E6A"/>
    <w:rsid w:val="00A23E3F"/>
    <w:rsid w:val="00A2417D"/>
    <w:rsid w:val="00A242CF"/>
    <w:rsid w:val="00A24300"/>
    <w:rsid w:val="00A2479A"/>
    <w:rsid w:val="00A249B5"/>
    <w:rsid w:val="00A24AFD"/>
    <w:rsid w:val="00A24C64"/>
    <w:rsid w:val="00A24D87"/>
    <w:rsid w:val="00A24F5C"/>
    <w:rsid w:val="00A25CF4"/>
    <w:rsid w:val="00A260EF"/>
    <w:rsid w:val="00A26911"/>
    <w:rsid w:val="00A2711B"/>
    <w:rsid w:val="00A27651"/>
    <w:rsid w:val="00A27DBD"/>
    <w:rsid w:val="00A3004C"/>
    <w:rsid w:val="00A30474"/>
    <w:rsid w:val="00A30B61"/>
    <w:rsid w:val="00A31024"/>
    <w:rsid w:val="00A31CD9"/>
    <w:rsid w:val="00A32F96"/>
    <w:rsid w:val="00A347DE"/>
    <w:rsid w:val="00A355AA"/>
    <w:rsid w:val="00A361C3"/>
    <w:rsid w:val="00A36447"/>
    <w:rsid w:val="00A36727"/>
    <w:rsid w:val="00A37D3B"/>
    <w:rsid w:val="00A40218"/>
    <w:rsid w:val="00A40683"/>
    <w:rsid w:val="00A406DD"/>
    <w:rsid w:val="00A40871"/>
    <w:rsid w:val="00A412AB"/>
    <w:rsid w:val="00A418DA"/>
    <w:rsid w:val="00A4193E"/>
    <w:rsid w:val="00A41B37"/>
    <w:rsid w:val="00A42A53"/>
    <w:rsid w:val="00A4346D"/>
    <w:rsid w:val="00A43906"/>
    <w:rsid w:val="00A439C3"/>
    <w:rsid w:val="00A43F29"/>
    <w:rsid w:val="00A440E0"/>
    <w:rsid w:val="00A4414E"/>
    <w:rsid w:val="00A441B7"/>
    <w:rsid w:val="00A442EF"/>
    <w:rsid w:val="00A4479F"/>
    <w:rsid w:val="00A44C1A"/>
    <w:rsid w:val="00A45932"/>
    <w:rsid w:val="00A45E75"/>
    <w:rsid w:val="00A46F57"/>
    <w:rsid w:val="00A47C6A"/>
    <w:rsid w:val="00A506FE"/>
    <w:rsid w:val="00A50A9D"/>
    <w:rsid w:val="00A51788"/>
    <w:rsid w:val="00A5179F"/>
    <w:rsid w:val="00A51D1A"/>
    <w:rsid w:val="00A5208D"/>
    <w:rsid w:val="00A5239E"/>
    <w:rsid w:val="00A52FC2"/>
    <w:rsid w:val="00A53182"/>
    <w:rsid w:val="00A53619"/>
    <w:rsid w:val="00A53D9B"/>
    <w:rsid w:val="00A5418D"/>
    <w:rsid w:val="00A541E9"/>
    <w:rsid w:val="00A5474E"/>
    <w:rsid w:val="00A54828"/>
    <w:rsid w:val="00A5594E"/>
    <w:rsid w:val="00A55FED"/>
    <w:rsid w:val="00A56191"/>
    <w:rsid w:val="00A572E4"/>
    <w:rsid w:val="00A57B61"/>
    <w:rsid w:val="00A60BE7"/>
    <w:rsid w:val="00A62438"/>
    <w:rsid w:val="00A62A46"/>
    <w:rsid w:val="00A63223"/>
    <w:rsid w:val="00A636B5"/>
    <w:rsid w:val="00A63829"/>
    <w:rsid w:val="00A63BF7"/>
    <w:rsid w:val="00A63D26"/>
    <w:rsid w:val="00A64234"/>
    <w:rsid w:val="00A642B9"/>
    <w:rsid w:val="00A65128"/>
    <w:rsid w:val="00A6517A"/>
    <w:rsid w:val="00A651EE"/>
    <w:rsid w:val="00A65717"/>
    <w:rsid w:val="00A659F6"/>
    <w:rsid w:val="00A66161"/>
    <w:rsid w:val="00A6642D"/>
    <w:rsid w:val="00A66641"/>
    <w:rsid w:val="00A66F42"/>
    <w:rsid w:val="00A67372"/>
    <w:rsid w:val="00A70040"/>
    <w:rsid w:val="00A70226"/>
    <w:rsid w:val="00A7059B"/>
    <w:rsid w:val="00A7071C"/>
    <w:rsid w:val="00A70851"/>
    <w:rsid w:val="00A70ADF"/>
    <w:rsid w:val="00A71311"/>
    <w:rsid w:val="00A71466"/>
    <w:rsid w:val="00A71949"/>
    <w:rsid w:val="00A71B05"/>
    <w:rsid w:val="00A72419"/>
    <w:rsid w:val="00A72C95"/>
    <w:rsid w:val="00A72EC2"/>
    <w:rsid w:val="00A73538"/>
    <w:rsid w:val="00A73788"/>
    <w:rsid w:val="00A7391B"/>
    <w:rsid w:val="00A7436C"/>
    <w:rsid w:val="00A7444D"/>
    <w:rsid w:val="00A74B5E"/>
    <w:rsid w:val="00A750CB"/>
    <w:rsid w:val="00A7517A"/>
    <w:rsid w:val="00A752BF"/>
    <w:rsid w:val="00A755A9"/>
    <w:rsid w:val="00A75D40"/>
    <w:rsid w:val="00A76136"/>
    <w:rsid w:val="00A77172"/>
    <w:rsid w:val="00A77189"/>
    <w:rsid w:val="00A7753A"/>
    <w:rsid w:val="00A777C4"/>
    <w:rsid w:val="00A77C4E"/>
    <w:rsid w:val="00A80104"/>
    <w:rsid w:val="00A80685"/>
    <w:rsid w:val="00A80FA2"/>
    <w:rsid w:val="00A81725"/>
    <w:rsid w:val="00A81A81"/>
    <w:rsid w:val="00A81BED"/>
    <w:rsid w:val="00A81EC4"/>
    <w:rsid w:val="00A81EFF"/>
    <w:rsid w:val="00A824C0"/>
    <w:rsid w:val="00A824E8"/>
    <w:rsid w:val="00A825F4"/>
    <w:rsid w:val="00A8386D"/>
    <w:rsid w:val="00A84EC3"/>
    <w:rsid w:val="00A8691B"/>
    <w:rsid w:val="00A86E54"/>
    <w:rsid w:val="00A87230"/>
    <w:rsid w:val="00A8745C"/>
    <w:rsid w:val="00A878F5"/>
    <w:rsid w:val="00A87927"/>
    <w:rsid w:val="00A90027"/>
    <w:rsid w:val="00A9010F"/>
    <w:rsid w:val="00A9058B"/>
    <w:rsid w:val="00A911A6"/>
    <w:rsid w:val="00A917F5"/>
    <w:rsid w:val="00A93B05"/>
    <w:rsid w:val="00A940CC"/>
    <w:rsid w:val="00A95816"/>
    <w:rsid w:val="00A95FAB"/>
    <w:rsid w:val="00A96122"/>
    <w:rsid w:val="00A96545"/>
    <w:rsid w:val="00A967FD"/>
    <w:rsid w:val="00A96CCF"/>
    <w:rsid w:val="00A96F95"/>
    <w:rsid w:val="00A9739F"/>
    <w:rsid w:val="00A97649"/>
    <w:rsid w:val="00A97951"/>
    <w:rsid w:val="00AA0197"/>
    <w:rsid w:val="00AA06F3"/>
    <w:rsid w:val="00AA10CF"/>
    <w:rsid w:val="00AA1CB4"/>
    <w:rsid w:val="00AA2A1A"/>
    <w:rsid w:val="00AA2DE5"/>
    <w:rsid w:val="00AA57BF"/>
    <w:rsid w:val="00AA5D9C"/>
    <w:rsid w:val="00AA6981"/>
    <w:rsid w:val="00AA73F9"/>
    <w:rsid w:val="00AA743A"/>
    <w:rsid w:val="00AA79DE"/>
    <w:rsid w:val="00AA7F32"/>
    <w:rsid w:val="00AB0AC8"/>
    <w:rsid w:val="00AB0D45"/>
    <w:rsid w:val="00AB156C"/>
    <w:rsid w:val="00AB1AE1"/>
    <w:rsid w:val="00AB208D"/>
    <w:rsid w:val="00AB236A"/>
    <w:rsid w:val="00AB2FA6"/>
    <w:rsid w:val="00AB31E0"/>
    <w:rsid w:val="00AB3372"/>
    <w:rsid w:val="00AB3FF2"/>
    <w:rsid w:val="00AB4173"/>
    <w:rsid w:val="00AB4634"/>
    <w:rsid w:val="00AB4858"/>
    <w:rsid w:val="00AB4A15"/>
    <w:rsid w:val="00AB636B"/>
    <w:rsid w:val="00AB6814"/>
    <w:rsid w:val="00AB69E6"/>
    <w:rsid w:val="00AB6BD6"/>
    <w:rsid w:val="00AC0359"/>
    <w:rsid w:val="00AC04BA"/>
    <w:rsid w:val="00AC050B"/>
    <w:rsid w:val="00AC084D"/>
    <w:rsid w:val="00AC0D92"/>
    <w:rsid w:val="00AC0E39"/>
    <w:rsid w:val="00AC0F67"/>
    <w:rsid w:val="00AC0FFD"/>
    <w:rsid w:val="00AC10D3"/>
    <w:rsid w:val="00AC13D9"/>
    <w:rsid w:val="00AC14C8"/>
    <w:rsid w:val="00AC177A"/>
    <w:rsid w:val="00AC1C67"/>
    <w:rsid w:val="00AC1F3C"/>
    <w:rsid w:val="00AC29BF"/>
    <w:rsid w:val="00AC2E11"/>
    <w:rsid w:val="00AC3D82"/>
    <w:rsid w:val="00AC4323"/>
    <w:rsid w:val="00AC49A9"/>
    <w:rsid w:val="00AC4D81"/>
    <w:rsid w:val="00AC5238"/>
    <w:rsid w:val="00AC5CB8"/>
    <w:rsid w:val="00AC5EB6"/>
    <w:rsid w:val="00AC7FD3"/>
    <w:rsid w:val="00AD00AD"/>
    <w:rsid w:val="00AD0D62"/>
    <w:rsid w:val="00AD138A"/>
    <w:rsid w:val="00AD145E"/>
    <w:rsid w:val="00AD1CAD"/>
    <w:rsid w:val="00AD206D"/>
    <w:rsid w:val="00AD2337"/>
    <w:rsid w:val="00AD3082"/>
    <w:rsid w:val="00AD32B4"/>
    <w:rsid w:val="00AD39F4"/>
    <w:rsid w:val="00AD3B8D"/>
    <w:rsid w:val="00AD3F6A"/>
    <w:rsid w:val="00AD43FB"/>
    <w:rsid w:val="00AD46CE"/>
    <w:rsid w:val="00AD4AD0"/>
    <w:rsid w:val="00AD4BBE"/>
    <w:rsid w:val="00AD5436"/>
    <w:rsid w:val="00AD5619"/>
    <w:rsid w:val="00AD60CD"/>
    <w:rsid w:val="00AD60DA"/>
    <w:rsid w:val="00AD6583"/>
    <w:rsid w:val="00AD6BB2"/>
    <w:rsid w:val="00AD6C8C"/>
    <w:rsid w:val="00AD6C92"/>
    <w:rsid w:val="00AD74B4"/>
    <w:rsid w:val="00AD79FE"/>
    <w:rsid w:val="00AE05B9"/>
    <w:rsid w:val="00AE091D"/>
    <w:rsid w:val="00AE0F28"/>
    <w:rsid w:val="00AE15C4"/>
    <w:rsid w:val="00AE18E7"/>
    <w:rsid w:val="00AE1C6F"/>
    <w:rsid w:val="00AE1C90"/>
    <w:rsid w:val="00AE1F7F"/>
    <w:rsid w:val="00AE3066"/>
    <w:rsid w:val="00AE30E8"/>
    <w:rsid w:val="00AE346A"/>
    <w:rsid w:val="00AE3B60"/>
    <w:rsid w:val="00AE3DC9"/>
    <w:rsid w:val="00AE4E43"/>
    <w:rsid w:val="00AE5229"/>
    <w:rsid w:val="00AE53A1"/>
    <w:rsid w:val="00AE53EB"/>
    <w:rsid w:val="00AE55B2"/>
    <w:rsid w:val="00AE55E8"/>
    <w:rsid w:val="00AE57FA"/>
    <w:rsid w:val="00AE5E71"/>
    <w:rsid w:val="00AE6072"/>
    <w:rsid w:val="00AE6B74"/>
    <w:rsid w:val="00AE7A01"/>
    <w:rsid w:val="00AF0596"/>
    <w:rsid w:val="00AF0EF8"/>
    <w:rsid w:val="00AF1352"/>
    <w:rsid w:val="00AF2484"/>
    <w:rsid w:val="00AF2488"/>
    <w:rsid w:val="00AF2557"/>
    <w:rsid w:val="00AF3FC2"/>
    <w:rsid w:val="00AF4577"/>
    <w:rsid w:val="00AF4B4C"/>
    <w:rsid w:val="00AF4C90"/>
    <w:rsid w:val="00AF4F24"/>
    <w:rsid w:val="00AF572F"/>
    <w:rsid w:val="00AF63E7"/>
    <w:rsid w:val="00AF66D8"/>
    <w:rsid w:val="00AF6717"/>
    <w:rsid w:val="00AF6E17"/>
    <w:rsid w:val="00AF7830"/>
    <w:rsid w:val="00B00924"/>
    <w:rsid w:val="00B013D5"/>
    <w:rsid w:val="00B0165D"/>
    <w:rsid w:val="00B01786"/>
    <w:rsid w:val="00B01796"/>
    <w:rsid w:val="00B01B60"/>
    <w:rsid w:val="00B0239A"/>
    <w:rsid w:val="00B02A01"/>
    <w:rsid w:val="00B030A0"/>
    <w:rsid w:val="00B030DB"/>
    <w:rsid w:val="00B031F3"/>
    <w:rsid w:val="00B04452"/>
    <w:rsid w:val="00B04E79"/>
    <w:rsid w:val="00B052A4"/>
    <w:rsid w:val="00B05A32"/>
    <w:rsid w:val="00B06415"/>
    <w:rsid w:val="00B06A41"/>
    <w:rsid w:val="00B07E38"/>
    <w:rsid w:val="00B110A4"/>
    <w:rsid w:val="00B115D9"/>
    <w:rsid w:val="00B1176E"/>
    <w:rsid w:val="00B1252C"/>
    <w:rsid w:val="00B125DE"/>
    <w:rsid w:val="00B12909"/>
    <w:rsid w:val="00B1344F"/>
    <w:rsid w:val="00B13858"/>
    <w:rsid w:val="00B13FDD"/>
    <w:rsid w:val="00B14045"/>
    <w:rsid w:val="00B1490E"/>
    <w:rsid w:val="00B162DD"/>
    <w:rsid w:val="00B16CA7"/>
    <w:rsid w:val="00B16D1F"/>
    <w:rsid w:val="00B2015E"/>
    <w:rsid w:val="00B213FF"/>
    <w:rsid w:val="00B22EB2"/>
    <w:rsid w:val="00B23063"/>
    <w:rsid w:val="00B235E8"/>
    <w:rsid w:val="00B23929"/>
    <w:rsid w:val="00B23BBF"/>
    <w:rsid w:val="00B23D84"/>
    <w:rsid w:val="00B23E8C"/>
    <w:rsid w:val="00B2420A"/>
    <w:rsid w:val="00B260CA"/>
    <w:rsid w:val="00B26F80"/>
    <w:rsid w:val="00B27442"/>
    <w:rsid w:val="00B27698"/>
    <w:rsid w:val="00B30B69"/>
    <w:rsid w:val="00B30E03"/>
    <w:rsid w:val="00B30F5E"/>
    <w:rsid w:val="00B31035"/>
    <w:rsid w:val="00B31167"/>
    <w:rsid w:val="00B3129A"/>
    <w:rsid w:val="00B31817"/>
    <w:rsid w:val="00B31902"/>
    <w:rsid w:val="00B31C22"/>
    <w:rsid w:val="00B31D77"/>
    <w:rsid w:val="00B3268F"/>
    <w:rsid w:val="00B32766"/>
    <w:rsid w:val="00B329D8"/>
    <w:rsid w:val="00B32BB9"/>
    <w:rsid w:val="00B32F2C"/>
    <w:rsid w:val="00B33AE1"/>
    <w:rsid w:val="00B3480F"/>
    <w:rsid w:val="00B34A93"/>
    <w:rsid w:val="00B34CC9"/>
    <w:rsid w:val="00B3558C"/>
    <w:rsid w:val="00B3564E"/>
    <w:rsid w:val="00B359F0"/>
    <w:rsid w:val="00B36047"/>
    <w:rsid w:val="00B37156"/>
    <w:rsid w:val="00B37482"/>
    <w:rsid w:val="00B376F5"/>
    <w:rsid w:val="00B37A76"/>
    <w:rsid w:val="00B37C0E"/>
    <w:rsid w:val="00B37C38"/>
    <w:rsid w:val="00B41C04"/>
    <w:rsid w:val="00B41E49"/>
    <w:rsid w:val="00B4214B"/>
    <w:rsid w:val="00B421D0"/>
    <w:rsid w:val="00B4288C"/>
    <w:rsid w:val="00B42B4E"/>
    <w:rsid w:val="00B42D0E"/>
    <w:rsid w:val="00B43262"/>
    <w:rsid w:val="00B437CD"/>
    <w:rsid w:val="00B43CCE"/>
    <w:rsid w:val="00B44100"/>
    <w:rsid w:val="00B44266"/>
    <w:rsid w:val="00B44277"/>
    <w:rsid w:val="00B443C5"/>
    <w:rsid w:val="00B4452D"/>
    <w:rsid w:val="00B45056"/>
    <w:rsid w:val="00B46631"/>
    <w:rsid w:val="00B4664D"/>
    <w:rsid w:val="00B46770"/>
    <w:rsid w:val="00B46CBA"/>
    <w:rsid w:val="00B46E08"/>
    <w:rsid w:val="00B46EC1"/>
    <w:rsid w:val="00B46F94"/>
    <w:rsid w:val="00B472D2"/>
    <w:rsid w:val="00B476A3"/>
    <w:rsid w:val="00B47930"/>
    <w:rsid w:val="00B47D19"/>
    <w:rsid w:val="00B50AFF"/>
    <w:rsid w:val="00B5109E"/>
    <w:rsid w:val="00B51662"/>
    <w:rsid w:val="00B518C2"/>
    <w:rsid w:val="00B51A84"/>
    <w:rsid w:val="00B5254F"/>
    <w:rsid w:val="00B52FAD"/>
    <w:rsid w:val="00B5396E"/>
    <w:rsid w:val="00B53BC3"/>
    <w:rsid w:val="00B548E3"/>
    <w:rsid w:val="00B55681"/>
    <w:rsid w:val="00B5583F"/>
    <w:rsid w:val="00B559C2"/>
    <w:rsid w:val="00B55D4C"/>
    <w:rsid w:val="00B55EDD"/>
    <w:rsid w:val="00B56AA4"/>
    <w:rsid w:val="00B5779C"/>
    <w:rsid w:val="00B57ABD"/>
    <w:rsid w:val="00B57C3B"/>
    <w:rsid w:val="00B6003C"/>
    <w:rsid w:val="00B6089A"/>
    <w:rsid w:val="00B60D75"/>
    <w:rsid w:val="00B619CF"/>
    <w:rsid w:val="00B61E43"/>
    <w:rsid w:val="00B61F03"/>
    <w:rsid w:val="00B6210D"/>
    <w:rsid w:val="00B62325"/>
    <w:rsid w:val="00B62626"/>
    <w:rsid w:val="00B626E4"/>
    <w:rsid w:val="00B62C7A"/>
    <w:rsid w:val="00B63156"/>
    <w:rsid w:val="00B6325C"/>
    <w:rsid w:val="00B6372E"/>
    <w:rsid w:val="00B6373E"/>
    <w:rsid w:val="00B638A2"/>
    <w:rsid w:val="00B63E06"/>
    <w:rsid w:val="00B64189"/>
    <w:rsid w:val="00B64BF5"/>
    <w:rsid w:val="00B64DAB"/>
    <w:rsid w:val="00B655A6"/>
    <w:rsid w:val="00B65741"/>
    <w:rsid w:val="00B65B4A"/>
    <w:rsid w:val="00B661D3"/>
    <w:rsid w:val="00B6650C"/>
    <w:rsid w:val="00B66C82"/>
    <w:rsid w:val="00B66E59"/>
    <w:rsid w:val="00B672B9"/>
    <w:rsid w:val="00B67BAC"/>
    <w:rsid w:val="00B67D23"/>
    <w:rsid w:val="00B70028"/>
    <w:rsid w:val="00B70597"/>
    <w:rsid w:val="00B70955"/>
    <w:rsid w:val="00B70B01"/>
    <w:rsid w:val="00B70F50"/>
    <w:rsid w:val="00B7133C"/>
    <w:rsid w:val="00B719D6"/>
    <w:rsid w:val="00B71A85"/>
    <w:rsid w:val="00B71D6A"/>
    <w:rsid w:val="00B725A3"/>
    <w:rsid w:val="00B725FE"/>
    <w:rsid w:val="00B7285A"/>
    <w:rsid w:val="00B72CD0"/>
    <w:rsid w:val="00B72F4A"/>
    <w:rsid w:val="00B73A3E"/>
    <w:rsid w:val="00B748F7"/>
    <w:rsid w:val="00B74962"/>
    <w:rsid w:val="00B74FC0"/>
    <w:rsid w:val="00B75185"/>
    <w:rsid w:val="00B75AEC"/>
    <w:rsid w:val="00B75B11"/>
    <w:rsid w:val="00B764ED"/>
    <w:rsid w:val="00B7681C"/>
    <w:rsid w:val="00B76AC4"/>
    <w:rsid w:val="00B76EEB"/>
    <w:rsid w:val="00B77A1A"/>
    <w:rsid w:val="00B77B86"/>
    <w:rsid w:val="00B80120"/>
    <w:rsid w:val="00B801BB"/>
    <w:rsid w:val="00B80D48"/>
    <w:rsid w:val="00B80E08"/>
    <w:rsid w:val="00B81371"/>
    <w:rsid w:val="00B81824"/>
    <w:rsid w:val="00B81948"/>
    <w:rsid w:val="00B8198D"/>
    <w:rsid w:val="00B81C37"/>
    <w:rsid w:val="00B826E7"/>
    <w:rsid w:val="00B82920"/>
    <w:rsid w:val="00B82E0A"/>
    <w:rsid w:val="00B82ECB"/>
    <w:rsid w:val="00B83419"/>
    <w:rsid w:val="00B837F2"/>
    <w:rsid w:val="00B8385A"/>
    <w:rsid w:val="00B83C27"/>
    <w:rsid w:val="00B84101"/>
    <w:rsid w:val="00B8419E"/>
    <w:rsid w:val="00B841F7"/>
    <w:rsid w:val="00B84BC3"/>
    <w:rsid w:val="00B84BDD"/>
    <w:rsid w:val="00B86544"/>
    <w:rsid w:val="00B86824"/>
    <w:rsid w:val="00B8686D"/>
    <w:rsid w:val="00B871B1"/>
    <w:rsid w:val="00B875A1"/>
    <w:rsid w:val="00B87846"/>
    <w:rsid w:val="00B87B70"/>
    <w:rsid w:val="00B900DB"/>
    <w:rsid w:val="00B90607"/>
    <w:rsid w:val="00B90EC3"/>
    <w:rsid w:val="00B92812"/>
    <w:rsid w:val="00B92C54"/>
    <w:rsid w:val="00B92CA2"/>
    <w:rsid w:val="00B93098"/>
    <w:rsid w:val="00B9312F"/>
    <w:rsid w:val="00B935B4"/>
    <w:rsid w:val="00B93867"/>
    <w:rsid w:val="00B939FB"/>
    <w:rsid w:val="00B9402F"/>
    <w:rsid w:val="00B94169"/>
    <w:rsid w:val="00B943D4"/>
    <w:rsid w:val="00B94ABF"/>
    <w:rsid w:val="00B94CC5"/>
    <w:rsid w:val="00B97406"/>
    <w:rsid w:val="00B97FA5"/>
    <w:rsid w:val="00BA049E"/>
    <w:rsid w:val="00BA0995"/>
    <w:rsid w:val="00BA10EC"/>
    <w:rsid w:val="00BA14E6"/>
    <w:rsid w:val="00BA20A3"/>
    <w:rsid w:val="00BA2D9A"/>
    <w:rsid w:val="00BA3396"/>
    <w:rsid w:val="00BA3550"/>
    <w:rsid w:val="00BA4A1C"/>
    <w:rsid w:val="00BA4C61"/>
    <w:rsid w:val="00BA5062"/>
    <w:rsid w:val="00BA52A8"/>
    <w:rsid w:val="00BA7A13"/>
    <w:rsid w:val="00BA7E15"/>
    <w:rsid w:val="00BB0108"/>
    <w:rsid w:val="00BB017E"/>
    <w:rsid w:val="00BB0632"/>
    <w:rsid w:val="00BB0710"/>
    <w:rsid w:val="00BB0B54"/>
    <w:rsid w:val="00BB1674"/>
    <w:rsid w:val="00BB19CB"/>
    <w:rsid w:val="00BB2097"/>
    <w:rsid w:val="00BB27DF"/>
    <w:rsid w:val="00BB3212"/>
    <w:rsid w:val="00BB45A1"/>
    <w:rsid w:val="00BB4BDC"/>
    <w:rsid w:val="00BB4FE4"/>
    <w:rsid w:val="00BB543A"/>
    <w:rsid w:val="00BB6B47"/>
    <w:rsid w:val="00BB6C40"/>
    <w:rsid w:val="00BB6F5E"/>
    <w:rsid w:val="00BB7636"/>
    <w:rsid w:val="00BB7686"/>
    <w:rsid w:val="00BB7802"/>
    <w:rsid w:val="00BC04E3"/>
    <w:rsid w:val="00BC0D4A"/>
    <w:rsid w:val="00BC15F9"/>
    <w:rsid w:val="00BC23F9"/>
    <w:rsid w:val="00BC2738"/>
    <w:rsid w:val="00BC2CA4"/>
    <w:rsid w:val="00BC32A9"/>
    <w:rsid w:val="00BC3318"/>
    <w:rsid w:val="00BC3421"/>
    <w:rsid w:val="00BC3456"/>
    <w:rsid w:val="00BC34F5"/>
    <w:rsid w:val="00BC434F"/>
    <w:rsid w:val="00BC4A2F"/>
    <w:rsid w:val="00BC4D11"/>
    <w:rsid w:val="00BC5A0C"/>
    <w:rsid w:val="00BC621F"/>
    <w:rsid w:val="00BC732C"/>
    <w:rsid w:val="00BC795C"/>
    <w:rsid w:val="00BC7A25"/>
    <w:rsid w:val="00BC7D12"/>
    <w:rsid w:val="00BC7E83"/>
    <w:rsid w:val="00BD09B3"/>
    <w:rsid w:val="00BD09EA"/>
    <w:rsid w:val="00BD09F6"/>
    <w:rsid w:val="00BD1562"/>
    <w:rsid w:val="00BD1A10"/>
    <w:rsid w:val="00BD2FCF"/>
    <w:rsid w:val="00BD34E5"/>
    <w:rsid w:val="00BD3732"/>
    <w:rsid w:val="00BD3B0D"/>
    <w:rsid w:val="00BD3BC8"/>
    <w:rsid w:val="00BD4421"/>
    <w:rsid w:val="00BD46AD"/>
    <w:rsid w:val="00BD5436"/>
    <w:rsid w:val="00BD55EE"/>
    <w:rsid w:val="00BD5FE4"/>
    <w:rsid w:val="00BD66B9"/>
    <w:rsid w:val="00BD69F7"/>
    <w:rsid w:val="00BD6D4B"/>
    <w:rsid w:val="00BD7265"/>
    <w:rsid w:val="00BD760A"/>
    <w:rsid w:val="00BE0C31"/>
    <w:rsid w:val="00BE1809"/>
    <w:rsid w:val="00BE2580"/>
    <w:rsid w:val="00BE266D"/>
    <w:rsid w:val="00BE312D"/>
    <w:rsid w:val="00BE36C4"/>
    <w:rsid w:val="00BE379D"/>
    <w:rsid w:val="00BE3938"/>
    <w:rsid w:val="00BE4910"/>
    <w:rsid w:val="00BE4C11"/>
    <w:rsid w:val="00BE5177"/>
    <w:rsid w:val="00BE5921"/>
    <w:rsid w:val="00BE59CD"/>
    <w:rsid w:val="00BE71C0"/>
    <w:rsid w:val="00BE77E3"/>
    <w:rsid w:val="00BE7999"/>
    <w:rsid w:val="00BE7AB4"/>
    <w:rsid w:val="00BE7D4B"/>
    <w:rsid w:val="00BE7DDF"/>
    <w:rsid w:val="00BF16A7"/>
    <w:rsid w:val="00BF1E7A"/>
    <w:rsid w:val="00BF28C1"/>
    <w:rsid w:val="00BF2F54"/>
    <w:rsid w:val="00BF316A"/>
    <w:rsid w:val="00BF402E"/>
    <w:rsid w:val="00BF52B2"/>
    <w:rsid w:val="00BF5DC6"/>
    <w:rsid w:val="00BF610C"/>
    <w:rsid w:val="00BF6C83"/>
    <w:rsid w:val="00BF7F56"/>
    <w:rsid w:val="00C0060B"/>
    <w:rsid w:val="00C00825"/>
    <w:rsid w:val="00C00DB8"/>
    <w:rsid w:val="00C00EB1"/>
    <w:rsid w:val="00C01134"/>
    <w:rsid w:val="00C01A6C"/>
    <w:rsid w:val="00C0218A"/>
    <w:rsid w:val="00C022F2"/>
    <w:rsid w:val="00C0259D"/>
    <w:rsid w:val="00C025EE"/>
    <w:rsid w:val="00C0277D"/>
    <w:rsid w:val="00C029C9"/>
    <w:rsid w:val="00C02C3F"/>
    <w:rsid w:val="00C02F26"/>
    <w:rsid w:val="00C031AB"/>
    <w:rsid w:val="00C03856"/>
    <w:rsid w:val="00C03C6A"/>
    <w:rsid w:val="00C04156"/>
    <w:rsid w:val="00C04C8B"/>
    <w:rsid w:val="00C05346"/>
    <w:rsid w:val="00C053A1"/>
    <w:rsid w:val="00C0563B"/>
    <w:rsid w:val="00C0566F"/>
    <w:rsid w:val="00C05A57"/>
    <w:rsid w:val="00C061F8"/>
    <w:rsid w:val="00C06431"/>
    <w:rsid w:val="00C06B76"/>
    <w:rsid w:val="00C07102"/>
    <w:rsid w:val="00C078BE"/>
    <w:rsid w:val="00C07989"/>
    <w:rsid w:val="00C07DD8"/>
    <w:rsid w:val="00C108EA"/>
    <w:rsid w:val="00C10DC2"/>
    <w:rsid w:val="00C11A5C"/>
    <w:rsid w:val="00C11B1F"/>
    <w:rsid w:val="00C11C58"/>
    <w:rsid w:val="00C11CA7"/>
    <w:rsid w:val="00C11D46"/>
    <w:rsid w:val="00C131C3"/>
    <w:rsid w:val="00C13557"/>
    <w:rsid w:val="00C1390F"/>
    <w:rsid w:val="00C13A05"/>
    <w:rsid w:val="00C13CB2"/>
    <w:rsid w:val="00C14319"/>
    <w:rsid w:val="00C152F5"/>
    <w:rsid w:val="00C156D2"/>
    <w:rsid w:val="00C1596B"/>
    <w:rsid w:val="00C15F55"/>
    <w:rsid w:val="00C16035"/>
    <w:rsid w:val="00C16198"/>
    <w:rsid w:val="00C16C43"/>
    <w:rsid w:val="00C16FE8"/>
    <w:rsid w:val="00C172B5"/>
    <w:rsid w:val="00C1755B"/>
    <w:rsid w:val="00C17623"/>
    <w:rsid w:val="00C17A4A"/>
    <w:rsid w:val="00C17B0B"/>
    <w:rsid w:val="00C17CFB"/>
    <w:rsid w:val="00C20037"/>
    <w:rsid w:val="00C20834"/>
    <w:rsid w:val="00C2083D"/>
    <w:rsid w:val="00C2176E"/>
    <w:rsid w:val="00C21C2F"/>
    <w:rsid w:val="00C2255A"/>
    <w:rsid w:val="00C22AB7"/>
    <w:rsid w:val="00C22B15"/>
    <w:rsid w:val="00C22F8E"/>
    <w:rsid w:val="00C235A3"/>
    <w:rsid w:val="00C23819"/>
    <w:rsid w:val="00C23903"/>
    <w:rsid w:val="00C23E5E"/>
    <w:rsid w:val="00C24A53"/>
    <w:rsid w:val="00C25874"/>
    <w:rsid w:val="00C2619C"/>
    <w:rsid w:val="00C262AC"/>
    <w:rsid w:val="00C313DF"/>
    <w:rsid w:val="00C31BB9"/>
    <w:rsid w:val="00C321BB"/>
    <w:rsid w:val="00C323A5"/>
    <w:rsid w:val="00C3302A"/>
    <w:rsid w:val="00C330D7"/>
    <w:rsid w:val="00C338A2"/>
    <w:rsid w:val="00C33E6F"/>
    <w:rsid w:val="00C33F56"/>
    <w:rsid w:val="00C34281"/>
    <w:rsid w:val="00C342D6"/>
    <w:rsid w:val="00C34A05"/>
    <w:rsid w:val="00C35860"/>
    <w:rsid w:val="00C35B16"/>
    <w:rsid w:val="00C35CCE"/>
    <w:rsid w:val="00C36216"/>
    <w:rsid w:val="00C36BB1"/>
    <w:rsid w:val="00C37F02"/>
    <w:rsid w:val="00C401AF"/>
    <w:rsid w:val="00C4032F"/>
    <w:rsid w:val="00C404CA"/>
    <w:rsid w:val="00C40EC7"/>
    <w:rsid w:val="00C4109B"/>
    <w:rsid w:val="00C41A46"/>
    <w:rsid w:val="00C41D93"/>
    <w:rsid w:val="00C42EEE"/>
    <w:rsid w:val="00C43303"/>
    <w:rsid w:val="00C4356E"/>
    <w:rsid w:val="00C43AAB"/>
    <w:rsid w:val="00C43EF2"/>
    <w:rsid w:val="00C44047"/>
    <w:rsid w:val="00C44DE3"/>
    <w:rsid w:val="00C44E45"/>
    <w:rsid w:val="00C45155"/>
    <w:rsid w:val="00C45937"/>
    <w:rsid w:val="00C45ADC"/>
    <w:rsid w:val="00C45CCE"/>
    <w:rsid w:val="00C45E74"/>
    <w:rsid w:val="00C464BD"/>
    <w:rsid w:val="00C46894"/>
    <w:rsid w:val="00C46975"/>
    <w:rsid w:val="00C4704E"/>
    <w:rsid w:val="00C470F5"/>
    <w:rsid w:val="00C470FF"/>
    <w:rsid w:val="00C47969"/>
    <w:rsid w:val="00C47DEC"/>
    <w:rsid w:val="00C47FF2"/>
    <w:rsid w:val="00C50D1E"/>
    <w:rsid w:val="00C50E5C"/>
    <w:rsid w:val="00C51AD0"/>
    <w:rsid w:val="00C51DA0"/>
    <w:rsid w:val="00C5224E"/>
    <w:rsid w:val="00C52469"/>
    <w:rsid w:val="00C52B50"/>
    <w:rsid w:val="00C53369"/>
    <w:rsid w:val="00C53575"/>
    <w:rsid w:val="00C535DC"/>
    <w:rsid w:val="00C535F5"/>
    <w:rsid w:val="00C53844"/>
    <w:rsid w:val="00C54243"/>
    <w:rsid w:val="00C5498F"/>
    <w:rsid w:val="00C551C8"/>
    <w:rsid w:val="00C55235"/>
    <w:rsid w:val="00C55487"/>
    <w:rsid w:val="00C5692C"/>
    <w:rsid w:val="00C57068"/>
    <w:rsid w:val="00C57345"/>
    <w:rsid w:val="00C57381"/>
    <w:rsid w:val="00C57B31"/>
    <w:rsid w:val="00C57C10"/>
    <w:rsid w:val="00C60B7B"/>
    <w:rsid w:val="00C611C6"/>
    <w:rsid w:val="00C616F8"/>
    <w:rsid w:val="00C61C2A"/>
    <w:rsid w:val="00C61C2C"/>
    <w:rsid w:val="00C61E64"/>
    <w:rsid w:val="00C62D68"/>
    <w:rsid w:val="00C63DD2"/>
    <w:rsid w:val="00C648CE"/>
    <w:rsid w:val="00C64CD0"/>
    <w:rsid w:val="00C64E18"/>
    <w:rsid w:val="00C64E37"/>
    <w:rsid w:val="00C65C37"/>
    <w:rsid w:val="00C65F61"/>
    <w:rsid w:val="00C6684F"/>
    <w:rsid w:val="00C668CD"/>
    <w:rsid w:val="00C669E9"/>
    <w:rsid w:val="00C67365"/>
    <w:rsid w:val="00C701DA"/>
    <w:rsid w:val="00C70E70"/>
    <w:rsid w:val="00C728FA"/>
    <w:rsid w:val="00C72983"/>
    <w:rsid w:val="00C73A8A"/>
    <w:rsid w:val="00C73D19"/>
    <w:rsid w:val="00C745B0"/>
    <w:rsid w:val="00C74847"/>
    <w:rsid w:val="00C74F28"/>
    <w:rsid w:val="00C751FD"/>
    <w:rsid w:val="00C75369"/>
    <w:rsid w:val="00C75F8D"/>
    <w:rsid w:val="00C76820"/>
    <w:rsid w:val="00C76F0C"/>
    <w:rsid w:val="00C772D9"/>
    <w:rsid w:val="00C77380"/>
    <w:rsid w:val="00C77449"/>
    <w:rsid w:val="00C77571"/>
    <w:rsid w:val="00C776CC"/>
    <w:rsid w:val="00C7778C"/>
    <w:rsid w:val="00C8093C"/>
    <w:rsid w:val="00C811F4"/>
    <w:rsid w:val="00C820DE"/>
    <w:rsid w:val="00C8219B"/>
    <w:rsid w:val="00C83186"/>
    <w:rsid w:val="00C83273"/>
    <w:rsid w:val="00C83D30"/>
    <w:rsid w:val="00C845F6"/>
    <w:rsid w:val="00C8469A"/>
    <w:rsid w:val="00C8478B"/>
    <w:rsid w:val="00C84D94"/>
    <w:rsid w:val="00C852E9"/>
    <w:rsid w:val="00C866DB"/>
    <w:rsid w:val="00C86B8F"/>
    <w:rsid w:val="00C8771E"/>
    <w:rsid w:val="00C87E8A"/>
    <w:rsid w:val="00C907FA"/>
    <w:rsid w:val="00C9096B"/>
    <w:rsid w:val="00C90A0A"/>
    <w:rsid w:val="00C90ED2"/>
    <w:rsid w:val="00C910DB"/>
    <w:rsid w:val="00C913D6"/>
    <w:rsid w:val="00C91D9D"/>
    <w:rsid w:val="00C92B01"/>
    <w:rsid w:val="00C92C29"/>
    <w:rsid w:val="00C9395B"/>
    <w:rsid w:val="00C944BF"/>
    <w:rsid w:val="00C945F4"/>
    <w:rsid w:val="00C947A3"/>
    <w:rsid w:val="00C94FA5"/>
    <w:rsid w:val="00C952B9"/>
    <w:rsid w:val="00C95665"/>
    <w:rsid w:val="00C95CFC"/>
    <w:rsid w:val="00C962B7"/>
    <w:rsid w:val="00C96AA5"/>
    <w:rsid w:val="00C96CDB"/>
    <w:rsid w:val="00C97736"/>
    <w:rsid w:val="00CA0560"/>
    <w:rsid w:val="00CA0610"/>
    <w:rsid w:val="00CA0F7D"/>
    <w:rsid w:val="00CA1F51"/>
    <w:rsid w:val="00CA2047"/>
    <w:rsid w:val="00CA222F"/>
    <w:rsid w:val="00CA2787"/>
    <w:rsid w:val="00CA27D8"/>
    <w:rsid w:val="00CA2829"/>
    <w:rsid w:val="00CA28DB"/>
    <w:rsid w:val="00CA29DE"/>
    <w:rsid w:val="00CA3257"/>
    <w:rsid w:val="00CA345A"/>
    <w:rsid w:val="00CA3617"/>
    <w:rsid w:val="00CA40D7"/>
    <w:rsid w:val="00CA4838"/>
    <w:rsid w:val="00CA518D"/>
    <w:rsid w:val="00CA5B22"/>
    <w:rsid w:val="00CA62F3"/>
    <w:rsid w:val="00CA6560"/>
    <w:rsid w:val="00CA65AE"/>
    <w:rsid w:val="00CA6638"/>
    <w:rsid w:val="00CA66E7"/>
    <w:rsid w:val="00CA6E46"/>
    <w:rsid w:val="00CB095B"/>
    <w:rsid w:val="00CB16DC"/>
    <w:rsid w:val="00CB1770"/>
    <w:rsid w:val="00CB180E"/>
    <w:rsid w:val="00CB18FB"/>
    <w:rsid w:val="00CB1E82"/>
    <w:rsid w:val="00CB20A7"/>
    <w:rsid w:val="00CB2112"/>
    <w:rsid w:val="00CB2127"/>
    <w:rsid w:val="00CB219B"/>
    <w:rsid w:val="00CB2922"/>
    <w:rsid w:val="00CB2C35"/>
    <w:rsid w:val="00CB3222"/>
    <w:rsid w:val="00CB33EB"/>
    <w:rsid w:val="00CB3C69"/>
    <w:rsid w:val="00CB40E9"/>
    <w:rsid w:val="00CB4505"/>
    <w:rsid w:val="00CB4540"/>
    <w:rsid w:val="00CB4BA8"/>
    <w:rsid w:val="00CB52D7"/>
    <w:rsid w:val="00CB5B4D"/>
    <w:rsid w:val="00CB6B1C"/>
    <w:rsid w:val="00CB7554"/>
    <w:rsid w:val="00CC0BE9"/>
    <w:rsid w:val="00CC0C16"/>
    <w:rsid w:val="00CC0D7D"/>
    <w:rsid w:val="00CC23B5"/>
    <w:rsid w:val="00CC2808"/>
    <w:rsid w:val="00CC42BE"/>
    <w:rsid w:val="00CC4646"/>
    <w:rsid w:val="00CC48D6"/>
    <w:rsid w:val="00CC4B0F"/>
    <w:rsid w:val="00CC4D77"/>
    <w:rsid w:val="00CC4FF1"/>
    <w:rsid w:val="00CC6732"/>
    <w:rsid w:val="00CC6872"/>
    <w:rsid w:val="00CC6E26"/>
    <w:rsid w:val="00CC7A0B"/>
    <w:rsid w:val="00CC7D1D"/>
    <w:rsid w:val="00CD2207"/>
    <w:rsid w:val="00CD2215"/>
    <w:rsid w:val="00CD224B"/>
    <w:rsid w:val="00CD24A1"/>
    <w:rsid w:val="00CD253D"/>
    <w:rsid w:val="00CD306D"/>
    <w:rsid w:val="00CD3E8F"/>
    <w:rsid w:val="00CD40DF"/>
    <w:rsid w:val="00CD45CC"/>
    <w:rsid w:val="00CD5AEC"/>
    <w:rsid w:val="00CD666D"/>
    <w:rsid w:val="00CD6ACF"/>
    <w:rsid w:val="00CD6DB3"/>
    <w:rsid w:val="00CD78E1"/>
    <w:rsid w:val="00CD78E6"/>
    <w:rsid w:val="00CD7B84"/>
    <w:rsid w:val="00CE119B"/>
    <w:rsid w:val="00CE143C"/>
    <w:rsid w:val="00CE14A6"/>
    <w:rsid w:val="00CE1541"/>
    <w:rsid w:val="00CE1BE4"/>
    <w:rsid w:val="00CE1E34"/>
    <w:rsid w:val="00CE23DA"/>
    <w:rsid w:val="00CE253E"/>
    <w:rsid w:val="00CE29F9"/>
    <w:rsid w:val="00CE3708"/>
    <w:rsid w:val="00CE3820"/>
    <w:rsid w:val="00CE3942"/>
    <w:rsid w:val="00CE3C96"/>
    <w:rsid w:val="00CE4179"/>
    <w:rsid w:val="00CE4A31"/>
    <w:rsid w:val="00CE4B82"/>
    <w:rsid w:val="00CE51A8"/>
    <w:rsid w:val="00CE56F2"/>
    <w:rsid w:val="00CE5D63"/>
    <w:rsid w:val="00CE620E"/>
    <w:rsid w:val="00CE6AC3"/>
    <w:rsid w:val="00CE707C"/>
    <w:rsid w:val="00CE72BD"/>
    <w:rsid w:val="00CE7FBE"/>
    <w:rsid w:val="00CF0BDB"/>
    <w:rsid w:val="00CF0D06"/>
    <w:rsid w:val="00CF0FFC"/>
    <w:rsid w:val="00CF1DA2"/>
    <w:rsid w:val="00CF303C"/>
    <w:rsid w:val="00CF329A"/>
    <w:rsid w:val="00CF369B"/>
    <w:rsid w:val="00CF5B51"/>
    <w:rsid w:val="00CF6692"/>
    <w:rsid w:val="00CF69ED"/>
    <w:rsid w:val="00CF6BBA"/>
    <w:rsid w:val="00CF6EAB"/>
    <w:rsid w:val="00CF6FFA"/>
    <w:rsid w:val="00CF7371"/>
    <w:rsid w:val="00D00E28"/>
    <w:rsid w:val="00D015A5"/>
    <w:rsid w:val="00D018AA"/>
    <w:rsid w:val="00D0200F"/>
    <w:rsid w:val="00D0223E"/>
    <w:rsid w:val="00D0269E"/>
    <w:rsid w:val="00D02787"/>
    <w:rsid w:val="00D028CB"/>
    <w:rsid w:val="00D02CAE"/>
    <w:rsid w:val="00D030AC"/>
    <w:rsid w:val="00D031D6"/>
    <w:rsid w:val="00D035F0"/>
    <w:rsid w:val="00D049C4"/>
    <w:rsid w:val="00D054AE"/>
    <w:rsid w:val="00D05CE8"/>
    <w:rsid w:val="00D05D6C"/>
    <w:rsid w:val="00D05F1E"/>
    <w:rsid w:val="00D06F5D"/>
    <w:rsid w:val="00D0713F"/>
    <w:rsid w:val="00D0719A"/>
    <w:rsid w:val="00D07385"/>
    <w:rsid w:val="00D07832"/>
    <w:rsid w:val="00D0783E"/>
    <w:rsid w:val="00D10081"/>
    <w:rsid w:val="00D1055B"/>
    <w:rsid w:val="00D10BEC"/>
    <w:rsid w:val="00D11066"/>
    <w:rsid w:val="00D11098"/>
    <w:rsid w:val="00D11606"/>
    <w:rsid w:val="00D12904"/>
    <w:rsid w:val="00D12AFA"/>
    <w:rsid w:val="00D13971"/>
    <w:rsid w:val="00D13C3A"/>
    <w:rsid w:val="00D141A6"/>
    <w:rsid w:val="00D14353"/>
    <w:rsid w:val="00D15810"/>
    <w:rsid w:val="00D15957"/>
    <w:rsid w:val="00D15CC3"/>
    <w:rsid w:val="00D16452"/>
    <w:rsid w:val="00D167FE"/>
    <w:rsid w:val="00D16D4E"/>
    <w:rsid w:val="00D16FE3"/>
    <w:rsid w:val="00D17A57"/>
    <w:rsid w:val="00D17EF8"/>
    <w:rsid w:val="00D216DD"/>
    <w:rsid w:val="00D21CA5"/>
    <w:rsid w:val="00D2233E"/>
    <w:rsid w:val="00D23117"/>
    <w:rsid w:val="00D23880"/>
    <w:rsid w:val="00D242A9"/>
    <w:rsid w:val="00D24654"/>
    <w:rsid w:val="00D24B49"/>
    <w:rsid w:val="00D25570"/>
    <w:rsid w:val="00D25D04"/>
    <w:rsid w:val="00D26FBA"/>
    <w:rsid w:val="00D27362"/>
    <w:rsid w:val="00D2743E"/>
    <w:rsid w:val="00D27D1D"/>
    <w:rsid w:val="00D27F41"/>
    <w:rsid w:val="00D300B1"/>
    <w:rsid w:val="00D30C43"/>
    <w:rsid w:val="00D30CEA"/>
    <w:rsid w:val="00D30D76"/>
    <w:rsid w:val="00D328DC"/>
    <w:rsid w:val="00D33353"/>
    <w:rsid w:val="00D33508"/>
    <w:rsid w:val="00D3406C"/>
    <w:rsid w:val="00D34C3C"/>
    <w:rsid w:val="00D3508D"/>
    <w:rsid w:val="00D3543D"/>
    <w:rsid w:val="00D35BB5"/>
    <w:rsid w:val="00D36441"/>
    <w:rsid w:val="00D366B2"/>
    <w:rsid w:val="00D36F87"/>
    <w:rsid w:val="00D37D47"/>
    <w:rsid w:val="00D4019B"/>
    <w:rsid w:val="00D401C9"/>
    <w:rsid w:val="00D4064E"/>
    <w:rsid w:val="00D41EF3"/>
    <w:rsid w:val="00D4331C"/>
    <w:rsid w:val="00D435AE"/>
    <w:rsid w:val="00D436A2"/>
    <w:rsid w:val="00D44E9B"/>
    <w:rsid w:val="00D44F40"/>
    <w:rsid w:val="00D45876"/>
    <w:rsid w:val="00D45C99"/>
    <w:rsid w:val="00D465D9"/>
    <w:rsid w:val="00D47116"/>
    <w:rsid w:val="00D47164"/>
    <w:rsid w:val="00D4731A"/>
    <w:rsid w:val="00D47643"/>
    <w:rsid w:val="00D47AEB"/>
    <w:rsid w:val="00D502B8"/>
    <w:rsid w:val="00D5053C"/>
    <w:rsid w:val="00D50DB9"/>
    <w:rsid w:val="00D50E72"/>
    <w:rsid w:val="00D5126C"/>
    <w:rsid w:val="00D51302"/>
    <w:rsid w:val="00D525FA"/>
    <w:rsid w:val="00D52C43"/>
    <w:rsid w:val="00D5310A"/>
    <w:rsid w:val="00D53421"/>
    <w:rsid w:val="00D53C79"/>
    <w:rsid w:val="00D53D2D"/>
    <w:rsid w:val="00D545F6"/>
    <w:rsid w:val="00D54AB1"/>
    <w:rsid w:val="00D54C72"/>
    <w:rsid w:val="00D55322"/>
    <w:rsid w:val="00D5599B"/>
    <w:rsid w:val="00D5625D"/>
    <w:rsid w:val="00D5647A"/>
    <w:rsid w:val="00D56A47"/>
    <w:rsid w:val="00D56F0E"/>
    <w:rsid w:val="00D5702D"/>
    <w:rsid w:val="00D57A1E"/>
    <w:rsid w:val="00D57A2E"/>
    <w:rsid w:val="00D60143"/>
    <w:rsid w:val="00D60906"/>
    <w:rsid w:val="00D60A77"/>
    <w:rsid w:val="00D61243"/>
    <w:rsid w:val="00D6130A"/>
    <w:rsid w:val="00D61CC1"/>
    <w:rsid w:val="00D624F6"/>
    <w:rsid w:val="00D6268D"/>
    <w:rsid w:val="00D628A1"/>
    <w:rsid w:val="00D645DD"/>
    <w:rsid w:val="00D646E7"/>
    <w:rsid w:val="00D64A61"/>
    <w:rsid w:val="00D64A85"/>
    <w:rsid w:val="00D64C13"/>
    <w:rsid w:val="00D6507F"/>
    <w:rsid w:val="00D650EF"/>
    <w:rsid w:val="00D66C5A"/>
    <w:rsid w:val="00D6729A"/>
    <w:rsid w:val="00D672E2"/>
    <w:rsid w:val="00D67530"/>
    <w:rsid w:val="00D6792C"/>
    <w:rsid w:val="00D711B5"/>
    <w:rsid w:val="00D71A5C"/>
    <w:rsid w:val="00D7291C"/>
    <w:rsid w:val="00D72D78"/>
    <w:rsid w:val="00D730BC"/>
    <w:rsid w:val="00D73174"/>
    <w:rsid w:val="00D73830"/>
    <w:rsid w:val="00D73912"/>
    <w:rsid w:val="00D74720"/>
    <w:rsid w:val="00D74D7E"/>
    <w:rsid w:val="00D74DB5"/>
    <w:rsid w:val="00D74E39"/>
    <w:rsid w:val="00D75D09"/>
    <w:rsid w:val="00D76327"/>
    <w:rsid w:val="00D76B02"/>
    <w:rsid w:val="00D774F6"/>
    <w:rsid w:val="00D777C3"/>
    <w:rsid w:val="00D77B50"/>
    <w:rsid w:val="00D80898"/>
    <w:rsid w:val="00D80DB2"/>
    <w:rsid w:val="00D81168"/>
    <w:rsid w:val="00D81627"/>
    <w:rsid w:val="00D818B5"/>
    <w:rsid w:val="00D81961"/>
    <w:rsid w:val="00D82855"/>
    <w:rsid w:val="00D82C63"/>
    <w:rsid w:val="00D83C9A"/>
    <w:rsid w:val="00D84725"/>
    <w:rsid w:val="00D84884"/>
    <w:rsid w:val="00D848D0"/>
    <w:rsid w:val="00D84A94"/>
    <w:rsid w:val="00D84B2C"/>
    <w:rsid w:val="00D85226"/>
    <w:rsid w:val="00D8540E"/>
    <w:rsid w:val="00D8547D"/>
    <w:rsid w:val="00D85630"/>
    <w:rsid w:val="00D85635"/>
    <w:rsid w:val="00D85739"/>
    <w:rsid w:val="00D8597F"/>
    <w:rsid w:val="00D85A31"/>
    <w:rsid w:val="00D86C23"/>
    <w:rsid w:val="00D87325"/>
    <w:rsid w:val="00D87730"/>
    <w:rsid w:val="00D87782"/>
    <w:rsid w:val="00D87816"/>
    <w:rsid w:val="00D87B94"/>
    <w:rsid w:val="00D9007E"/>
    <w:rsid w:val="00D90AB2"/>
    <w:rsid w:val="00D90AE7"/>
    <w:rsid w:val="00D9168E"/>
    <w:rsid w:val="00D91A9D"/>
    <w:rsid w:val="00D91CF8"/>
    <w:rsid w:val="00D92373"/>
    <w:rsid w:val="00D92D49"/>
    <w:rsid w:val="00D92EC1"/>
    <w:rsid w:val="00D93024"/>
    <w:rsid w:val="00D93080"/>
    <w:rsid w:val="00D933A4"/>
    <w:rsid w:val="00D93794"/>
    <w:rsid w:val="00D9444F"/>
    <w:rsid w:val="00D967BB"/>
    <w:rsid w:val="00D96BA7"/>
    <w:rsid w:val="00D96BD6"/>
    <w:rsid w:val="00D96D67"/>
    <w:rsid w:val="00D96DEA"/>
    <w:rsid w:val="00D96E43"/>
    <w:rsid w:val="00D970A3"/>
    <w:rsid w:val="00D97B46"/>
    <w:rsid w:val="00D97BCA"/>
    <w:rsid w:val="00D97C04"/>
    <w:rsid w:val="00D97CE3"/>
    <w:rsid w:val="00DA0226"/>
    <w:rsid w:val="00DA0349"/>
    <w:rsid w:val="00DA04A3"/>
    <w:rsid w:val="00DA0AB9"/>
    <w:rsid w:val="00DA0BD2"/>
    <w:rsid w:val="00DA0FF9"/>
    <w:rsid w:val="00DA1438"/>
    <w:rsid w:val="00DA14E2"/>
    <w:rsid w:val="00DA1B74"/>
    <w:rsid w:val="00DA236D"/>
    <w:rsid w:val="00DA2994"/>
    <w:rsid w:val="00DA3132"/>
    <w:rsid w:val="00DA3510"/>
    <w:rsid w:val="00DA49A4"/>
    <w:rsid w:val="00DA4E41"/>
    <w:rsid w:val="00DA547E"/>
    <w:rsid w:val="00DA67B7"/>
    <w:rsid w:val="00DA6D3F"/>
    <w:rsid w:val="00DA6F09"/>
    <w:rsid w:val="00DA6FCD"/>
    <w:rsid w:val="00DA7975"/>
    <w:rsid w:val="00DB003A"/>
    <w:rsid w:val="00DB030B"/>
    <w:rsid w:val="00DB03EE"/>
    <w:rsid w:val="00DB0EB3"/>
    <w:rsid w:val="00DB117A"/>
    <w:rsid w:val="00DB136E"/>
    <w:rsid w:val="00DB16B4"/>
    <w:rsid w:val="00DB1988"/>
    <w:rsid w:val="00DB223F"/>
    <w:rsid w:val="00DB339B"/>
    <w:rsid w:val="00DB381C"/>
    <w:rsid w:val="00DB389A"/>
    <w:rsid w:val="00DB38CF"/>
    <w:rsid w:val="00DB3FDF"/>
    <w:rsid w:val="00DB4773"/>
    <w:rsid w:val="00DB489B"/>
    <w:rsid w:val="00DB5034"/>
    <w:rsid w:val="00DB5173"/>
    <w:rsid w:val="00DB5720"/>
    <w:rsid w:val="00DB5D95"/>
    <w:rsid w:val="00DB5DBE"/>
    <w:rsid w:val="00DB6133"/>
    <w:rsid w:val="00DB6682"/>
    <w:rsid w:val="00DB7271"/>
    <w:rsid w:val="00DB7873"/>
    <w:rsid w:val="00DB7C59"/>
    <w:rsid w:val="00DB7C63"/>
    <w:rsid w:val="00DC00FC"/>
    <w:rsid w:val="00DC187B"/>
    <w:rsid w:val="00DC1A8C"/>
    <w:rsid w:val="00DC1BD2"/>
    <w:rsid w:val="00DC20F4"/>
    <w:rsid w:val="00DC2676"/>
    <w:rsid w:val="00DC2AFB"/>
    <w:rsid w:val="00DC314B"/>
    <w:rsid w:val="00DC36EA"/>
    <w:rsid w:val="00DC383D"/>
    <w:rsid w:val="00DC415E"/>
    <w:rsid w:val="00DC45E4"/>
    <w:rsid w:val="00DC4AB0"/>
    <w:rsid w:val="00DC537F"/>
    <w:rsid w:val="00DC5861"/>
    <w:rsid w:val="00DC5A2E"/>
    <w:rsid w:val="00DC600B"/>
    <w:rsid w:val="00DC64F6"/>
    <w:rsid w:val="00DC6BA0"/>
    <w:rsid w:val="00DC7BCD"/>
    <w:rsid w:val="00DD0457"/>
    <w:rsid w:val="00DD08ED"/>
    <w:rsid w:val="00DD1346"/>
    <w:rsid w:val="00DD1375"/>
    <w:rsid w:val="00DD1A43"/>
    <w:rsid w:val="00DD1DD2"/>
    <w:rsid w:val="00DD2742"/>
    <w:rsid w:val="00DD2950"/>
    <w:rsid w:val="00DD30EB"/>
    <w:rsid w:val="00DD421E"/>
    <w:rsid w:val="00DD4A4B"/>
    <w:rsid w:val="00DD4C35"/>
    <w:rsid w:val="00DD58E1"/>
    <w:rsid w:val="00DD5C25"/>
    <w:rsid w:val="00DD73C2"/>
    <w:rsid w:val="00DD7653"/>
    <w:rsid w:val="00DD7B62"/>
    <w:rsid w:val="00DD7EAB"/>
    <w:rsid w:val="00DE0196"/>
    <w:rsid w:val="00DE03E8"/>
    <w:rsid w:val="00DE0613"/>
    <w:rsid w:val="00DE09A8"/>
    <w:rsid w:val="00DE0A32"/>
    <w:rsid w:val="00DE0AB3"/>
    <w:rsid w:val="00DE2F91"/>
    <w:rsid w:val="00DE306C"/>
    <w:rsid w:val="00DE30E3"/>
    <w:rsid w:val="00DE319B"/>
    <w:rsid w:val="00DE3EAF"/>
    <w:rsid w:val="00DE3F44"/>
    <w:rsid w:val="00DE4E2C"/>
    <w:rsid w:val="00DE5389"/>
    <w:rsid w:val="00DE5865"/>
    <w:rsid w:val="00DE682A"/>
    <w:rsid w:val="00DE7BDE"/>
    <w:rsid w:val="00DE7F11"/>
    <w:rsid w:val="00DF02FA"/>
    <w:rsid w:val="00DF04CF"/>
    <w:rsid w:val="00DF1582"/>
    <w:rsid w:val="00DF1EF7"/>
    <w:rsid w:val="00DF23EC"/>
    <w:rsid w:val="00DF2FDB"/>
    <w:rsid w:val="00DF3331"/>
    <w:rsid w:val="00DF34FE"/>
    <w:rsid w:val="00DF3931"/>
    <w:rsid w:val="00DF40F6"/>
    <w:rsid w:val="00DF4914"/>
    <w:rsid w:val="00DF5079"/>
    <w:rsid w:val="00DF552C"/>
    <w:rsid w:val="00DF56AA"/>
    <w:rsid w:val="00DF56AF"/>
    <w:rsid w:val="00DF5BEA"/>
    <w:rsid w:val="00DF5C72"/>
    <w:rsid w:val="00DF653D"/>
    <w:rsid w:val="00DF6586"/>
    <w:rsid w:val="00DF78E7"/>
    <w:rsid w:val="00DF7AB7"/>
    <w:rsid w:val="00E00D9C"/>
    <w:rsid w:val="00E01165"/>
    <w:rsid w:val="00E012A2"/>
    <w:rsid w:val="00E016F5"/>
    <w:rsid w:val="00E01AAD"/>
    <w:rsid w:val="00E02FF2"/>
    <w:rsid w:val="00E03420"/>
    <w:rsid w:val="00E03E12"/>
    <w:rsid w:val="00E0507B"/>
    <w:rsid w:val="00E056DE"/>
    <w:rsid w:val="00E05D38"/>
    <w:rsid w:val="00E05EC9"/>
    <w:rsid w:val="00E06C71"/>
    <w:rsid w:val="00E07821"/>
    <w:rsid w:val="00E07AFC"/>
    <w:rsid w:val="00E10185"/>
    <w:rsid w:val="00E10808"/>
    <w:rsid w:val="00E110E0"/>
    <w:rsid w:val="00E11A58"/>
    <w:rsid w:val="00E11AEB"/>
    <w:rsid w:val="00E12A98"/>
    <w:rsid w:val="00E12E31"/>
    <w:rsid w:val="00E12E4A"/>
    <w:rsid w:val="00E131DB"/>
    <w:rsid w:val="00E13416"/>
    <w:rsid w:val="00E13C75"/>
    <w:rsid w:val="00E14DC5"/>
    <w:rsid w:val="00E15371"/>
    <w:rsid w:val="00E15FDF"/>
    <w:rsid w:val="00E16A0E"/>
    <w:rsid w:val="00E16ABE"/>
    <w:rsid w:val="00E171FE"/>
    <w:rsid w:val="00E17BEA"/>
    <w:rsid w:val="00E2005E"/>
    <w:rsid w:val="00E20780"/>
    <w:rsid w:val="00E20D35"/>
    <w:rsid w:val="00E21267"/>
    <w:rsid w:val="00E21A90"/>
    <w:rsid w:val="00E2271F"/>
    <w:rsid w:val="00E2279E"/>
    <w:rsid w:val="00E22890"/>
    <w:rsid w:val="00E22C8D"/>
    <w:rsid w:val="00E22DFD"/>
    <w:rsid w:val="00E231AA"/>
    <w:rsid w:val="00E23ED9"/>
    <w:rsid w:val="00E24104"/>
    <w:rsid w:val="00E24DE9"/>
    <w:rsid w:val="00E25552"/>
    <w:rsid w:val="00E26DB8"/>
    <w:rsid w:val="00E27956"/>
    <w:rsid w:val="00E30054"/>
    <w:rsid w:val="00E302D0"/>
    <w:rsid w:val="00E30EBB"/>
    <w:rsid w:val="00E31245"/>
    <w:rsid w:val="00E32131"/>
    <w:rsid w:val="00E32275"/>
    <w:rsid w:val="00E331EE"/>
    <w:rsid w:val="00E33210"/>
    <w:rsid w:val="00E33480"/>
    <w:rsid w:val="00E33C6E"/>
    <w:rsid w:val="00E33CFD"/>
    <w:rsid w:val="00E341F7"/>
    <w:rsid w:val="00E3436C"/>
    <w:rsid w:val="00E347CE"/>
    <w:rsid w:val="00E34D24"/>
    <w:rsid w:val="00E34F2B"/>
    <w:rsid w:val="00E35205"/>
    <w:rsid w:val="00E35707"/>
    <w:rsid w:val="00E357C8"/>
    <w:rsid w:val="00E35CB1"/>
    <w:rsid w:val="00E35D30"/>
    <w:rsid w:val="00E36293"/>
    <w:rsid w:val="00E36637"/>
    <w:rsid w:val="00E36AA1"/>
    <w:rsid w:val="00E37130"/>
    <w:rsid w:val="00E3757B"/>
    <w:rsid w:val="00E40CE4"/>
    <w:rsid w:val="00E4191A"/>
    <w:rsid w:val="00E41ECB"/>
    <w:rsid w:val="00E42676"/>
    <w:rsid w:val="00E4292B"/>
    <w:rsid w:val="00E436F6"/>
    <w:rsid w:val="00E43709"/>
    <w:rsid w:val="00E43F29"/>
    <w:rsid w:val="00E44361"/>
    <w:rsid w:val="00E44B31"/>
    <w:rsid w:val="00E456AE"/>
    <w:rsid w:val="00E459BA"/>
    <w:rsid w:val="00E461EF"/>
    <w:rsid w:val="00E468CD"/>
    <w:rsid w:val="00E472FC"/>
    <w:rsid w:val="00E47684"/>
    <w:rsid w:val="00E47697"/>
    <w:rsid w:val="00E47D67"/>
    <w:rsid w:val="00E47F67"/>
    <w:rsid w:val="00E48D30"/>
    <w:rsid w:val="00E500AC"/>
    <w:rsid w:val="00E50533"/>
    <w:rsid w:val="00E50D69"/>
    <w:rsid w:val="00E50DA7"/>
    <w:rsid w:val="00E5109D"/>
    <w:rsid w:val="00E514C4"/>
    <w:rsid w:val="00E515F0"/>
    <w:rsid w:val="00E52453"/>
    <w:rsid w:val="00E52EEC"/>
    <w:rsid w:val="00E530F9"/>
    <w:rsid w:val="00E53174"/>
    <w:rsid w:val="00E536FD"/>
    <w:rsid w:val="00E538CE"/>
    <w:rsid w:val="00E538FB"/>
    <w:rsid w:val="00E54191"/>
    <w:rsid w:val="00E548D6"/>
    <w:rsid w:val="00E54CC7"/>
    <w:rsid w:val="00E54FDB"/>
    <w:rsid w:val="00E557CE"/>
    <w:rsid w:val="00E55A7C"/>
    <w:rsid w:val="00E5617D"/>
    <w:rsid w:val="00E56286"/>
    <w:rsid w:val="00E563D7"/>
    <w:rsid w:val="00E56968"/>
    <w:rsid w:val="00E56ED9"/>
    <w:rsid w:val="00E579F9"/>
    <w:rsid w:val="00E57B91"/>
    <w:rsid w:val="00E61116"/>
    <w:rsid w:val="00E613DD"/>
    <w:rsid w:val="00E61528"/>
    <w:rsid w:val="00E620A9"/>
    <w:rsid w:val="00E628F2"/>
    <w:rsid w:val="00E62F56"/>
    <w:rsid w:val="00E64AD4"/>
    <w:rsid w:val="00E64B72"/>
    <w:rsid w:val="00E64BC4"/>
    <w:rsid w:val="00E64EFC"/>
    <w:rsid w:val="00E64EFF"/>
    <w:rsid w:val="00E6523C"/>
    <w:rsid w:val="00E65601"/>
    <w:rsid w:val="00E65B9E"/>
    <w:rsid w:val="00E6611B"/>
    <w:rsid w:val="00E663F4"/>
    <w:rsid w:val="00E665A8"/>
    <w:rsid w:val="00E666F2"/>
    <w:rsid w:val="00E668DE"/>
    <w:rsid w:val="00E66903"/>
    <w:rsid w:val="00E66DD4"/>
    <w:rsid w:val="00E70063"/>
    <w:rsid w:val="00E706D7"/>
    <w:rsid w:val="00E70C26"/>
    <w:rsid w:val="00E71322"/>
    <w:rsid w:val="00E713DF"/>
    <w:rsid w:val="00E71489"/>
    <w:rsid w:val="00E71872"/>
    <w:rsid w:val="00E71C93"/>
    <w:rsid w:val="00E71D87"/>
    <w:rsid w:val="00E72B47"/>
    <w:rsid w:val="00E72C2C"/>
    <w:rsid w:val="00E73409"/>
    <w:rsid w:val="00E73632"/>
    <w:rsid w:val="00E73C6E"/>
    <w:rsid w:val="00E748CC"/>
    <w:rsid w:val="00E75415"/>
    <w:rsid w:val="00E75AFF"/>
    <w:rsid w:val="00E76B26"/>
    <w:rsid w:val="00E76EC3"/>
    <w:rsid w:val="00E770BE"/>
    <w:rsid w:val="00E77175"/>
    <w:rsid w:val="00E775B1"/>
    <w:rsid w:val="00E7760E"/>
    <w:rsid w:val="00E77ED1"/>
    <w:rsid w:val="00E80E04"/>
    <w:rsid w:val="00E810A7"/>
    <w:rsid w:val="00E8152A"/>
    <w:rsid w:val="00E81B45"/>
    <w:rsid w:val="00E8200F"/>
    <w:rsid w:val="00E82738"/>
    <w:rsid w:val="00E82784"/>
    <w:rsid w:val="00E837BA"/>
    <w:rsid w:val="00E83DA5"/>
    <w:rsid w:val="00E83E5E"/>
    <w:rsid w:val="00E84B25"/>
    <w:rsid w:val="00E84D77"/>
    <w:rsid w:val="00E84EAA"/>
    <w:rsid w:val="00E85210"/>
    <w:rsid w:val="00E866D7"/>
    <w:rsid w:val="00E8702E"/>
    <w:rsid w:val="00E8718E"/>
    <w:rsid w:val="00E87E78"/>
    <w:rsid w:val="00E87EB6"/>
    <w:rsid w:val="00E87F0D"/>
    <w:rsid w:val="00E9001A"/>
    <w:rsid w:val="00E90C7D"/>
    <w:rsid w:val="00E91941"/>
    <w:rsid w:val="00E926F6"/>
    <w:rsid w:val="00E9273C"/>
    <w:rsid w:val="00E92755"/>
    <w:rsid w:val="00E92B56"/>
    <w:rsid w:val="00E93297"/>
    <w:rsid w:val="00E935FE"/>
    <w:rsid w:val="00E93629"/>
    <w:rsid w:val="00E93790"/>
    <w:rsid w:val="00E93B5C"/>
    <w:rsid w:val="00E9430F"/>
    <w:rsid w:val="00E94CEC"/>
    <w:rsid w:val="00E94EA9"/>
    <w:rsid w:val="00E952F9"/>
    <w:rsid w:val="00E96D4E"/>
    <w:rsid w:val="00E96F1E"/>
    <w:rsid w:val="00E9772B"/>
    <w:rsid w:val="00E97A32"/>
    <w:rsid w:val="00EA042F"/>
    <w:rsid w:val="00EA04DE"/>
    <w:rsid w:val="00EA04EF"/>
    <w:rsid w:val="00EA1466"/>
    <w:rsid w:val="00EA293D"/>
    <w:rsid w:val="00EA4A9A"/>
    <w:rsid w:val="00EA55E3"/>
    <w:rsid w:val="00EA5B90"/>
    <w:rsid w:val="00EA621C"/>
    <w:rsid w:val="00EA63FE"/>
    <w:rsid w:val="00EA6770"/>
    <w:rsid w:val="00EA6C79"/>
    <w:rsid w:val="00EA6F19"/>
    <w:rsid w:val="00EA7AE1"/>
    <w:rsid w:val="00EB01EE"/>
    <w:rsid w:val="00EB03E3"/>
    <w:rsid w:val="00EB0444"/>
    <w:rsid w:val="00EB04C9"/>
    <w:rsid w:val="00EB1734"/>
    <w:rsid w:val="00EB1C72"/>
    <w:rsid w:val="00EB2298"/>
    <w:rsid w:val="00EB22F3"/>
    <w:rsid w:val="00EB3186"/>
    <w:rsid w:val="00EB420B"/>
    <w:rsid w:val="00EB485A"/>
    <w:rsid w:val="00EB4EFF"/>
    <w:rsid w:val="00EB6677"/>
    <w:rsid w:val="00EB6C4C"/>
    <w:rsid w:val="00EB7090"/>
    <w:rsid w:val="00EB78C5"/>
    <w:rsid w:val="00EB7C96"/>
    <w:rsid w:val="00EC00BD"/>
    <w:rsid w:val="00EC0299"/>
    <w:rsid w:val="00EC0FD1"/>
    <w:rsid w:val="00EC1067"/>
    <w:rsid w:val="00EC106B"/>
    <w:rsid w:val="00EC156D"/>
    <w:rsid w:val="00EC1BBE"/>
    <w:rsid w:val="00EC1CD0"/>
    <w:rsid w:val="00EC248C"/>
    <w:rsid w:val="00EC2B68"/>
    <w:rsid w:val="00EC34BA"/>
    <w:rsid w:val="00EC3A4D"/>
    <w:rsid w:val="00EC3AA5"/>
    <w:rsid w:val="00EC3AEF"/>
    <w:rsid w:val="00EC3E73"/>
    <w:rsid w:val="00EC3E8D"/>
    <w:rsid w:val="00EC414D"/>
    <w:rsid w:val="00EC460B"/>
    <w:rsid w:val="00EC50DC"/>
    <w:rsid w:val="00EC5CD7"/>
    <w:rsid w:val="00EC7CED"/>
    <w:rsid w:val="00EC7D8D"/>
    <w:rsid w:val="00ED04D3"/>
    <w:rsid w:val="00ED0B46"/>
    <w:rsid w:val="00ED1309"/>
    <w:rsid w:val="00ED1550"/>
    <w:rsid w:val="00ED1792"/>
    <w:rsid w:val="00ED22B2"/>
    <w:rsid w:val="00ED23AF"/>
    <w:rsid w:val="00ED23D4"/>
    <w:rsid w:val="00ED461B"/>
    <w:rsid w:val="00ED4AF5"/>
    <w:rsid w:val="00ED55F4"/>
    <w:rsid w:val="00ED7EA9"/>
    <w:rsid w:val="00EE06CD"/>
    <w:rsid w:val="00EE0937"/>
    <w:rsid w:val="00EE09F6"/>
    <w:rsid w:val="00EE137B"/>
    <w:rsid w:val="00EE1AA6"/>
    <w:rsid w:val="00EE279B"/>
    <w:rsid w:val="00EE35EB"/>
    <w:rsid w:val="00EE3ED8"/>
    <w:rsid w:val="00EE3FDD"/>
    <w:rsid w:val="00EE435E"/>
    <w:rsid w:val="00EE4A13"/>
    <w:rsid w:val="00EE4E8E"/>
    <w:rsid w:val="00EE52D3"/>
    <w:rsid w:val="00EE5976"/>
    <w:rsid w:val="00EE5A0B"/>
    <w:rsid w:val="00EE5FB3"/>
    <w:rsid w:val="00EE62C0"/>
    <w:rsid w:val="00EE6684"/>
    <w:rsid w:val="00EE7154"/>
    <w:rsid w:val="00EE7864"/>
    <w:rsid w:val="00EE7B1D"/>
    <w:rsid w:val="00EE7F79"/>
    <w:rsid w:val="00EF050C"/>
    <w:rsid w:val="00EF066E"/>
    <w:rsid w:val="00EF0708"/>
    <w:rsid w:val="00EF08C7"/>
    <w:rsid w:val="00EF0AA6"/>
    <w:rsid w:val="00EF0CC6"/>
    <w:rsid w:val="00EF12CD"/>
    <w:rsid w:val="00EF13BE"/>
    <w:rsid w:val="00EF1B4B"/>
    <w:rsid w:val="00EF23B6"/>
    <w:rsid w:val="00EF2602"/>
    <w:rsid w:val="00EF27BE"/>
    <w:rsid w:val="00EF3628"/>
    <w:rsid w:val="00EF399A"/>
    <w:rsid w:val="00EF3AC5"/>
    <w:rsid w:val="00EF413C"/>
    <w:rsid w:val="00EF4359"/>
    <w:rsid w:val="00EF4622"/>
    <w:rsid w:val="00EF50F2"/>
    <w:rsid w:val="00EF54E3"/>
    <w:rsid w:val="00EF55FC"/>
    <w:rsid w:val="00EF5609"/>
    <w:rsid w:val="00EF5EE7"/>
    <w:rsid w:val="00EF69D8"/>
    <w:rsid w:val="00EF6D94"/>
    <w:rsid w:val="00EF6E3A"/>
    <w:rsid w:val="00EF6ED8"/>
    <w:rsid w:val="00EF715A"/>
    <w:rsid w:val="00EF737C"/>
    <w:rsid w:val="00EF750E"/>
    <w:rsid w:val="00EF7A5B"/>
    <w:rsid w:val="00EF7DBF"/>
    <w:rsid w:val="00F00D48"/>
    <w:rsid w:val="00F00DEB"/>
    <w:rsid w:val="00F01A01"/>
    <w:rsid w:val="00F01B65"/>
    <w:rsid w:val="00F01CDE"/>
    <w:rsid w:val="00F03A4B"/>
    <w:rsid w:val="00F047ED"/>
    <w:rsid w:val="00F047F4"/>
    <w:rsid w:val="00F04E7D"/>
    <w:rsid w:val="00F05336"/>
    <w:rsid w:val="00F0560A"/>
    <w:rsid w:val="00F0565B"/>
    <w:rsid w:val="00F05B33"/>
    <w:rsid w:val="00F05E71"/>
    <w:rsid w:val="00F062F3"/>
    <w:rsid w:val="00F06E14"/>
    <w:rsid w:val="00F078D2"/>
    <w:rsid w:val="00F07FDF"/>
    <w:rsid w:val="00F10AFF"/>
    <w:rsid w:val="00F10BFC"/>
    <w:rsid w:val="00F10FD4"/>
    <w:rsid w:val="00F119F8"/>
    <w:rsid w:val="00F11AA4"/>
    <w:rsid w:val="00F1237B"/>
    <w:rsid w:val="00F12673"/>
    <w:rsid w:val="00F12BEF"/>
    <w:rsid w:val="00F1339E"/>
    <w:rsid w:val="00F13425"/>
    <w:rsid w:val="00F136BD"/>
    <w:rsid w:val="00F13720"/>
    <w:rsid w:val="00F13D57"/>
    <w:rsid w:val="00F1428E"/>
    <w:rsid w:val="00F14F39"/>
    <w:rsid w:val="00F14F80"/>
    <w:rsid w:val="00F157DC"/>
    <w:rsid w:val="00F1643B"/>
    <w:rsid w:val="00F16AB6"/>
    <w:rsid w:val="00F17529"/>
    <w:rsid w:val="00F1756D"/>
    <w:rsid w:val="00F1758E"/>
    <w:rsid w:val="00F179D4"/>
    <w:rsid w:val="00F17D4A"/>
    <w:rsid w:val="00F20572"/>
    <w:rsid w:val="00F20691"/>
    <w:rsid w:val="00F21121"/>
    <w:rsid w:val="00F21155"/>
    <w:rsid w:val="00F222A4"/>
    <w:rsid w:val="00F22A23"/>
    <w:rsid w:val="00F22A52"/>
    <w:rsid w:val="00F22BD5"/>
    <w:rsid w:val="00F2387A"/>
    <w:rsid w:val="00F238B7"/>
    <w:rsid w:val="00F23966"/>
    <w:rsid w:val="00F23BD3"/>
    <w:rsid w:val="00F24085"/>
    <w:rsid w:val="00F2467A"/>
    <w:rsid w:val="00F24E55"/>
    <w:rsid w:val="00F25A77"/>
    <w:rsid w:val="00F26414"/>
    <w:rsid w:val="00F26671"/>
    <w:rsid w:val="00F26A30"/>
    <w:rsid w:val="00F27B1D"/>
    <w:rsid w:val="00F306B0"/>
    <w:rsid w:val="00F30BD7"/>
    <w:rsid w:val="00F3108C"/>
    <w:rsid w:val="00F32ECF"/>
    <w:rsid w:val="00F32F16"/>
    <w:rsid w:val="00F336EC"/>
    <w:rsid w:val="00F33C56"/>
    <w:rsid w:val="00F34212"/>
    <w:rsid w:val="00F347C7"/>
    <w:rsid w:val="00F34848"/>
    <w:rsid w:val="00F35596"/>
    <w:rsid w:val="00F3570D"/>
    <w:rsid w:val="00F3622A"/>
    <w:rsid w:val="00F36669"/>
    <w:rsid w:val="00F36C24"/>
    <w:rsid w:val="00F37452"/>
    <w:rsid w:val="00F3782E"/>
    <w:rsid w:val="00F37F8D"/>
    <w:rsid w:val="00F41221"/>
    <w:rsid w:val="00F41534"/>
    <w:rsid w:val="00F424D9"/>
    <w:rsid w:val="00F424E1"/>
    <w:rsid w:val="00F42605"/>
    <w:rsid w:val="00F42730"/>
    <w:rsid w:val="00F42B10"/>
    <w:rsid w:val="00F42D46"/>
    <w:rsid w:val="00F42EA9"/>
    <w:rsid w:val="00F43482"/>
    <w:rsid w:val="00F4496C"/>
    <w:rsid w:val="00F44CC5"/>
    <w:rsid w:val="00F44F3A"/>
    <w:rsid w:val="00F45342"/>
    <w:rsid w:val="00F45D94"/>
    <w:rsid w:val="00F45F74"/>
    <w:rsid w:val="00F466B5"/>
    <w:rsid w:val="00F4683F"/>
    <w:rsid w:val="00F502E7"/>
    <w:rsid w:val="00F5045C"/>
    <w:rsid w:val="00F50FB9"/>
    <w:rsid w:val="00F513C1"/>
    <w:rsid w:val="00F51F10"/>
    <w:rsid w:val="00F52389"/>
    <w:rsid w:val="00F5292A"/>
    <w:rsid w:val="00F529A5"/>
    <w:rsid w:val="00F5310D"/>
    <w:rsid w:val="00F5329A"/>
    <w:rsid w:val="00F543FE"/>
    <w:rsid w:val="00F54ABE"/>
    <w:rsid w:val="00F54FA3"/>
    <w:rsid w:val="00F5534A"/>
    <w:rsid w:val="00F562F7"/>
    <w:rsid w:val="00F569CE"/>
    <w:rsid w:val="00F57118"/>
    <w:rsid w:val="00F57BD3"/>
    <w:rsid w:val="00F60950"/>
    <w:rsid w:val="00F60B6F"/>
    <w:rsid w:val="00F60E3C"/>
    <w:rsid w:val="00F60F00"/>
    <w:rsid w:val="00F60FFB"/>
    <w:rsid w:val="00F61106"/>
    <w:rsid w:val="00F614C0"/>
    <w:rsid w:val="00F626C3"/>
    <w:rsid w:val="00F6393A"/>
    <w:rsid w:val="00F63B08"/>
    <w:rsid w:val="00F63B12"/>
    <w:rsid w:val="00F63C38"/>
    <w:rsid w:val="00F64FE3"/>
    <w:rsid w:val="00F6550E"/>
    <w:rsid w:val="00F65767"/>
    <w:rsid w:val="00F65AA6"/>
    <w:rsid w:val="00F65BEA"/>
    <w:rsid w:val="00F65E3B"/>
    <w:rsid w:val="00F66490"/>
    <w:rsid w:val="00F664BA"/>
    <w:rsid w:val="00F67CC6"/>
    <w:rsid w:val="00F67D5B"/>
    <w:rsid w:val="00F706FB"/>
    <w:rsid w:val="00F7154A"/>
    <w:rsid w:val="00F7165C"/>
    <w:rsid w:val="00F71C03"/>
    <w:rsid w:val="00F7230C"/>
    <w:rsid w:val="00F72DD9"/>
    <w:rsid w:val="00F73B48"/>
    <w:rsid w:val="00F7434A"/>
    <w:rsid w:val="00F74E6F"/>
    <w:rsid w:val="00F74FF1"/>
    <w:rsid w:val="00F75B3D"/>
    <w:rsid w:val="00F75DE0"/>
    <w:rsid w:val="00F76B70"/>
    <w:rsid w:val="00F76F45"/>
    <w:rsid w:val="00F774B6"/>
    <w:rsid w:val="00F7778E"/>
    <w:rsid w:val="00F80111"/>
    <w:rsid w:val="00F802B5"/>
    <w:rsid w:val="00F80D6C"/>
    <w:rsid w:val="00F812C1"/>
    <w:rsid w:val="00F81AD1"/>
    <w:rsid w:val="00F81F28"/>
    <w:rsid w:val="00F83848"/>
    <w:rsid w:val="00F83FE5"/>
    <w:rsid w:val="00F84279"/>
    <w:rsid w:val="00F848A3"/>
    <w:rsid w:val="00F85DCF"/>
    <w:rsid w:val="00F85F85"/>
    <w:rsid w:val="00F86BDA"/>
    <w:rsid w:val="00F87214"/>
    <w:rsid w:val="00F878FC"/>
    <w:rsid w:val="00F87980"/>
    <w:rsid w:val="00F87B21"/>
    <w:rsid w:val="00F90F4A"/>
    <w:rsid w:val="00F919A8"/>
    <w:rsid w:val="00F91D64"/>
    <w:rsid w:val="00F91F32"/>
    <w:rsid w:val="00F923AC"/>
    <w:rsid w:val="00F92403"/>
    <w:rsid w:val="00F925E9"/>
    <w:rsid w:val="00F933CB"/>
    <w:rsid w:val="00F93ACA"/>
    <w:rsid w:val="00F94334"/>
    <w:rsid w:val="00F95E3F"/>
    <w:rsid w:val="00F95E63"/>
    <w:rsid w:val="00F96495"/>
    <w:rsid w:val="00F965CB"/>
    <w:rsid w:val="00F966A5"/>
    <w:rsid w:val="00F96A88"/>
    <w:rsid w:val="00F96D62"/>
    <w:rsid w:val="00F97246"/>
    <w:rsid w:val="00F975E9"/>
    <w:rsid w:val="00F97831"/>
    <w:rsid w:val="00FA017C"/>
    <w:rsid w:val="00FA06A0"/>
    <w:rsid w:val="00FA0D01"/>
    <w:rsid w:val="00FA1166"/>
    <w:rsid w:val="00FA1A3A"/>
    <w:rsid w:val="00FA1B7D"/>
    <w:rsid w:val="00FA201F"/>
    <w:rsid w:val="00FA23B9"/>
    <w:rsid w:val="00FA3818"/>
    <w:rsid w:val="00FA3E7E"/>
    <w:rsid w:val="00FA55C9"/>
    <w:rsid w:val="00FA5B70"/>
    <w:rsid w:val="00FA6195"/>
    <w:rsid w:val="00FA72AB"/>
    <w:rsid w:val="00FA7449"/>
    <w:rsid w:val="00FA7760"/>
    <w:rsid w:val="00FB0940"/>
    <w:rsid w:val="00FB0F63"/>
    <w:rsid w:val="00FB253D"/>
    <w:rsid w:val="00FB2660"/>
    <w:rsid w:val="00FB26C8"/>
    <w:rsid w:val="00FB2958"/>
    <w:rsid w:val="00FB3745"/>
    <w:rsid w:val="00FB3E74"/>
    <w:rsid w:val="00FB49DF"/>
    <w:rsid w:val="00FB59F3"/>
    <w:rsid w:val="00FB5FE8"/>
    <w:rsid w:val="00FB70D8"/>
    <w:rsid w:val="00FC07B9"/>
    <w:rsid w:val="00FC192A"/>
    <w:rsid w:val="00FC23B6"/>
    <w:rsid w:val="00FC2620"/>
    <w:rsid w:val="00FC2E41"/>
    <w:rsid w:val="00FC2FB9"/>
    <w:rsid w:val="00FC3BCF"/>
    <w:rsid w:val="00FC483F"/>
    <w:rsid w:val="00FC490E"/>
    <w:rsid w:val="00FC4A54"/>
    <w:rsid w:val="00FC4B7F"/>
    <w:rsid w:val="00FC4BEA"/>
    <w:rsid w:val="00FC4E21"/>
    <w:rsid w:val="00FC4FA9"/>
    <w:rsid w:val="00FC54ED"/>
    <w:rsid w:val="00FC56BE"/>
    <w:rsid w:val="00FC574C"/>
    <w:rsid w:val="00FC5F6D"/>
    <w:rsid w:val="00FC6990"/>
    <w:rsid w:val="00FC6F50"/>
    <w:rsid w:val="00FC71FE"/>
    <w:rsid w:val="00FC781A"/>
    <w:rsid w:val="00FC7AA2"/>
    <w:rsid w:val="00FC7F24"/>
    <w:rsid w:val="00FD0051"/>
    <w:rsid w:val="00FD0107"/>
    <w:rsid w:val="00FD0397"/>
    <w:rsid w:val="00FD07BC"/>
    <w:rsid w:val="00FD1040"/>
    <w:rsid w:val="00FD277A"/>
    <w:rsid w:val="00FD2C2F"/>
    <w:rsid w:val="00FD3B31"/>
    <w:rsid w:val="00FD4F9C"/>
    <w:rsid w:val="00FD5FA2"/>
    <w:rsid w:val="00FD5FCD"/>
    <w:rsid w:val="00FD60BA"/>
    <w:rsid w:val="00FD6A20"/>
    <w:rsid w:val="00FD7002"/>
    <w:rsid w:val="00FE03C3"/>
    <w:rsid w:val="00FE07C9"/>
    <w:rsid w:val="00FE09DD"/>
    <w:rsid w:val="00FE0B26"/>
    <w:rsid w:val="00FE0E23"/>
    <w:rsid w:val="00FE0E74"/>
    <w:rsid w:val="00FE11B4"/>
    <w:rsid w:val="00FE1823"/>
    <w:rsid w:val="00FE4046"/>
    <w:rsid w:val="00FE431E"/>
    <w:rsid w:val="00FE45AB"/>
    <w:rsid w:val="00FE487A"/>
    <w:rsid w:val="00FE5CF6"/>
    <w:rsid w:val="00FE60A9"/>
    <w:rsid w:val="00FE6DC5"/>
    <w:rsid w:val="00FE720E"/>
    <w:rsid w:val="00FE7225"/>
    <w:rsid w:val="00FE7CF0"/>
    <w:rsid w:val="00FE7F1C"/>
    <w:rsid w:val="00FF0569"/>
    <w:rsid w:val="00FF0843"/>
    <w:rsid w:val="00FF0A0F"/>
    <w:rsid w:val="00FF1322"/>
    <w:rsid w:val="00FF1A0F"/>
    <w:rsid w:val="00FF206E"/>
    <w:rsid w:val="00FF2C81"/>
    <w:rsid w:val="00FF37B7"/>
    <w:rsid w:val="00FF3A29"/>
    <w:rsid w:val="00FF3B89"/>
    <w:rsid w:val="00FF3C69"/>
    <w:rsid w:val="00FF40DF"/>
    <w:rsid w:val="00FF4469"/>
    <w:rsid w:val="00FF48EF"/>
    <w:rsid w:val="00FF578D"/>
    <w:rsid w:val="00FF6261"/>
    <w:rsid w:val="00FF6E0A"/>
    <w:rsid w:val="00FF713A"/>
    <w:rsid w:val="012336D1"/>
    <w:rsid w:val="018A8B8A"/>
    <w:rsid w:val="01AEBF51"/>
    <w:rsid w:val="01C3DBE8"/>
    <w:rsid w:val="01CC35C6"/>
    <w:rsid w:val="020A05DD"/>
    <w:rsid w:val="022F2750"/>
    <w:rsid w:val="02519DD1"/>
    <w:rsid w:val="0275A904"/>
    <w:rsid w:val="027F0871"/>
    <w:rsid w:val="0297988D"/>
    <w:rsid w:val="02BFBE37"/>
    <w:rsid w:val="0302CF31"/>
    <w:rsid w:val="03622446"/>
    <w:rsid w:val="036EE7A3"/>
    <w:rsid w:val="0382EC40"/>
    <w:rsid w:val="038F195A"/>
    <w:rsid w:val="03FEFF17"/>
    <w:rsid w:val="040793A1"/>
    <w:rsid w:val="041FBFDF"/>
    <w:rsid w:val="043955E1"/>
    <w:rsid w:val="045B00F5"/>
    <w:rsid w:val="04613A37"/>
    <w:rsid w:val="04906DE8"/>
    <w:rsid w:val="049D0163"/>
    <w:rsid w:val="049E9F92"/>
    <w:rsid w:val="04D5B9F1"/>
    <w:rsid w:val="065038FB"/>
    <w:rsid w:val="06CB50D5"/>
    <w:rsid w:val="06EA22E6"/>
    <w:rsid w:val="06FFC153"/>
    <w:rsid w:val="0709F809"/>
    <w:rsid w:val="07591B6E"/>
    <w:rsid w:val="076CAEA6"/>
    <w:rsid w:val="07BE2172"/>
    <w:rsid w:val="07D9345A"/>
    <w:rsid w:val="07FD867B"/>
    <w:rsid w:val="08022C87"/>
    <w:rsid w:val="0809DDC4"/>
    <w:rsid w:val="082FEEDB"/>
    <w:rsid w:val="0834B7EC"/>
    <w:rsid w:val="083B16B2"/>
    <w:rsid w:val="08622462"/>
    <w:rsid w:val="089989B4"/>
    <w:rsid w:val="090C7CDE"/>
    <w:rsid w:val="09211751"/>
    <w:rsid w:val="093129FE"/>
    <w:rsid w:val="09410C8C"/>
    <w:rsid w:val="095767B5"/>
    <w:rsid w:val="0961E729"/>
    <w:rsid w:val="0965A0CF"/>
    <w:rsid w:val="096D0477"/>
    <w:rsid w:val="099222F5"/>
    <w:rsid w:val="09C07A9D"/>
    <w:rsid w:val="09E16359"/>
    <w:rsid w:val="0A01C6DB"/>
    <w:rsid w:val="0A5938CD"/>
    <w:rsid w:val="0A65D3A8"/>
    <w:rsid w:val="0A70A9F8"/>
    <w:rsid w:val="0ACBCC3B"/>
    <w:rsid w:val="0ACDE255"/>
    <w:rsid w:val="0AF3C62B"/>
    <w:rsid w:val="0AFA0BF1"/>
    <w:rsid w:val="0B08D05D"/>
    <w:rsid w:val="0B417E86"/>
    <w:rsid w:val="0B541173"/>
    <w:rsid w:val="0B577709"/>
    <w:rsid w:val="0BC5C20C"/>
    <w:rsid w:val="0BC88493"/>
    <w:rsid w:val="0C146BEE"/>
    <w:rsid w:val="0C282E9C"/>
    <w:rsid w:val="0C484D50"/>
    <w:rsid w:val="0C8F968C"/>
    <w:rsid w:val="0C9436BF"/>
    <w:rsid w:val="0CB7AFF0"/>
    <w:rsid w:val="0D3A7956"/>
    <w:rsid w:val="0D4098E9"/>
    <w:rsid w:val="0D4C2806"/>
    <w:rsid w:val="0D5D4938"/>
    <w:rsid w:val="0D6DC520"/>
    <w:rsid w:val="0D9AF8AE"/>
    <w:rsid w:val="0DE01F52"/>
    <w:rsid w:val="0DE0923D"/>
    <w:rsid w:val="0DEB1AA9"/>
    <w:rsid w:val="0DF7B29E"/>
    <w:rsid w:val="0E5FF6EB"/>
    <w:rsid w:val="0E801876"/>
    <w:rsid w:val="0EE8AB38"/>
    <w:rsid w:val="0F29D742"/>
    <w:rsid w:val="0F37A69C"/>
    <w:rsid w:val="0F3ACDCA"/>
    <w:rsid w:val="0F666DF1"/>
    <w:rsid w:val="0FA06B82"/>
    <w:rsid w:val="0FCF4CC5"/>
    <w:rsid w:val="0FE46018"/>
    <w:rsid w:val="1020B356"/>
    <w:rsid w:val="105DD348"/>
    <w:rsid w:val="10AC430B"/>
    <w:rsid w:val="112E5793"/>
    <w:rsid w:val="12125D99"/>
    <w:rsid w:val="12925D98"/>
    <w:rsid w:val="12A9CBA9"/>
    <w:rsid w:val="136CA1BE"/>
    <w:rsid w:val="13742862"/>
    <w:rsid w:val="1375A9FD"/>
    <w:rsid w:val="1380A3BB"/>
    <w:rsid w:val="13BE1F3E"/>
    <w:rsid w:val="13BFAAE6"/>
    <w:rsid w:val="13C069E4"/>
    <w:rsid w:val="13C5ADA3"/>
    <w:rsid w:val="14175E77"/>
    <w:rsid w:val="1482E0C9"/>
    <w:rsid w:val="14B94C87"/>
    <w:rsid w:val="14D296EA"/>
    <w:rsid w:val="14E28123"/>
    <w:rsid w:val="15069FFF"/>
    <w:rsid w:val="150ED0F9"/>
    <w:rsid w:val="1513A3E0"/>
    <w:rsid w:val="1530787F"/>
    <w:rsid w:val="153199B1"/>
    <w:rsid w:val="15BA13AF"/>
    <w:rsid w:val="15E8F3AA"/>
    <w:rsid w:val="1615182E"/>
    <w:rsid w:val="16393AA9"/>
    <w:rsid w:val="163E039D"/>
    <w:rsid w:val="164465F0"/>
    <w:rsid w:val="167B4A6F"/>
    <w:rsid w:val="1696C751"/>
    <w:rsid w:val="1696F920"/>
    <w:rsid w:val="16F942E7"/>
    <w:rsid w:val="17005557"/>
    <w:rsid w:val="17562276"/>
    <w:rsid w:val="175D45B3"/>
    <w:rsid w:val="17792AC8"/>
    <w:rsid w:val="17A42963"/>
    <w:rsid w:val="17D0D1DD"/>
    <w:rsid w:val="17D93109"/>
    <w:rsid w:val="17E40B68"/>
    <w:rsid w:val="17F8CF00"/>
    <w:rsid w:val="183A1E94"/>
    <w:rsid w:val="183CDF48"/>
    <w:rsid w:val="18819886"/>
    <w:rsid w:val="1897312D"/>
    <w:rsid w:val="18AAB3F4"/>
    <w:rsid w:val="18E6160D"/>
    <w:rsid w:val="1940CE6D"/>
    <w:rsid w:val="194C00E2"/>
    <w:rsid w:val="194C5A06"/>
    <w:rsid w:val="1954A0A0"/>
    <w:rsid w:val="19560145"/>
    <w:rsid w:val="19653B53"/>
    <w:rsid w:val="19C23605"/>
    <w:rsid w:val="19D76362"/>
    <w:rsid w:val="19DCCC25"/>
    <w:rsid w:val="19EFC6C6"/>
    <w:rsid w:val="19F3FE56"/>
    <w:rsid w:val="19FC99B2"/>
    <w:rsid w:val="1A0DA4EB"/>
    <w:rsid w:val="1A87077A"/>
    <w:rsid w:val="1A97134B"/>
    <w:rsid w:val="1AD9FEF7"/>
    <w:rsid w:val="1B1BAC2A"/>
    <w:rsid w:val="1B3F286F"/>
    <w:rsid w:val="1B400870"/>
    <w:rsid w:val="1B46F573"/>
    <w:rsid w:val="1BB31AEA"/>
    <w:rsid w:val="1BB7CCEF"/>
    <w:rsid w:val="1BC5DD29"/>
    <w:rsid w:val="1BCA5740"/>
    <w:rsid w:val="1BCBA71E"/>
    <w:rsid w:val="1C14BD4B"/>
    <w:rsid w:val="1C488063"/>
    <w:rsid w:val="1C5666EE"/>
    <w:rsid w:val="1C5B77F0"/>
    <w:rsid w:val="1C7AC21E"/>
    <w:rsid w:val="1CA61878"/>
    <w:rsid w:val="1CA98E2C"/>
    <w:rsid w:val="1CB3CB7C"/>
    <w:rsid w:val="1CD15D7A"/>
    <w:rsid w:val="1CD1BAAD"/>
    <w:rsid w:val="1D0DB5D5"/>
    <w:rsid w:val="1D414B33"/>
    <w:rsid w:val="1D46D758"/>
    <w:rsid w:val="1D4DD047"/>
    <w:rsid w:val="1D6D5180"/>
    <w:rsid w:val="1D6FDCE8"/>
    <w:rsid w:val="1D739973"/>
    <w:rsid w:val="1DAC61B3"/>
    <w:rsid w:val="1DCC6F33"/>
    <w:rsid w:val="1DF74CEF"/>
    <w:rsid w:val="1DFC7507"/>
    <w:rsid w:val="1E10754C"/>
    <w:rsid w:val="1E1509E6"/>
    <w:rsid w:val="1E1A7B07"/>
    <w:rsid w:val="1E5DD483"/>
    <w:rsid w:val="1EB898BB"/>
    <w:rsid w:val="1EBD0562"/>
    <w:rsid w:val="1EE2A7B9"/>
    <w:rsid w:val="1EF50166"/>
    <w:rsid w:val="1F0D2DA4"/>
    <w:rsid w:val="1F480BFE"/>
    <w:rsid w:val="1F5914FF"/>
    <w:rsid w:val="1F9E2AA7"/>
    <w:rsid w:val="1FF39A00"/>
    <w:rsid w:val="1FFA380A"/>
    <w:rsid w:val="200003EC"/>
    <w:rsid w:val="203880FD"/>
    <w:rsid w:val="2043DF12"/>
    <w:rsid w:val="2048F59B"/>
    <w:rsid w:val="207C09D3"/>
    <w:rsid w:val="207C422C"/>
    <w:rsid w:val="20891E96"/>
    <w:rsid w:val="20DB871E"/>
    <w:rsid w:val="20F4E560"/>
    <w:rsid w:val="2128A0C4"/>
    <w:rsid w:val="2133A079"/>
    <w:rsid w:val="2138F36C"/>
    <w:rsid w:val="21646679"/>
    <w:rsid w:val="218AE1EE"/>
    <w:rsid w:val="21B5A8FD"/>
    <w:rsid w:val="21F830F9"/>
    <w:rsid w:val="224A6D2B"/>
    <w:rsid w:val="224F9AC5"/>
    <w:rsid w:val="226FFD41"/>
    <w:rsid w:val="2297D8FE"/>
    <w:rsid w:val="22C86616"/>
    <w:rsid w:val="22FF2B38"/>
    <w:rsid w:val="2328951C"/>
    <w:rsid w:val="234332E4"/>
    <w:rsid w:val="23FB9E3C"/>
    <w:rsid w:val="240A632D"/>
    <w:rsid w:val="2449253E"/>
    <w:rsid w:val="2488952D"/>
    <w:rsid w:val="2494EAC8"/>
    <w:rsid w:val="24B13540"/>
    <w:rsid w:val="24B4A011"/>
    <w:rsid w:val="24C7FB5F"/>
    <w:rsid w:val="24D24809"/>
    <w:rsid w:val="24D2E15F"/>
    <w:rsid w:val="24EE45DE"/>
    <w:rsid w:val="2505273D"/>
    <w:rsid w:val="25228586"/>
    <w:rsid w:val="257399BA"/>
    <w:rsid w:val="25A81F20"/>
    <w:rsid w:val="25E926CF"/>
    <w:rsid w:val="26040886"/>
    <w:rsid w:val="260AB8B2"/>
    <w:rsid w:val="26264354"/>
    <w:rsid w:val="26563F75"/>
    <w:rsid w:val="2663CBC0"/>
    <w:rsid w:val="267562CB"/>
    <w:rsid w:val="2682C1A1"/>
    <w:rsid w:val="2682FD9A"/>
    <w:rsid w:val="26AA3A6C"/>
    <w:rsid w:val="26AAC3FF"/>
    <w:rsid w:val="26AAC605"/>
    <w:rsid w:val="26CA8FAC"/>
    <w:rsid w:val="26CBAA70"/>
    <w:rsid w:val="26D430D6"/>
    <w:rsid w:val="26ED6276"/>
    <w:rsid w:val="2743EF81"/>
    <w:rsid w:val="276EEAE5"/>
    <w:rsid w:val="27879168"/>
    <w:rsid w:val="27C0137F"/>
    <w:rsid w:val="27C2C64C"/>
    <w:rsid w:val="27CA2D4A"/>
    <w:rsid w:val="2816A407"/>
    <w:rsid w:val="2886C1C1"/>
    <w:rsid w:val="2893C450"/>
    <w:rsid w:val="28E9CF2C"/>
    <w:rsid w:val="29284A3B"/>
    <w:rsid w:val="29459354"/>
    <w:rsid w:val="294E3BA4"/>
    <w:rsid w:val="29568C8A"/>
    <w:rsid w:val="297AEB11"/>
    <w:rsid w:val="2984B615"/>
    <w:rsid w:val="29A6A12F"/>
    <w:rsid w:val="29D20C02"/>
    <w:rsid w:val="29EA0F22"/>
    <w:rsid w:val="2A039993"/>
    <w:rsid w:val="2A3DDB2B"/>
    <w:rsid w:val="2A62DFAA"/>
    <w:rsid w:val="2A9ACB87"/>
    <w:rsid w:val="2AB31F2A"/>
    <w:rsid w:val="2B04E9C8"/>
    <w:rsid w:val="2B124EA3"/>
    <w:rsid w:val="2B1D5F2D"/>
    <w:rsid w:val="2B920CC8"/>
    <w:rsid w:val="2BA50A9D"/>
    <w:rsid w:val="2BA9085D"/>
    <w:rsid w:val="2BB5A8D0"/>
    <w:rsid w:val="2BFA46DA"/>
    <w:rsid w:val="2C7382DE"/>
    <w:rsid w:val="2C76BC3D"/>
    <w:rsid w:val="2CCE6A9E"/>
    <w:rsid w:val="2CF23F1E"/>
    <w:rsid w:val="2D0E70C4"/>
    <w:rsid w:val="2D16D9BA"/>
    <w:rsid w:val="2D1EA408"/>
    <w:rsid w:val="2D5D19CA"/>
    <w:rsid w:val="2D6A6B0C"/>
    <w:rsid w:val="2D74B928"/>
    <w:rsid w:val="2D8D5F74"/>
    <w:rsid w:val="2D8F5705"/>
    <w:rsid w:val="2DEE2650"/>
    <w:rsid w:val="2E165A5E"/>
    <w:rsid w:val="2E299E74"/>
    <w:rsid w:val="2E446DAF"/>
    <w:rsid w:val="2E917AF0"/>
    <w:rsid w:val="2E9C23F4"/>
    <w:rsid w:val="2EABFD39"/>
    <w:rsid w:val="2EB341FC"/>
    <w:rsid w:val="2EF2110A"/>
    <w:rsid w:val="2F0B4B46"/>
    <w:rsid w:val="2F0B7D4B"/>
    <w:rsid w:val="2F2B3359"/>
    <w:rsid w:val="2F9B9FE0"/>
    <w:rsid w:val="2F9C19F8"/>
    <w:rsid w:val="2FE2440B"/>
    <w:rsid w:val="2FF734F2"/>
    <w:rsid w:val="304A196C"/>
    <w:rsid w:val="309A07CA"/>
    <w:rsid w:val="30B385BD"/>
    <w:rsid w:val="30B996E2"/>
    <w:rsid w:val="30E8644A"/>
    <w:rsid w:val="310213C5"/>
    <w:rsid w:val="31110887"/>
    <w:rsid w:val="3117A87B"/>
    <w:rsid w:val="31316E2C"/>
    <w:rsid w:val="3188D97A"/>
    <w:rsid w:val="318D0573"/>
    <w:rsid w:val="31C1AF9C"/>
    <w:rsid w:val="31C9990C"/>
    <w:rsid w:val="31DE94BA"/>
    <w:rsid w:val="31FF122A"/>
    <w:rsid w:val="3239AA77"/>
    <w:rsid w:val="323CB26F"/>
    <w:rsid w:val="32407B51"/>
    <w:rsid w:val="3259209A"/>
    <w:rsid w:val="326D0D6A"/>
    <w:rsid w:val="329ED3E6"/>
    <w:rsid w:val="32D8C61A"/>
    <w:rsid w:val="331C605A"/>
    <w:rsid w:val="3320CCA3"/>
    <w:rsid w:val="3332AA61"/>
    <w:rsid w:val="336951F9"/>
    <w:rsid w:val="3374BD2F"/>
    <w:rsid w:val="33778E5D"/>
    <w:rsid w:val="3388BD74"/>
    <w:rsid w:val="339784DD"/>
    <w:rsid w:val="3397D9F7"/>
    <w:rsid w:val="33ADF3C9"/>
    <w:rsid w:val="33B13F24"/>
    <w:rsid w:val="33B30F46"/>
    <w:rsid w:val="33DC9E15"/>
    <w:rsid w:val="346B7766"/>
    <w:rsid w:val="349453A1"/>
    <w:rsid w:val="34B94520"/>
    <w:rsid w:val="34C35222"/>
    <w:rsid w:val="34D5AF36"/>
    <w:rsid w:val="34FBF8BA"/>
    <w:rsid w:val="3503C798"/>
    <w:rsid w:val="35527235"/>
    <w:rsid w:val="35619672"/>
    <w:rsid w:val="35637EB2"/>
    <w:rsid w:val="356E88B2"/>
    <w:rsid w:val="35816C7E"/>
    <w:rsid w:val="358BCF89"/>
    <w:rsid w:val="35A64FF8"/>
    <w:rsid w:val="35C1F4DD"/>
    <w:rsid w:val="3606EE70"/>
    <w:rsid w:val="3648A74E"/>
    <w:rsid w:val="36685348"/>
    <w:rsid w:val="36780B5C"/>
    <w:rsid w:val="367CF976"/>
    <w:rsid w:val="368C8D94"/>
    <w:rsid w:val="36CA37FA"/>
    <w:rsid w:val="36CB57D7"/>
    <w:rsid w:val="371C59DF"/>
    <w:rsid w:val="372C6D67"/>
    <w:rsid w:val="37517DC3"/>
    <w:rsid w:val="3779D880"/>
    <w:rsid w:val="37D0AC56"/>
    <w:rsid w:val="37E02E8B"/>
    <w:rsid w:val="38386C50"/>
    <w:rsid w:val="3840C816"/>
    <w:rsid w:val="3865ADED"/>
    <w:rsid w:val="386CF868"/>
    <w:rsid w:val="38BE97A2"/>
    <w:rsid w:val="38D4088A"/>
    <w:rsid w:val="38E20B71"/>
    <w:rsid w:val="38F3FD4D"/>
    <w:rsid w:val="391BF622"/>
    <w:rsid w:val="391DEAB4"/>
    <w:rsid w:val="3921B8B9"/>
    <w:rsid w:val="393C8011"/>
    <w:rsid w:val="394431D1"/>
    <w:rsid w:val="3946E3FF"/>
    <w:rsid w:val="394CB6AE"/>
    <w:rsid w:val="39938F64"/>
    <w:rsid w:val="399867EF"/>
    <w:rsid w:val="399AE886"/>
    <w:rsid w:val="39A4CE4A"/>
    <w:rsid w:val="39C060F2"/>
    <w:rsid w:val="39DFACA4"/>
    <w:rsid w:val="3A016B20"/>
    <w:rsid w:val="3A06AAF0"/>
    <w:rsid w:val="3A15D5BB"/>
    <w:rsid w:val="3A1825EF"/>
    <w:rsid w:val="3A32AF7A"/>
    <w:rsid w:val="3A3E9032"/>
    <w:rsid w:val="3A57056E"/>
    <w:rsid w:val="3A712047"/>
    <w:rsid w:val="3A8FCDAE"/>
    <w:rsid w:val="3AA24D8A"/>
    <w:rsid w:val="3B137757"/>
    <w:rsid w:val="3B5A13DD"/>
    <w:rsid w:val="3B66192F"/>
    <w:rsid w:val="3B6B3A3E"/>
    <w:rsid w:val="3B81255E"/>
    <w:rsid w:val="3BF14ACE"/>
    <w:rsid w:val="3C180C40"/>
    <w:rsid w:val="3C196432"/>
    <w:rsid w:val="3C3D4DE4"/>
    <w:rsid w:val="3C601196"/>
    <w:rsid w:val="3CC0964C"/>
    <w:rsid w:val="3CF48FAF"/>
    <w:rsid w:val="3D1BEDF7"/>
    <w:rsid w:val="3D213A78"/>
    <w:rsid w:val="3D338AAD"/>
    <w:rsid w:val="3D3A02F6"/>
    <w:rsid w:val="3D510779"/>
    <w:rsid w:val="3D6CA857"/>
    <w:rsid w:val="3DAEC87E"/>
    <w:rsid w:val="3DE4914D"/>
    <w:rsid w:val="3DEC8868"/>
    <w:rsid w:val="3E1C64D6"/>
    <w:rsid w:val="3E578697"/>
    <w:rsid w:val="3E776964"/>
    <w:rsid w:val="3EA86AA6"/>
    <w:rsid w:val="3EBD2134"/>
    <w:rsid w:val="3EC350BF"/>
    <w:rsid w:val="3F10A59B"/>
    <w:rsid w:val="3F3DEAD9"/>
    <w:rsid w:val="3F417C75"/>
    <w:rsid w:val="3F4FF7AC"/>
    <w:rsid w:val="3F9A582F"/>
    <w:rsid w:val="3FA99F32"/>
    <w:rsid w:val="3FB58C0E"/>
    <w:rsid w:val="4002D0E8"/>
    <w:rsid w:val="401696DA"/>
    <w:rsid w:val="404BD9FB"/>
    <w:rsid w:val="4086B9DB"/>
    <w:rsid w:val="40CF78CF"/>
    <w:rsid w:val="410A5A57"/>
    <w:rsid w:val="41376295"/>
    <w:rsid w:val="414AD077"/>
    <w:rsid w:val="4152D07D"/>
    <w:rsid w:val="415B87B9"/>
    <w:rsid w:val="415BD978"/>
    <w:rsid w:val="417C41E4"/>
    <w:rsid w:val="41C1AB68"/>
    <w:rsid w:val="41F1D606"/>
    <w:rsid w:val="41FE279D"/>
    <w:rsid w:val="4227EC76"/>
    <w:rsid w:val="42346733"/>
    <w:rsid w:val="425D8E9C"/>
    <w:rsid w:val="42973CC7"/>
    <w:rsid w:val="42A07D2B"/>
    <w:rsid w:val="42ACCD93"/>
    <w:rsid w:val="42BC8B27"/>
    <w:rsid w:val="42EC71D2"/>
    <w:rsid w:val="4320E60C"/>
    <w:rsid w:val="4331ECAC"/>
    <w:rsid w:val="43351A5B"/>
    <w:rsid w:val="438C02B6"/>
    <w:rsid w:val="43BF665F"/>
    <w:rsid w:val="43FCB4F2"/>
    <w:rsid w:val="4432BC91"/>
    <w:rsid w:val="446A0F16"/>
    <w:rsid w:val="44A6D084"/>
    <w:rsid w:val="44D9B211"/>
    <w:rsid w:val="450F4F65"/>
    <w:rsid w:val="4518810B"/>
    <w:rsid w:val="4523E226"/>
    <w:rsid w:val="454FBAC2"/>
    <w:rsid w:val="4572C4D5"/>
    <w:rsid w:val="457308EF"/>
    <w:rsid w:val="457E799E"/>
    <w:rsid w:val="45811C9C"/>
    <w:rsid w:val="45871885"/>
    <w:rsid w:val="458C90B3"/>
    <w:rsid w:val="45BE517A"/>
    <w:rsid w:val="45C4A3DD"/>
    <w:rsid w:val="45D00FC8"/>
    <w:rsid w:val="45D8FC38"/>
    <w:rsid w:val="46534659"/>
    <w:rsid w:val="4656E1A2"/>
    <w:rsid w:val="468FDC7E"/>
    <w:rsid w:val="4697A7C1"/>
    <w:rsid w:val="469E3659"/>
    <w:rsid w:val="46CB16A4"/>
    <w:rsid w:val="46D6ABC0"/>
    <w:rsid w:val="46ECBE99"/>
    <w:rsid w:val="471A23E9"/>
    <w:rsid w:val="4740E4D9"/>
    <w:rsid w:val="475F4022"/>
    <w:rsid w:val="47625C1C"/>
    <w:rsid w:val="4781BE3D"/>
    <w:rsid w:val="4783445A"/>
    <w:rsid w:val="4787292F"/>
    <w:rsid w:val="4789E767"/>
    <w:rsid w:val="47F4BA70"/>
    <w:rsid w:val="47FBC454"/>
    <w:rsid w:val="48258EDE"/>
    <w:rsid w:val="4848373E"/>
    <w:rsid w:val="48563847"/>
    <w:rsid w:val="4874F027"/>
    <w:rsid w:val="48785369"/>
    <w:rsid w:val="48BB930F"/>
    <w:rsid w:val="48CEB16E"/>
    <w:rsid w:val="493A7462"/>
    <w:rsid w:val="4943BB8E"/>
    <w:rsid w:val="49456DBF"/>
    <w:rsid w:val="49741682"/>
    <w:rsid w:val="49B1FCAF"/>
    <w:rsid w:val="49C0BC8D"/>
    <w:rsid w:val="49DAB5D5"/>
    <w:rsid w:val="49E4ECB7"/>
    <w:rsid w:val="49F06257"/>
    <w:rsid w:val="49F2BC41"/>
    <w:rsid w:val="4A0C465E"/>
    <w:rsid w:val="4A34E52C"/>
    <w:rsid w:val="4A38C264"/>
    <w:rsid w:val="4A6FC456"/>
    <w:rsid w:val="4AA4CF43"/>
    <w:rsid w:val="4AB2F3A1"/>
    <w:rsid w:val="4ABF3F67"/>
    <w:rsid w:val="4AF51F91"/>
    <w:rsid w:val="4AF661C2"/>
    <w:rsid w:val="4B01BF9F"/>
    <w:rsid w:val="4B321F04"/>
    <w:rsid w:val="4B3CFE91"/>
    <w:rsid w:val="4B4F1A33"/>
    <w:rsid w:val="4B5EA460"/>
    <w:rsid w:val="4B688369"/>
    <w:rsid w:val="4BC0D270"/>
    <w:rsid w:val="4BD492C5"/>
    <w:rsid w:val="4C07DF9E"/>
    <w:rsid w:val="4C30C184"/>
    <w:rsid w:val="4C41339E"/>
    <w:rsid w:val="4C77CED6"/>
    <w:rsid w:val="4C8D1ECE"/>
    <w:rsid w:val="4C923223"/>
    <w:rsid w:val="4C93653F"/>
    <w:rsid w:val="4CD0B4FE"/>
    <w:rsid w:val="4CE6F6C4"/>
    <w:rsid w:val="4CEF4110"/>
    <w:rsid w:val="4D251BEF"/>
    <w:rsid w:val="4D3CD036"/>
    <w:rsid w:val="4D6BF493"/>
    <w:rsid w:val="4D7CBAF1"/>
    <w:rsid w:val="4DA2A781"/>
    <w:rsid w:val="4DCE3DC2"/>
    <w:rsid w:val="4E5E210A"/>
    <w:rsid w:val="4E97423B"/>
    <w:rsid w:val="4EC74953"/>
    <w:rsid w:val="4ED85254"/>
    <w:rsid w:val="4ED88C55"/>
    <w:rsid w:val="4EECDEEE"/>
    <w:rsid w:val="4F001ADC"/>
    <w:rsid w:val="4F03180C"/>
    <w:rsid w:val="4F219F46"/>
    <w:rsid w:val="4F386172"/>
    <w:rsid w:val="4F4D19BF"/>
    <w:rsid w:val="4F6C6A9A"/>
    <w:rsid w:val="4F6C7C7A"/>
    <w:rsid w:val="4F7B0AF5"/>
    <w:rsid w:val="4FC33A69"/>
    <w:rsid w:val="4FC6C442"/>
    <w:rsid w:val="4FC725BD"/>
    <w:rsid w:val="4FCB17D9"/>
    <w:rsid w:val="4FDB5AE6"/>
    <w:rsid w:val="4FFD505C"/>
    <w:rsid w:val="5014C0D6"/>
    <w:rsid w:val="5044EC9D"/>
    <w:rsid w:val="50514897"/>
    <w:rsid w:val="50A9BA37"/>
    <w:rsid w:val="50C0EAA2"/>
    <w:rsid w:val="50F8C1D6"/>
    <w:rsid w:val="5105A54F"/>
    <w:rsid w:val="510A6CF3"/>
    <w:rsid w:val="5156CE00"/>
    <w:rsid w:val="51599355"/>
    <w:rsid w:val="51713A6D"/>
    <w:rsid w:val="51857ACA"/>
    <w:rsid w:val="51909F12"/>
    <w:rsid w:val="51945012"/>
    <w:rsid w:val="51BE71C5"/>
    <w:rsid w:val="51C7E25C"/>
    <w:rsid w:val="52034F5C"/>
    <w:rsid w:val="520CF3BF"/>
    <w:rsid w:val="5245026D"/>
    <w:rsid w:val="525DF8C5"/>
    <w:rsid w:val="527CD23D"/>
    <w:rsid w:val="5328E668"/>
    <w:rsid w:val="534FC37A"/>
    <w:rsid w:val="536D9E5A"/>
    <w:rsid w:val="537C8D5F"/>
    <w:rsid w:val="53D1FE54"/>
    <w:rsid w:val="53E88E4F"/>
    <w:rsid w:val="53F85379"/>
    <w:rsid w:val="544AB56A"/>
    <w:rsid w:val="5462FE73"/>
    <w:rsid w:val="54E51CBB"/>
    <w:rsid w:val="551489EA"/>
    <w:rsid w:val="553307DA"/>
    <w:rsid w:val="554168AB"/>
    <w:rsid w:val="5580113E"/>
    <w:rsid w:val="559587A8"/>
    <w:rsid w:val="561BC0D5"/>
    <w:rsid w:val="56883A45"/>
    <w:rsid w:val="56985EA3"/>
    <w:rsid w:val="569D293C"/>
    <w:rsid w:val="56D421A0"/>
    <w:rsid w:val="56E4EA49"/>
    <w:rsid w:val="56ED465E"/>
    <w:rsid w:val="570F2610"/>
    <w:rsid w:val="572B9FB6"/>
    <w:rsid w:val="57587F47"/>
    <w:rsid w:val="5762630C"/>
    <w:rsid w:val="5793A53A"/>
    <w:rsid w:val="579A79A9"/>
    <w:rsid w:val="586BD6A3"/>
    <w:rsid w:val="58B6CDC8"/>
    <w:rsid w:val="58BBD95C"/>
    <w:rsid w:val="58D270FE"/>
    <w:rsid w:val="58E0A824"/>
    <w:rsid w:val="58E85803"/>
    <w:rsid w:val="58FB29BF"/>
    <w:rsid w:val="5901958A"/>
    <w:rsid w:val="59063881"/>
    <w:rsid w:val="590839A1"/>
    <w:rsid w:val="591877B1"/>
    <w:rsid w:val="59199076"/>
    <w:rsid w:val="59599E42"/>
    <w:rsid w:val="595FA4C1"/>
    <w:rsid w:val="59CA7487"/>
    <w:rsid w:val="59F3BC69"/>
    <w:rsid w:val="59F73CAB"/>
    <w:rsid w:val="5A1A08DC"/>
    <w:rsid w:val="5A98E88F"/>
    <w:rsid w:val="5AFAEDBF"/>
    <w:rsid w:val="5B183F4F"/>
    <w:rsid w:val="5B9997EB"/>
    <w:rsid w:val="5BFA9D5B"/>
    <w:rsid w:val="5C6817CF"/>
    <w:rsid w:val="5C7F8D7E"/>
    <w:rsid w:val="5C92F733"/>
    <w:rsid w:val="5C997D99"/>
    <w:rsid w:val="5CC5DEDD"/>
    <w:rsid w:val="5D07E0F9"/>
    <w:rsid w:val="5D2C57DB"/>
    <w:rsid w:val="5D315E04"/>
    <w:rsid w:val="5D4B161C"/>
    <w:rsid w:val="5DAABBBF"/>
    <w:rsid w:val="5DB30AD4"/>
    <w:rsid w:val="5DBDCC88"/>
    <w:rsid w:val="5E4E3AE5"/>
    <w:rsid w:val="5E53900C"/>
    <w:rsid w:val="5E92B0A3"/>
    <w:rsid w:val="5EA905CD"/>
    <w:rsid w:val="5F038B86"/>
    <w:rsid w:val="5F0DD56B"/>
    <w:rsid w:val="5F180AFA"/>
    <w:rsid w:val="5F23FBFB"/>
    <w:rsid w:val="5F3141FE"/>
    <w:rsid w:val="5F4B2909"/>
    <w:rsid w:val="5F581AEA"/>
    <w:rsid w:val="5F82DC2E"/>
    <w:rsid w:val="5F867396"/>
    <w:rsid w:val="5F91B0A8"/>
    <w:rsid w:val="5FA98080"/>
    <w:rsid w:val="5FB13919"/>
    <w:rsid w:val="5FCA0CD3"/>
    <w:rsid w:val="5FDB9E48"/>
    <w:rsid w:val="60520DD6"/>
    <w:rsid w:val="605FAAC4"/>
    <w:rsid w:val="608E9F1C"/>
    <w:rsid w:val="6097E0AE"/>
    <w:rsid w:val="60CA6C1A"/>
    <w:rsid w:val="610D9E11"/>
    <w:rsid w:val="6114E272"/>
    <w:rsid w:val="61287E43"/>
    <w:rsid w:val="61355734"/>
    <w:rsid w:val="614C0922"/>
    <w:rsid w:val="61808BA1"/>
    <w:rsid w:val="6183E737"/>
    <w:rsid w:val="61B8E7CC"/>
    <w:rsid w:val="61C772F8"/>
    <w:rsid w:val="61E270C1"/>
    <w:rsid w:val="61F639B0"/>
    <w:rsid w:val="628933E8"/>
    <w:rsid w:val="6290D8DA"/>
    <w:rsid w:val="62A2A52B"/>
    <w:rsid w:val="62C44EA4"/>
    <w:rsid w:val="630BAAA1"/>
    <w:rsid w:val="63327AD9"/>
    <w:rsid w:val="636ABC17"/>
    <w:rsid w:val="639A9EAF"/>
    <w:rsid w:val="63C4C666"/>
    <w:rsid w:val="640402EE"/>
    <w:rsid w:val="6418E54A"/>
    <w:rsid w:val="64446C7B"/>
    <w:rsid w:val="64499D55"/>
    <w:rsid w:val="6451726B"/>
    <w:rsid w:val="64DD8372"/>
    <w:rsid w:val="64E8C9CA"/>
    <w:rsid w:val="650A6F99"/>
    <w:rsid w:val="652D2D50"/>
    <w:rsid w:val="655CC758"/>
    <w:rsid w:val="659D1C89"/>
    <w:rsid w:val="65A08382"/>
    <w:rsid w:val="6664BFC6"/>
    <w:rsid w:val="67160770"/>
    <w:rsid w:val="67367987"/>
    <w:rsid w:val="67700F00"/>
    <w:rsid w:val="67873F1F"/>
    <w:rsid w:val="6797BFC7"/>
    <w:rsid w:val="679BBCFC"/>
    <w:rsid w:val="67C4BDFC"/>
    <w:rsid w:val="67D5A8A9"/>
    <w:rsid w:val="67DBDF6C"/>
    <w:rsid w:val="67EAC239"/>
    <w:rsid w:val="67F61B81"/>
    <w:rsid w:val="680DF62D"/>
    <w:rsid w:val="68206A8C"/>
    <w:rsid w:val="6825937E"/>
    <w:rsid w:val="68744042"/>
    <w:rsid w:val="68858C04"/>
    <w:rsid w:val="688C2160"/>
    <w:rsid w:val="68A5C4E3"/>
    <w:rsid w:val="68E3AE7A"/>
    <w:rsid w:val="69081214"/>
    <w:rsid w:val="6933F818"/>
    <w:rsid w:val="695EE9F9"/>
    <w:rsid w:val="698D945C"/>
    <w:rsid w:val="69A20643"/>
    <w:rsid w:val="69A4BE6D"/>
    <w:rsid w:val="69B1D4C1"/>
    <w:rsid w:val="69BDF8A9"/>
    <w:rsid w:val="69EC8145"/>
    <w:rsid w:val="6A2A6A12"/>
    <w:rsid w:val="6A3B987A"/>
    <w:rsid w:val="6A475088"/>
    <w:rsid w:val="6A5F5128"/>
    <w:rsid w:val="6A9AAD0D"/>
    <w:rsid w:val="6AAD73CA"/>
    <w:rsid w:val="6B012368"/>
    <w:rsid w:val="6B0B5D27"/>
    <w:rsid w:val="6B12E698"/>
    <w:rsid w:val="6B2C5D69"/>
    <w:rsid w:val="6B68B3B7"/>
    <w:rsid w:val="6B7F7D8F"/>
    <w:rsid w:val="6B8ADCDB"/>
    <w:rsid w:val="6B8F8F49"/>
    <w:rsid w:val="6BE3B97A"/>
    <w:rsid w:val="6C2C1AF7"/>
    <w:rsid w:val="6C3451C1"/>
    <w:rsid w:val="6CBB6516"/>
    <w:rsid w:val="6CBC0D2B"/>
    <w:rsid w:val="6CE6D34B"/>
    <w:rsid w:val="6D2EF0EC"/>
    <w:rsid w:val="6D47760E"/>
    <w:rsid w:val="6D5023D3"/>
    <w:rsid w:val="6D5085EB"/>
    <w:rsid w:val="6D549B86"/>
    <w:rsid w:val="6D926D0A"/>
    <w:rsid w:val="6DA2B2CB"/>
    <w:rsid w:val="6DA58280"/>
    <w:rsid w:val="6DB0CC9E"/>
    <w:rsid w:val="6DD28B0E"/>
    <w:rsid w:val="6DF05D7B"/>
    <w:rsid w:val="6DF0ABD6"/>
    <w:rsid w:val="6DFD9335"/>
    <w:rsid w:val="6E346791"/>
    <w:rsid w:val="6E870C31"/>
    <w:rsid w:val="6EA80E79"/>
    <w:rsid w:val="6EE14B4A"/>
    <w:rsid w:val="6F18E7EB"/>
    <w:rsid w:val="6F6A0C24"/>
    <w:rsid w:val="6F9E551C"/>
    <w:rsid w:val="6FE5EED9"/>
    <w:rsid w:val="6FFF5168"/>
    <w:rsid w:val="70056F5B"/>
    <w:rsid w:val="704EDF35"/>
    <w:rsid w:val="7076406F"/>
    <w:rsid w:val="707F16D0"/>
    <w:rsid w:val="70C07A1D"/>
    <w:rsid w:val="70DB16CD"/>
    <w:rsid w:val="70F40066"/>
    <w:rsid w:val="7105DC85"/>
    <w:rsid w:val="7106FF95"/>
    <w:rsid w:val="710E9C05"/>
    <w:rsid w:val="7133A370"/>
    <w:rsid w:val="713BD6DD"/>
    <w:rsid w:val="71C210AD"/>
    <w:rsid w:val="71C6A64E"/>
    <w:rsid w:val="71D7FEFD"/>
    <w:rsid w:val="71F74A44"/>
    <w:rsid w:val="71F780E1"/>
    <w:rsid w:val="720AB439"/>
    <w:rsid w:val="720CC0AE"/>
    <w:rsid w:val="722C85E3"/>
    <w:rsid w:val="723CFC40"/>
    <w:rsid w:val="724487CD"/>
    <w:rsid w:val="724D468E"/>
    <w:rsid w:val="72557ED4"/>
    <w:rsid w:val="72677F0F"/>
    <w:rsid w:val="72C2CE89"/>
    <w:rsid w:val="72DC7485"/>
    <w:rsid w:val="73464E48"/>
    <w:rsid w:val="73635665"/>
    <w:rsid w:val="73AEB77A"/>
    <w:rsid w:val="73D00CB2"/>
    <w:rsid w:val="73D42B45"/>
    <w:rsid w:val="74385277"/>
    <w:rsid w:val="743BA0ED"/>
    <w:rsid w:val="7453A173"/>
    <w:rsid w:val="7477E134"/>
    <w:rsid w:val="7478CEFB"/>
    <w:rsid w:val="7487A6E6"/>
    <w:rsid w:val="7499917B"/>
    <w:rsid w:val="74B41026"/>
    <w:rsid w:val="74B55A55"/>
    <w:rsid w:val="74E51478"/>
    <w:rsid w:val="74EE0D60"/>
    <w:rsid w:val="7509B2D1"/>
    <w:rsid w:val="75486D72"/>
    <w:rsid w:val="75525509"/>
    <w:rsid w:val="758E626C"/>
    <w:rsid w:val="75AEE888"/>
    <w:rsid w:val="75B8E9FD"/>
    <w:rsid w:val="75D70F84"/>
    <w:rsid w:val="75E359F6"/>
    <w:rsid w:val="761CD26F"/>
    <w:rsid w:val="76237747"/>
    <w:rsid w:val="7623E19A"/>
    <w:rsid w:val="7625D527"/>
    <w:rsid w:val="76272D70"/>
    <w:rsid w:val="7630830E"/>
    <w:rsid w:val="763A7B16"/>
    <w:rsid w:val="7688583D"/>
    <w:rsid w:val="76A07284"/>
    <w:rsid w:val="770A4C68"/>
    <w:rsid w:val="770F2F07"/>
    <w:rsid w:val="7711AA94"/>
    <w:rsid w:val="772084F0"/>
    <w:rsid w:val="77598A39"/>
    <w:rsid w:val="7762CA6A"/>
    <w:rsid w:val="7784535B"/>
    <w:rsid w:val="7791CFDF"/>
    <w:rsid w:val="77D01EFF"/>
    <w:rsid w:val="788118FA"/>
    <w:rsid w:val="78E607B5"/>
    <w:rsid w:val="790E0D51"/>
    <w:rsid w:val="792BA80E"/>
    <w:rsid w:val="79312ACA"/>
    <w:rsid w:val="7938791B"/>
    <w:rsid w:val="7991D590"/>
    <w:rsid w:val="799E83F0"/>
    <w:rsid w:val="79F5C056"/>
    <w:rsid w:val="7A094C0B"/>
    <w:rsid w:val="7A5C4C95"/>
    <w:rsid w:val="7A7B8E68"/>
    <w:rsid w:val="7ABB5D88"/>
    <w:rsid w:val="7AC77016"/>
    <w:rsid w:val="7ADFFF45"/>
    <w:rsid w:val="7B469FFE"/>
    <w:rsid w:val="7B56E981"/>
    <w:rsid w:val="7B838A14"/>
    <w:rsid w:val="7BB61B1F"/>
    <w:rsid w:val="7BB9E49D"/>
    <w:rsid w:val="7BBF6FAA"/>
    <w:rsid w:val="7C0BC454"/>
    <w:rsid w:val="7C2CA728"/>
    <w:rsid w:val="7C36A81A"/>
    <w:rsid w:val="7C5F7B31"/>
    <w:rsid w:val="7C68B4B0"/>
    <w:rsid w:val="7C857D63"/>
    <w:rsid w:val="7CA57F88"/>
    <w:rsid w:val="7CA973B4"/>
    <w:rsid w:val="7CB300A2"/>
    <w:rsid w:val="7CCD16BD"/>
    <w:rsid w:val="7CDABCF3"/>
    <w:rsid w:val="7D8B6ED2"/>
    <w:rsid w:val="7DBEA9AD"/>
    <w:rsid w:val="7E0BEA3E"/>
    <w:rsid w:val="7E0DF2BB"/>
    <w:rsid w:val="7E49492F"/>
    <w:rsid w:val="7E8E0D4D"/>
    <w:rsid w:val="7E937E59"/>
    <w:rsid w:val="7E9684C4"/>
    <w:rsid w:val="7E9E0878"/>
    <w:rsid w:val="7EA6398B"/>
    <w:rsid w:val="7EE13DFB"/>
    <w:rsid w:val="7EE5BA8B"/>
    <w:rsid w:val="7F09738F"/>
    <w:rsid w:val="7F6398F3"/>
    <w:rsid w:val="7F825A31"/>
    <w:rsid w:val="7FCDA8C9"/>
    <w:rsid w:val="7FFD371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red,#4d4d4f"/>
    </o:shapedefaults>
    <o:shapelayout v:ext="edit">
      <o:idmap v:ext="edit" data="1"/>
    </o:shapelayout>
  </w:shapeDefaults>
  <w:decimalSymbol w:val="."/>
  <w:listSeparator w:val=","/>
  <w14:docId w14:val="667D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2"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A6C79"/>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D74D7E"/>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5B2F0D"/>
    <w:pPr>
      <w:outlineLvl w:val="3"/>
    </w:pPr>
    <w:rPr>
      <w:rFonts w:cs="Arial"/>
    </w:rPr>
  </w:style>
  <w:style w:type="paragraph" w:styleId="Heading5">
    <w:name w:val="heading 5"/>
    <w:basedOn w:val="Normal"/>
    <w:next w:val="Normal"/>
    <w:semiHidden/>
    <w:qFormat/>
    <w:rsid w:val="00AD5436"/>
    <w:pPr>
      <w:numPr>
        <w:ilvl w:val="4"/>
        <w:numId w:val="7"/>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7"/>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7"/>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7"/>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11"/>
      </w:numPr>
      <w:spacing w:after="0"/>
    </w:pPr>
    <w:rPr>
      <w:b/>
      <w:bCs/>
      <w:color w:val="323232"/>
      <w:szCs w:val="20"/>
    </w:rPr>
  </w:style>
  <w:style w:type="paragraph" w:customStyle="1" w:styleId="BodySubHeader">
    <w:name w:val="BodySubHeader"/>
    <w:basedOn w:val="Normal"/>
    <w:next w:val="Normal"/>
    <w:semiHidden/>
    <w:rsid w:val="00477E8C"/>
    <w:pPr>
      <w:spacing w:before="240" w:after="0"/>
    </w:pPr>
    <w:rPr>
      <w:b/>
      <w:i/>
    </w:rPr>
  </w:style>
  <w:style w:type="paragraph" w:styleId="ListBullet">
    <w:name w:val="List Bullet"/>
    <w:aliases w:val="List Bullet 1"/>
    <w:basedOn w:val="Normal"/>
    <w:link w:val="ListBulletChar"/>
    <w:qFormat/>
    <w:rsid w:val="001C6AEE"/>
    <w:pPr>
      <w:numPr>
        <w:numId w:val="4"/>
      </w:numPr>
      <w:spacing w:after="80"/>
    </w:pPr>
  </w:style>
  <w:style w:type="paragraph" w:styleId="ListBullet2">
    <w:name w:val="List Bullet 2"/>
    <w:basedOn w:val="Normal"/>
    <w:qFormat/>
    <w:rsid w:val="001C6AEE"/>
    <w:pPr>
      <w:numPr>
        <w:numId w:val="5"/>
      </w:numPr>
      <w:spacing w:after="80"/>
    </w:pPr>
  </w:style>
  <w:style w:type="paragraph" w:styleId="ListNumber">
    <w:name w:val="List Number"/>
    <w:basedOn w:val="Normal"/>
    <w:qFormat/>
    <w:rsid w:val="00C24A53"/>
    <w:pPr>
      <w:numPr>
        <w:numId w:val="13"/>
      </w:numPr>
      <w:spacing w:after="80"/>
    </w:pPr>
  </w:style>
  <w:style w:type="paragraph" w:styleId="ListNumber2">
    <w:name w:val="List Number 2"/>
    <w:basedOn w:val="Normal"/>
    <w:semiHidden/>
    <w:qFormat/>
    <w:rsid w:val="004A70D6"/>
    <w:pPr>
      <w:numPr>
        <w:numId w:val="6"/>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uiPriority w:val="99"/>
    <w:qFormat/>
    <w:rsid w:val="00566AB4"/>
    <w:rPr>
      <w:rFonts w:ascii="Arial" w:hAnsi="Arial"/>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f,fn,ALTS FOOTNOTE"/>
    <w:basedOn w:val="Normal"/>
    <w:link w:val="FootnoteTextChar"/>
    <w:qFormat/>
    <w:rsid w:val="00D61243"/>
    <w:pPr>
      <w:spacing w:after="0"/>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9"/>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8"/>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10"/>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D74D7E"/>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styleId="ListParagraph">
    <w:name w:val="List Paragraph"/>
    <w:basedOn w:val="Normal"/>
    <w:uiPriority w:val="34"/>
    <w:qFormat/>
    <w:rsid w:val="002C1390"/>
    <w:pPr>
      <w:spacing w:after="160" w:line="259" w:lineRule="auto"/>
      <w:ind w:left="720"/>
      <w:contextualSpacing/>
    </w:pPr>
    <w:rPr>
      <w:rFonts w:eastAsiaTheme="minorHAnsi" w:cstheme="minorBidi"/>
      <w:szCs w:val="22"/>
      <w:lang w:eastAsia="en-US"/>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f Char,fn Char"/>
    <w:basedOn w:val="DefaultParagraphFont"/>
    <w:link w:val="FootnoteText"/>
    <w:qFormat/>
    <w:locked/>
    <w:rsid w:val="00241092"/>
    <w:rPr>
      <w:rFonts w:ascii="Arial" w:hAnsi="Arial"/>
      <w:sz w:val="16"/>
      <w:szCs w:val="16"/>
    </w:rPr>
  </w:style>
  <w:style w:type="character" w:customStyle="1" w:styleId="ListBulletChar">
    <w:name w:val="List Bullet Char"/>
    <w:aliases w:val="List Bullet 1 Char"/>
    <w:basedOn w:val="DefaultParagraphFont"/>
    <w:link w:val="ListBullet"/>
    <w:rsid w:val="00241092"/>
    <w:rPr>
      <w:rFonts w:ascii="Arial" w:hAnsi="Arial"/>
      <w:sz w:val="20"/>
    </w:rPr>
  </w:style>
  <w:style w:type="paragraph" w:customStyle="1" w:styleId="TableHeading0">
    <w:name w:val="Table Heading"/>
    <w:basedOn w:val="Normal"/>
    <w:qFormat/>
    <w:rsid w:val="00B83419"/>
    <w:pPr>
      <w:spacing w:after="0"/>
    </w:pPr>
    <w:rPr>
      <w:b/>
    </w:rPr>
  </w:style>
  <w:style w:type="paragraph" w:customStyle="1" w:styleId="ACMASpaceaftertable">
    <w:name w:val="ACMA_Space after table"/>
    <w:basedOn w:val="Normal"/>
    <w:qFormat/>
    <w:rsid w:val="00B83419"/>
    <w:rPr>
      <w:rFonts w:cs="Arial"/>
    </w:rPr>
  </w:style>
  <w:style w:type="paragraph" w:customStyle="1" w:styleId="ACMAHeading1">
    <w:name w:val="ACMA Heading 1"/>
    <w:next w:val="Normal"/>
    <w:link w:val="ACMAHeading1Char"/>
    <w:rsid w:val="00B83419"/>
    <w:pPr>
      <w:keepNext/>
      <w:suppressAutoHyphens/>
      <w:spacing w:before="320"/>
      <w:outlineLvl w:val="1"/>
    </w:pPr>
    <w:rPr>
      <w:rFonts w:ascii="Arial" w:hAnsi="Arial"/>
      <w:b/>
      <w:sz w:val="32"/>
      <w:szCs w:val="32"/>
      <w:lang w:val="en-US" w:eastAsia="en-US"/>
    </w:rPr>
  </w:style>
  <w:style w:type="character" w:customStyle="1" w:styleId="ACMAHeading1Char">
    <w:name w:val="ACMA Heading 1 Char"/>
    <w:basedOn w:val="DefaultParagraphFont"/>
    <w:link w:val="ACMAHeading1"/>
    <w:rsid w:val="00B83419"/>
    <w:rPr>
      <w:rFonts w:ascii="Arial" w:hAnsi="Arial"/>
      <w:b/>
      <w:sz w:val="32"/>
      <w:szCs w:val="32"/>
      <w:lang w:val="en-US" w:eastAsia="en-US"/>
    </w:rPr>
  </w:style>
  <w:style w:type="paragraph" w:customStyle="1" w:styleId="Default">
    <w:name w:val="Default"/>
    <w:rsid w:val="004C6412"/>
    <w:pPr>
      <w:autoSpaceDE w:val="0"/>
      <w:autoSpaceDN w:val="0"/>
      <w:adjustRightInd w:val="0"/>
    </w:pPr>
    <w:rPr>
      <w:rFonts w:ascii="Calibri" w:hAnsi="Calibri" w:cs="Calibri"/>
      <w:color w:val="000000"/>
    </w:rPr>
  </w:style>
  <w:style w:type="paragraph" w:styleId="Revision">
    <w:name w:val="Revision"/>
    <w:hidden/>
    <w:semiHidden/>
    <w:rsid w:val="00EF6E3A"/>
    <w:rPr>
      <w:rFonts w:ascii="Arial" w:hAnsi="Arial"/>
      <w:sz w:val="20"/>
    </w:rPr>
  </w:style>
  <w:style w:type="character" w:customStyle="1" w:styleId="normaltextrun">
    <w:name w:val="normaltextrun"/>
    <w:basedOn w:val="DefaultParagraphFont"/>
    <w:rsid w:val="00655F65"/>
  </w:style>
  <w:style w:type="character" w:customStyle="1" w:styleId="eop">
    <w:name w:val="eop"/>
    <w:basedOn w:val="DefaultParagraphFont"/>
    <w:rsid w:val="00655F65"/>
  </w:style>
  <w:style w:type="character" w:styleId="Strong">
    <w:name w:val="Strong"/>
    <w:basedOn w:val="DefaultParagraphFont"/>
    <w:qFormat/>
    <w:rsid w:val="00A70851"/>
    <w:rPr>
      <w:b/>
      <w:bCs/>
    </w:rPr>
  </w:style>
  <w:style w:type="paragraph" w:styleId="NormalWeb">
    <w:name w:val="Normal (Web)"/>
    <w:basedOn w:val="Normal"/>
    <w:uiPriority w:val="99"/>
    <w:semiHidden/>
    <w:unhideWhenUsed/>
    <w:rsid w:val="003B4908"/>
    <w:pPr>
      <w:spacing w:before="100" w:beforeAutospacing="1" w:after="100" w:afterAutospacing="1" w:line="240" w:lineRule="auto"/>
    </w:pPr>
    <w:rPr>
      <w:rFonts w:ascii="Times New Roman" w:hAnsi="Times New Roman"/>
      <w:sz w:val="24"/>
    </w:rPr>
  </w:style>
  <w:style w:type="character" w:styleId="Mention">
    <w:name w:val="Mention"/>
    <w:basedOn w:val="DefaultParagraphFont"/>
    <w:uiPriority w:val="99"/>
    <w:unhideWhenUsed/>
    <w:rsid w:val="00E437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5488">
      <w:bodyDiv w:val="1"/>
      <w:marLeft w:val="0"/>
      <w:marRight w:val="0"/>
      <w:marTop w:val="0"/>
      <w:marBottom w:val="0"/>
      <w:divBdr>
        <w:top w:val="none" w:sz="0" w:space="0" w:color="auto"/>
        <w:left w:val="none" w:sz="0" w:space="0" w:color="auto"/>
        <w:bottom w:val="none" w:sz="0" w:space="0" w:color="auto"/>
        <w:right w:val="none" w:sz="0" w:space="0" w:color="auto"/>
      </w:divBdr>
    </w:div>
    <w:div w:id="58142011">
      <w:bodyDiv w:val="1"/>
      <w:marLeft w:val="0"/>
      <w:marRight w:val="0"/>
      <w:marTop w:val="0"/>
      <w:marBottom w:val="0"/>
      <w:divBdr>
        <w:top w:val="none" w:sz="0" w:space="0" w:color="auto"/>
        <w:left w:val="none" w:sz="0" w:space="0" w:color="auto"/>
        <w:bottom w:val="none" w:sz="0" w:space="0" w:color="auto"/>
        <w:right w:val="none" w:sz="0" w:space="0" w:color="auto"/>
      </w:divBdr>
    </w:div>
    <w:div w:id="84112008">
      <w:bodyDiv w:val="1"/>
      <w:marLeft w:val="0"/>
      <w:marRight w:val="0"/>
      <w:marTop w:val="0"/>
      <w:marBottom w:val="0"/>
      <w:divBdr>
        <w:top w:val="none" w:sz="0" w:space="0" w:color="auto"/>
        <w:left w:val="none" w:sz="0" w:space="0" w:color="auto"/>
        <w:bottom w:val="none" w:sz="0" w:space="0" w:color="auto"/>
        <w:right w:val="none" w:sz="0" w:space="0" w:color="auto"/>
      </w:divBdr>
    </w:div>
    <w:div w:id="122814500">
      <w:bodyDiv w:val="1"/>
      <w:marLeft w:val="0"/>
      <w:marRight w:val="0"/>
      <w:marTop w:val="0"/>
      <w:marBottom w:val="0"/>
      <w:divBdr>
        <w:top w:val="none" w:sz="0" w:space="0" w:color="auto"/>
        <w:left w:val="none" w:sz="0" w:space="0" w:color="auto"/>
        <w:bottom w:val="none" w:sz="0" w:space="0" w:color="auto"/>
        <w:right w:val="none" w:sz="0" w:space="0" w:color="auto"/>
      </w:divBdr>
    </w:div>
    <w:div w:id="133910170">
      <w:bodyDiv w:val="1"/>
      <w:marLeft w:val="0"/>
      <w:marRight w:val="0"/>
      <w:marTop w:val="0"/>
      <w:marBottom w:val="0"/>
      <w:divBdr>
        <w:top w:val="none" w:sz="0" w:space="0" w:color="auto"/>
        <w:left w:val="none" w:sz="0" w:space="0" w:color="auto"/>
        <w:bottom w:val="none" w:sz="0" w:space="0" w:color="auto"/>
        <w:right w:val="none" w:sz="0" w:space="0" w:color="auto"/>
      </w:divBdr>
    </w:div>
    <w:div w:id="134564579">
      <w:bodyDiv w:val="1"/>
      <w:marLeft w:val="0"/>
      <w:marRight w:val="0"/>
      <w:marTop w:val="0"/>
      <w:marBottom w:val="0"/>
      <w:divBdr>
        <w:top w:val="none" w:sz="0" w:space="0" w:color="auto"/>
        <w:left w:val="none" w:sz="0" w:space="0" w:color="auto"/>
        <w:bottom w:val="none" w:sz="0" w:space="0" w:color="auto"/>
        <w:right w:val="none" w:sz="0" w:space="0" w:color="auto"/>
      </w:divBdr>
    </w:div>
    <w:div w:id="138961607">
      <w:bodyDiv w:val="1"/>
      <w:marLeft w:val="0"/>
      <w:marRight w:val="0"/>
      <w:marTop w:val="0"/>
      <w:marBottom w:val="0"/>
      <w:divBdr>
        <w:top w:val="none" w:sz="0" w:space="0" w:color="auto"/>
        <w:left w:val="none" w:sz="0" w:space="0" w:color="auto"/>
        <w:bottom w:val="none" w:sz="0" w:space="0" w:color="auto"/>
        <w:right w:val="none" w:sz="0" w:space="0" w:color="auto"/>
      </w:divBdr>
    </w:div>
    <w:div w:id="165630052">
      <w:bodyDiv w:val="1"/>
      <w:marLeft w:val="0"/>
      <w:marRight w:val="0"/>
      <w:marTop w:val="0"/>
      <w:marBottom w:val="0"/>
      <w:divBdr>
        <w:top w:val="none" w:sz="0" w:space="0" w:color="auto"/>
        <w:left w:val="none" w:sz="0" w:space="0" w:color="auto"/>
        <w:bottom w:val="none" w:sz="0" w:space="0" w:color="auto"/>
        <w:right w:val="none" w:sz="0" w:space="0" w:color="auto"/>
      </w:divBdr>
    </w:div>
    <w:div w:id="208150951">
      <w:bodyDiv w:val="1"/>
      <w:marLeft w:val="0"/>
      <w:marRight w:val="0"/>
      <w:marTop w:val="0"/>
      <w:marBottom w:val="0"/>
      <w:divBdr>
        <w:top w:val="none" w:sz="0" w:space="0" w:color="auto"/>
        <w:left w:val="none" w:sz="0" w:space="0" w:color="auto"/>
        <w:bottom w:val="none" w:sz="0" w:space="0" w:color="auto"/>
        <w:right w:val="none" w:sz="0" w:space="0" w:color="auto"/>
      </w:divBdr>
    </w:div>
    <w:div w:id="271980005">
      <w:bodyDiv w:val="1"/>
      <w:marLeft w:val="0"/>
      <w:marRight w:val="0"/>
      <w:marTop w:val="0"/>
      <w:marBottom w:val="0"/>
      <w:divBdr>
        <w:top w:val="none" w:sz="0" w:space="0" w:color="auto"/>
        <w:left w:val="none" w:sz="0" w:space="0" w:color="auto"/>
        <w:bottom w:val="none" w:sz="0" w:space="0" w:color="auto"/>
        <w:right w:val="none" w:sz="0" w:space="0" w:color="auto"/>
      </w:divBdr>
    </w:div>
    <w:div w:id="311447700">
      <w:bodyDiv w:val="1"/>
      <w:marLeft w:val="0"/>
      <w:marRight w:val="0"/>
      <w:marTop w:val="0"/>
      <w:marBottom w:val="0"/>
      <w:divBdr>
        <w:top w:val="none" w:sz="0" w:space="0" w:color="auto"/>
        <w:left w:val="none" w:sz="0" w:space="0" w:color="auto"/>
        <w:bottom w:val="none" w:sz="0" w:space="0" w:color="auto"/>
        <w:right w:val="none" w:sz="0" w:space="0" w:color="auto"/>
      </w:divBdr>
    </w:div>
    <w:div w:id="319891951">
      <w:bodyDiv w:val="1"/>
      <w:marLeft w:val="0"/>
      <w:marRight w:val="0"/>
      <w:marTop w:val="0"/>
      <w:marBottom w:val="0"/>
      <w:divBdr>
        <w:top w:val="none" w:sz="0" w:space="0" w:color="auto"/>
        <w:left w:val="none" w:sz="0" w:space="0" w:color="auto"/>
        <w:bottom w:val="none" w:sz="0" w:space="0" w:color="auto"/>
        <w:right w:val="none" w:sz="0" w:space="0" w:color="auto"/>
      </w:divBdr>
    </w:div>
    <w:div w:id="328606073">
      <w:bodyDiv w:val="1"/>
      <w:marLeft w:val="0"/>
      <w:marRight w:val="0"/>
      <w:marTop w:val="0"/>
      <w:marBottom w:val="0"/>
      <w:divBdr>
        <w:top w:val="none" w:sz="0" w:space="0" w:color="auto"/>
        <w:left w:val="none" w:sz="0" w:space="0" w:color="auto"/>
        <w:bottom w:val="none" w:sz="0" w:space="0" w:color="auto"/>
        <w:right w:val="none" w:sz="0" w:space="0" w:color="auto"/>
      </w:divBdr>
    </w:div>
    <w:div w:id="359431988">
      <w:bodyDiv w:val="1"/>
      <w:marLeft w:val="0"/>
      <w:marRight w:val="0"/>
      <w:marTop w:val="0"/>
      <w:marBottom w:val="0"/>
      <w:divBdr>
        <w:top w:val="none" w:sz="0" w:space="0" w:color="auto"/>
        <w:left w:val="none" w:sz="0" w:space="0" w:color="auto"/>
        <w:bottom w:val="none" w:sz="0" w:space="0" w:color="auto"/>
        <w:right w:val="none" w:sz="0" w:space="0" w:color="auto"/>
      </w:divBdr>
    </w:div>
    <w:div w:id="363557771">
      <w:bodyDiv w:val="1"/>
      <w:marLeft w:val="0"/>
      <w:marRight w:val="0"/>
      <w:marTop w:val="0"/>
      <w:marBottom w:val="0"/>
      <w:divBdr>
        <w:top w:val="none" w:sz="0" w:space="0" w:color="auto"/>
        <w:left w:val="none" w:sz="0" w:space="0" w:color="auto"/>
        <w:bottom w:val="none" w:sz="0" w:space="0" w:color="auto"/>
        <w:right w:val="none" w:sz="0" w:space="0" w:color="auto"/>
      </w:divBdr>
    </w:div>
    <w:div w:id="367074753">
      <w:bodyDiv w:val="1"/>
      <w:marLeft w:val="0"/>
      <w:marRight w:val="0"/>
      <w:marTop w:val="0"/>
      <w:marBottom w:val="0"/>
      <w:divBdr>
        <w:top w:val="none" w:sz="0" w:space="0" w:color="auto"/>
        <w:left w:val="none" w:sz="0" w:space="0" w:color="auto"/>
        <w:bottom w:val="none" w:sz="0" w:space="0" w:color="auto"/>
        <w:right w:val="none" w:sz="0" w:space="0" w:color="auto"/>
      </w:divBdr>
    </w:div>
    <w:div w:id="423113591">
      <w:bodyDiv w:val="1"/>
      <w:marLeft w:val="0"/>
      <w:marRight w:val="0"/>
      <w:marTop w:val="0"/>
      <w:marBottom w:val="0"/>
      <w:divBdr>
        <w:top w:val="none" w:sz="0" w:space="0" w:color="auto"/>
        <w:left w:val="none" w:sz="0" w:space="0" w:color="auto"/>
        <w:bottom w:val="none" w:sz="0" w:space="0" w:color="auto"/>
        <w:right w:val="none" w:sz="0" w:space="0" w:color="auto"/>
      </w:divBdr>
    </w:div>
    <w:div w:id="431710713">
      <w:bodyDiv w:val="1"/>
      <w:marLeft w:val="0"/>
      <w:marRight w:val="0"/>
      <w:marTop w:val="0"/>
      <w:marBottom w:val="0"/>
      <w:divBdr>
        <w:top w:val="none" w:sz="0" w:space="0" w:color="auto"/>
        <w:left w:val="none" w:sz="0" w:space="0" w:color="auto"/>
        <w:bottom w:val="none" w:sz="0" w:space="0" w:color="auto"/>
        <w:right w:val="none" w:sz="0" w:space="0" w:color="auto"/>
      </w:divBdr>
    </w:div>
    <w:div w:id="438136612">
      <w:bodyDiv w:val="1"/>
      <w:marLeft w:val="0"/>
      <w:marRight w:val="0"/>
      <w:marTop w:val="0"/>
      <w:marBottom w:val="0"/>
      <w:divBdr>
        <w:top w:val="none" w:sz="0" w:space="0" w:color="auto"/>
        <w:left w:val="none" w:sz="0" w:space="0" w:color="auto"/>
        <w:bottom w:val="none" w:sz="0" w:space="0" w:color="auto"/>
        <w:right w:val="none" w:sz="0" w:space="0" w:color="auto"/>
      </w:divBdr>
    </w:div>
    <w:div w:id="440227393">
      <w:bodyDiv w:val="1"/>
      <w:marLeft w:val="0"/>
      <w:marRight w:val="0"/>
      <w:marTop w:val="0"/>
      <w:marBottom w:val="0"/>
      <w:divBdr>
        <w:top w:val="none" w:sz="0" w:space="0" w:color="auto"/>
        <w:left w:val="none" w:sz="0" w:space="0" w:color="auto"/>
        <w:bottom w:val="none" w:sz="0" w:space="0" w:color="auto"/>
        <w:right w:val="none" w:sz="0" w:space="0" w:color="auto"/>
      </w:divBdr>
    </w:div>
    <w:div w:id="502478289">
      <w:bodyDiv w:val="1"/>
      <w:marLeft w:val="0"/>
      <w:marRight w:val="0"/>
      <w:marTop w:val="0"/>
      <w:marBottom w:val="0"/>
      <w:divBdr>
        <w:top w:val="none" w:sz="0" w:space="0" w:color="auto"/>
        <w:left w:val="none" w:sz="0" w:space="0" w:color="auto"/>
        <w:bottom w:val="none" w:sz="0" w:space="0" w:color="auto"/>
        <w:right w:val="none" w:sz="0" w:space="0" w:color="auto"/>
      </w:divBdr>
    </w:div>
    <w:div w:id="510804090">
      <w:bodyDiv w:val="1"/>
      <w:marLeft w:val="0"/>
      <w:marRight w:val="0"/>
      <w:marTop w:val="0"/>
      <w:marBottom w:val="0"/>
      <w:divBdr>
        <w:top w:val="none" w:sz="0" w:space="0" w:color="auto"/>
        <w:left w:val="none" w:sz="0" w:space="0" w:color="auto"/>
        <w:bottom w:val="none" w:sz="0" w:space="0" w:color="auto"/>
        <w:right w:val="none" w:sz="0" w:space="0" w:color="auto"/>
      </w:divBdr>
    </w:div>
    <w:div w:id="535581908">
      <w:bodyDiv w:val="1"/>
      <w:marLeft w:val="0"/>
      <w:marRight w:val="0"/>
      <w:marTop w:val="0"/>
      <w:marBottom w:val="0"/>
      <w:divBdr>
        <w:top w:val="none" w:sz="0" w:space="0" w:color="auto"/>
        <w:left w:val="none" w:sz="0" w:space="0" w:color="auto"/>
        <w:bottom w:val="none" w:sz="0" w:space="0" w:color="auto"/>
        <w:right w:val="none" w:sz="0" w:space="0" w:color="auto"/>
      </w:divBdr>
    </w:div>
    <w:div w:id="536822881">
      <w:bodyDiv w:val="1"/>
      <w:marLeft w:val="0"/>
      <w:marRight w:val="0"/>
      <w:marTop w:val="0"/>
      <w:marBottom w:val="0"/>
      <w:divBdr>
        <w:top w:val="none" w:sz="0" w:space="0" w:color="auto"/>
        <w:left w:val="none" w:sz="0" w:space="0" w:color="auto"/>
        <w:bottom w:val="none" w:sz="0" w:space="0" w:color="auto"/>
        <w:right w:val="none" w:sz="0" w:space="0" w:color="auto"/>
      </w:divBdr>
    </w:div>
    <w:div w:id="54926985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94902517">
      <w:bodyDiv w:val="1"/>
      <w:marLeft w:val="0"/>
      <w:marRight w:val="0"/>
      <w:marTop w:val="0"/>
      <w:marBottom w:val="0"/>
      <w:divBdr>
        <w:top w:val="none" w:sz="0" w:space="0" w:color="auto"/>
        <w:left w:val="none" w:sz="0" w:space="0" w:color="auto"/>
        <w:bottom w:val="none" w:sz="0" w:space="0" w:color="auto"/>
        <w:right w:val="none" w:sz="0" w:space="0" w:color="auto"/>
      </w:divBdr>
    </w:div>
    <w:div w:id="611208375">
      <w:bodyDiv w:val="1"/>
      <w:marLeft w:val="0"/>
      <w:marRight w:val="0"/>
      <w:marTop w:val="0"/>
      <w:marBottom w:val="0"/>
      <w:divBdr>
        <w:top w:val="none" w:sz="0" w:space="0" w:color="auto"/>
        <w:left w:val="none" w:sz="0" w:space="0" w:color="auto"/>
        <w:bottom w:val="none" w:sz="0" w:space="0" w:color="auto"/>
        <w:right w:val="none" w:sz="0" w:space="0" w:color="auto"/>
      </w:divBdr>
    </w:div>
    <w:div w:id="614018364">
      <w:bodyDiv w:val="1"/>
      <w:marLeft w:val="0"/>
      <w:marRight w:val="0"/>
      <w:marTop w:val="0"/>
      <w:marBottom w:val="0"/>
      <w:divBdr>
        <w:top w:val="none" w:sz="0" w:space="0" w:color="auto"/>
        <w:left w:val="none" w:sz="0" w:space="0" w:color="auto"/>
        <w:bottom w:val="none" w:sz="0" w:space="0" w:color="auto"/>
        <w:right w:val="none" w:sz="0" w:space="0" w:color="auto"/>
      </w:divBdr>
    </w:div>
    <w:div w:id="622004321">
      <w:bodyDiv w:val="1"/>
      <w:marLeft w:val="0"/>
      <w:marRight w:val="0"/>
      <w:marTop w:val="0"/>
      <w:marBottom w:val="0"/>
      <w:divBdr>
        <w:top w:val="none" w:sz="0" w:space="0" w:color="auto"/>
        <w:left w:val="none" w:sz="0" w:space="0" w:color="auto"/>
        <w:bottom w:val="none" w:sz="0" w:space="0" w:color="auto"/>
        <w:right w:val="none" w:sz="0" w:space="0" w:color="auto"/>
      </w:divBdr>
    </w:div>
    <w:div w:id="624846001">
      <w:bodyDiv w:val="1"/>
      <w:marLeft w:val="0"/>
      <w:marRight w:val="0"/>
      <w:marTop w:val="0"/>
      <w:marBottom w:val="0"/>
      <w:divBdr>
        <w:top w:val="none" w:sz="0" w:space="0" w:color="auto"/>
        <w:left w:val="none" w:sz="0" w:space="0" w:color="auto"/>
        <w:bottom w:val="none" w:sz="0" w:space="0" w:color="auto"/>
        <w:right w:val="none" w:sz="0" w:space="0" w:color="auto"/>
      </w:divBdr>
    </w:div>
    <w:div w:id="638538556">
      <w:bodyDiv w:val="1"/>
      <w:marLeft w:val="0"/>
      <w:marRight w:val="0"/>
      <w:marTop w:val="0"/>
      <w:marBottom w:val="0"/>
      <w:divBdr>
        <w:top w:val="none" w:sz="0" w:space="0" w:color="auto"/>
        <w:left w:val="none" w:sz="0" w:space="0" w:color="auto"/>
        <w:bottom w:val="none" w:sz="0" w:space="0" w:color="auto"/>
        <w:right w:val="none" w:sz="0" w:space="0" w:color="auto"/>
      </w:divBdr>
    </w:div>
    <w:div w:id="648634406">
      <w:bodyDiv w:val="1"/>
      <w:marLeft w:val="0"/>
      <w:marRight w:val="0"/>
      <w:marTop w:val="0"/>
      <w:marBottom w:val="0"/>
      <w:divBdr>
        <w:top w:val="none" w:sz="0" w:space="0" w:color="auto"/>
        <w:left w:val="none" w:sz="0" w:space="0" w:color="auto"/>
        <w:bottom w:val="none" w:sz="0" w:space="0" w:color="auto"/>
        <w:right w:val="none" w:sz="0" w:space="0" w:color="auto"/>
      </w:divBdr>
    </w:div>
    <w:div w:id="686440966">
      <w:bodyDiv w:val="1"/>
      <w:marLeft w:val="0"/>
      <w:marRight w:val="0"/>
      <w:marTop w:val="0"/>
      <w:marBottom w:val="0"/>
      <w:divBdr>
        <w:top w:val="none" w:sz="0" w:space="0" w:color="auto"/>
        <w:left w:val="none" w:sz="0" w:space="0" w:color="auto"/>
        <w:bottom w:val="none" w:sz="0" w:space="0" w:color="auto"/>
        <w:right w:val="none" w:sz="0" w:space="0" w:color="auto"/>
      </w:divBdr>
    </w:div>
    <w:div w:id="688750457">
      <w:bodyDiv w:val="1"/>
      <w:marLeft w:val="0"/>
      <w:marRight w:val="0"/>
      <w:marTop w:val="0"/>
      <w:marBottom w:val="0"/>
      <w:divBdr>
        <w:top w:val="none" w:sz="0" w:space="0" w:color="auto"/>
        <w:left w:val="none" w:sz="0" w:space="0" w:color="auto"/>
        <w:bottom w:val="none" w:sz="0" w:space="0" w:color="auto"/>
        <w:right w:val="none" w:sz="0" w:space="0" w:color="auto"/>
      </w:divBdr>
    </w:div>
    <w:div w:id="704410702">
      <w:bodyDiv w:val="1"/>
      <w:marLeft w:val="0"/>
      <w:marRight w:val="0"/>
      <w:marTop w:val="0"/>
      <w:marBottom w:val="0"/>
      <w:divBdr>
        <w:top w:val="none" w:sz="0" w:space="0" w:color="auto"/>
        <w:left w:val="none" w:sz="0" w:space="0" w:color="auto"/>
        <w:bottom w:val="none" w:sz="0" w:space="0" w:color="auto"/>
        <w:right w:val="none" w:sz="0" w:space="0" w:color="auto"/>
      </w:divBdr>
    </w:div>
    <w:div w:id="706024918">
      <w:bodyDiv w:val="1"/>
      <w:marLeft w:val="0"/>
      <w:marRight w:val="0"/>
      <w:marTop w:val="0"/>
      <w:marBottom w:val="0"/>
      <w:divBdr>
        <w:top w:val="none" w:sz="0" w:space="0" w:color="auto"/>
        <w:left w:val="none" w:sz="0" w:space="0" w:color="auto"/>
        <w:bottom w:val="none" w:sz="0" w:space="0" w:color="auto"/>
        <w:right w:val="none" w:sz="0" w:space="0" w:color="auto"/>
      </w:divBdr>
    </w:div>
    <w:div w:id="707724378">
      <w:bodyDiv w:val="1"/>
      <w:marLeft w:val="0"/>
      <w:marRight w:val="0"/>
      <w:marTop w:val="0"/>
      <w:marBottom w:val="0"/>
      <w:divBdr>
        <w:top w:val="none" w:sz="0" w:space="0" w:color="auto"/>
        <w:left w:val="none" w:sz="0" w:space="0" w:color="auto"/>
        <w:bottom w:val="none" w:sz="0" w:space="0" w:color="auto"/>
        <w:right w:val="none" w:sz="0" w:space="0" w:color="auto"/>
      </w:divBdr>
    </w:div>
    <w:div w:id="733622858">
      <w:bodyDiv w:val="1"/>
      <w:marLeft w:val="0"/>
      <w:marRight w:val="0"/>
      <w:marTop w:val="0"/>
      <w:marBottom w:val="0"/>
      <w:divBdr>
        <w:top w:val="none" w:sz="0" w:space="0" w:color="auto"/>
        <w:left w:val="none" w:sz="0" w:space="0" w:color="auto"/>
        <w:bottom w:val="none" w:sz="0" w:space="0" w:color="auto"/>
        <w:right w:val="none" w:sz="0" w:space="0" w:color="auto"/>
      </w:divBdr>
    </w:div>
    <w:div w:id="753935527">
      <w:bodyDiv w:val="1"/>
      <w:marLeft w:val="0"/>
      <w:marRight w:val="0"/>
      <w:marTop w:val="0"/>
      <w:marBottom w:val="0"/>
      <w:divBdr>
        <w:top w:val="none" w:sz="0" w:space="0" w:color="auto"/>
        <w:left w:val="none" w:sz="0" w:space="0" w:color="auto"/>
        <w:bottom w:val="none" w:sz="0" w:space="0" w:color="auto"/>
        <w:right w:val="none" w:sz="0" w:space="0" w:color="auto"/>
      </w:divBdr>
    </w:div>
    <w:div w:id="766191085">
      <w:bodyDiv w:val="1"/>
      <w:marLeft w:val="0"/>
      <w:marRight w:val="0"/>
      <w:marTop w:val="0"/>
      <w:marBottom w:val="0"/>
      <w:divBdr>
        <w:top w:val="none" w:sz="0" w:space="0" w:color="auto"/>
        <w:left w:val="none" w:sz="0" w:space="0" w:color="auto"/>
        <w:bottom w:val="none" w:sz="0" w:space="0" w:color="auto"/>
        <w:right w:val="none" w:sz="0" w:space="0" w:color="auto"/>
      </w:divBdr>
    </w:div>
    <w:div w:id="885526479">
      <w:bodyDiv w:val="1"/>
      <w:marLeft w:val="0"/>
      <w:marRight w:val="0"/>
      <w:marTop w:val="0"/>
      <w:marBottom w:val="0"/>
      <w:divBdr>
        <w:top w:val="none" w:sz="0" w:space="0" w:color="auto"/>
        <w:left w:val="none" w:sz="0" w:space="0" w:color="auto"/>
        <w:bottom w:val="none" w:sz="0" w:space="0" w:color="auto"/>
        <w:right w:val="none" w:sz="0" w:space="0" w:color="auto"/>
      </w:divBdr>
    </w:div>
    <w:div w:id="904874286">
      <w:bodyDiv w:val="1"/>
      <w:marLeft w:val="0"/>
      <w:marRight w:val="0"/>
      <w:marTop w:val="0"/>
      <w:marBottom w:val="0"/>
      <w:divBdr>
        <w:top w:val="none" w:sz="0" w:space="0" w:color="auto"/>
        <w:left w:val="none" w:sz="0" w:space="0" w:color="auto"/>
        <w:bottom w:val="none" w:sz="0" w:space="0" w:color="auto"/>
        <w:right w:val="none" w:sz="0" w:space="0" w:color="auto"/>
      </w:divBdr>
    </w:div>
    <w:div w:id="909968885">
      <w:bodyDiv w:val="1"/>
      <w:marLeft w:val="0"/>
      <w:marRight w:val="0"/>
      <w:marTop w:val="0"/>
      <w:marBottom w:val="0"/>
      <w:divBdr>
        <w:top w:val="none" w:sz="0" w:space="0" w:color="auto"/>
        <w:left w:val="none" w:sz="0" w:space="0" w:color="auto"/>
        <w:bottom w:val="none" w:sz="0" w:space="0" w:color="auto"/>
        <w:right w:val="none" w:sz="0" w:space="0" w:color="auto"/>
      </w:divBdr>
    </w:div>
    <w:div w:id="931355481">
      <w:bodyDiv w:val="1"/>
      <w:marLeft w:val="0"/>
      <w:marRight w:val="0"/>
      <w:marTop w:val="0"/>
      <w:marBottom w:val="0"/>
      <w:divBdr>
        <w:top w:val="none" w:sz="0" w:space="0" w:color="auto"/>
        <w:left w:val="none" w:sz="0" w:space="0" w:color="auto"/>
        <w:bottom w:val="none" w:sz="0" w:space="0" w:color="auto"/>
        <w:right w:val="none" w:sz="0" w:space="0" w:color="auto"/>
      </w:divBdr>
    </w:div>
    <w:div w:id="932395197">
      <w:bodyDiv w:val="1"/>
      <w:marLeft w:val="0"/>
      <w:marRight w:val="0"/>
      <w:marTop w:val="0"/>
      <w:marBottom w:val="0"/>
      <w:divBdr>
        <w:top w:val="none" w:sz="0" w:space="0" w:color="auto"/>
        <w:left w:val="none" w:sz="0" w:space="0" w:color="auto"/>
        <w:bottom w:val="none" w:sz="0" w:space="0" w:color="auto"/>
        <w:right w:val="none" w:sz="0" w:space="0" w:color="auto"/>
      </w:divBdr>
    </w:div>
    <w:div w:id="963773670">
      <w:bodyDiv w:val="1"/>
      <w:marLeft w:val="0"/>
      <w:marRight w:val="0"/>
      <w:marTop w:val="0"/>
      <w:marBottom w:val="0"/>
      <w:divBdr>
        <w:top w:val="none" w:sz="0" w:space="0" w:color="auto"/>
        <w:left w:val="none" w:sz="0" w:space="0" w:color="auto"/>
        <w:bottom w:val="none" w:sz="0" w:space="0" w:color="auto"/>
        <w:right w:val="none" w:sz="0" w:space="0" w:color="auto"/>
      </w:divBdr>
    </w:div>
    <w:div w:id="973144406">
      <w:bodyDiv w:val="1"/>
      <w:marLeft w:val="0"/>
      <w:marRight w:val="0"/>
      <w:marTop w:val="0"/>
      <w:marBottom w:val="0"/>
      <w:divBdr>
        <w:top w:val="none" w:sz="0" w:space="0" w:color="auto"/>
        <w:left w:val="none" w:sz="0" w:space="0" w:color="auto"/>
        <w:bottom w:val="none" w:sz="0" w:space="0" w:color="auto"/>
        <w:right w:val="none" w:sz="0" w:space="0" w:color="auto"/>
      </w:divBdr>
    </w:div>
    <w:div w:id="1034159128">
      <w:bodyDiv w:val="1"/>
      <w:marLeft w:val="0"/>
      <w:marRight w:val="0"/>
      <w:marTop w:val="0"/>
      <w:marBottom w:val="0"/>
      <w:divBdr>
        <w:top w:val="none" w:sz="0" w:space="0" w:color="auto"/>
        <w:left w:val="none" w:sz="0" w:space="0" w:color="auto"/>
        <w:bottom w:val="none" w:sz="0" w:space="0" w:color="auto"/>
        <w:right w:val="none" w:sz="0" w:space="0" w:color="auto"/>
      </w:divBdr>
    </w:div>
    <w:div w:id="1035931408">
      <w:bodyDiv w:val="1"/>
      <w:marLeft w:val="0"/>
      <w:marRight w:val="0"/>
      <w:marTop w:val="0"/>
      <w:marBottom w:val="0"/>
      <w:divBdr>
        <w:top w:val="none" w:sz="0" w:space="0" w:color="auto"/>
        <w:left w:val="none" w:sz="0" w:space="0" w:color="auto"/>
        <w:bottom w:val="none" w:sz="0" w:space="0" w:color="auto"/>
        <w:right w:val="none" w:sz="0" w:space="0" w:color="auto"/>
      </w:divBdr>
    </w:div>
    <w:div w:id="1071849322">
      <w:bodyDiv w:val="1"/>
      <w:marLeft w:val="0"/>
      <w:marRight w:val="0"/>
      <w:marTop w:val="0"/>
      <w:marBottom w:val="0"/>
      <w:divBdr>
        <w:top w:val="none" w:sz="0" w:space="0" w:color="auto"/>
        <w:left w:val="none" w:sz="0" w:space="0" w:color="auto"/>
        <w:bottom w:val="none" w:sz="0" w:space="0" w:color="auto"/>
        <w:right w:val="none" w:sz="0" w:space="0" w:color="auto"/>
      </w:divBdr>
    </w:div>
    <w:div w:id="1094715471">
      <w:bodyDiv w:val="1"/>
      <w:marLeft w:val="0"/>
      <w:marRight w:val="0"/>
      <w:marTop w:val="0"/>
      <w:marBottom w:val="0"/>
      <w:divBdr>
        <w:top w:val="none" w:sz="0" w:space="0" w:color="auto"/>
        <w:left w:val="none" w:sz="0" w:space="0" w:color="auto"/>
        <w:bottom w:val="none" w:sz="0" w:space="0" w:color="auto"/>
        <w:right w:val="none" w:sz="0" w:space="0" w:color="auto"/>
      </w:divBdr>
    </w:div>
    <w:div w:id="1100415492">
      <w:bodyDiv w:val="1"/>
      <w:marLeft w:val="0"/>
      <w:marRight w:val="0"/>
      <w:marTop w:val="0"/>
      <w:marBottom w:val="0"/>
      <w:divBdr>
        <w:top w:val="none" w:sz="0" w:space="0" w:color="auto"/>
        <w:left w:val="none" w:sz="0" w:space="0" w:color="auto"/>
        <w:bottom w:val="none" w:sz="0" w:space="0" w:color="auto"/>
        <w:right w:val="none" w:sz="0" w:space="0" w:color="auto"/>
      </w:divBdr>
    </w:div>
    <w:div w:id="1144200149">
      <w:bodyDiv w:val="1"/>
      <w:marLeft w:val="0"/>
      <w:marRight w:val="0"/>
      <w:marTop w:val="0"/>
      <w:marBottom w:val="0"/>
      <w:divBdr>
        <w:top w:val="none" w:sz="0" w:space="0" w:color="auto"/>
        <w:left w:val="none" w:sz="0" w:space="0" w:color="auto"/>
        <w:bottom w:val="none" w:sz="0" w:space="0" w:color="auto"/>
        <w:right w:val="none" w:sz="0" w:space="0" w:color="auto"/>
      </w:divBdr>
    </w:div>
    <w:div w:id="1162626910">
      <w:bodyDiv w:val="1"/>
      <w:marLeft w:val="0"/>
      <w:marRight w:val="0"/>
      <w:marTop w:val="0"/>
      <w:marBottom w:val="0"/>
      <w:divBdr>
        <w:top w:val="none" w:sz="0" w:space="0" w:color="auto"/>
        <w:left w:val="none" w:sz="0" w:space="0" w:color="auto"/>
        <w:bottom w:val="none" w:sz="0" w:space="0" w:color="auto"/>
        <w:right w:val="none" w:sz="0" w:space="0" w:color="auto"/>
      </w:divBdr>
    </w:div>
    <w:div w:id="1168060078">
      <w:bodyDiv w:val="1"/>
      <w:marLeft w:val="0"/>
      <w:marRight w:val="0"/>
      <w:marTop w:val="0"/>
      <w:marBottom w:val="0"/>
      <w:divBdr>
        <w:top w:val="none" w:sz="0" w:space="0" w:color="auto"/>
        <w:left w:val="none" w:sz="0" w:space="0" w:color="auto"/>
        <w:bottom w:val="none" w:sz="0" w:space="0" w:color="auto"/>
        <w:right w:val="none" w:sz="0" w:space="0" w:color="auto"/>
      </w:divBdr>
    </w:div>
    <w:div w:id="1185172381">
      <w:bodyDiv w:val="1"/>
      <w:marLeft w:val="0"/>
      <w:marRight w:val="0"/>
      <w:marTop w:val="0"/>
      <w:marBottom w:val="0"/>
      <w:divBdr>
        <w:top w:val="none" w:sz="0" w:space="0" w:color="auto"/>
        <w:left w:val="none" w:sz="0" w:space="0" w:color="auto"/>
        <w:bottom w:val="none" w:sz="0" w:space="0" w:color="auto"/>
        <w:right w:val="none" w:sz="0" w:space="0" w:color="auto"/>
      </w:divBdr>
    </w:div>
    <w:div w:id="1200627616">
      <w:bodyDiv w:val="1"/>
      <w:marLeft w:val="0"/>
      <w:marRight w:val="0"/>
      <w:marTop w:val="0"/>
      <w:marBottom w:val="0"/>
      <w:divBdr>
        <w:top w:val="none" w:sz="0" w:space="0" w:color="auto"/>
        <w:left w:val="none" w:sz="0" w:space="0" w:color="auto"/>
        <w:bottom w:val="none" w:sz="0" w:space="0" w:color="auto"/>
        <w:right w:val="none" w:sz="0" w:space="0" w:color="auto"/>
      </w:divBdr>
    </w:div>
    <w:div w:id="1234467868">
      <w:bodyDiv w:val="1"/>
      <w:marLeft w:val="0"/>
      <w:marRight w:val="0"/>
      <w:marTop w:val="0"/>
      <w:marBottom w:val="0"/>
      <w:divBdr>
        <w:top w:val="none" w:sz="0" w:space="0" w:color="auto"/>
        <w:left w:val="none" w:sz="0" w:space="0" w:color="auto"/>
        <w:bottom w:val="none" w:sz="0" w:space="0" w:color="auto"/>
        <w:right w:val="none" w:sz="0" w:space="0" w:color="auto"/>
      </w:divBdr>
    </w:div>
    <w:div w:id="1257790804">
      <w:bodyDiv w:val="1"/>
      <w:marLeft w:val="0"/>
      <w:marRight w:val="0"/>
      <w:marTop w:val="0"/>
      <w:marBottom w:val="0"/>
      <w:divBdr>
        <w:top w:val="none" w:sz="0" w:space="0" w:color="auto"/>
        <w:left w:val="none" w:sz="0" w:space="0" w:color="auto"/>
        <w:bottom w:val="none" w:sz="0" w:space="0" w:color="auto"/>
        <w:right w:val="none" w:sz="0" w:space="0" w:color="auto"/>
      </w:divBdr>
    </w:div>
    <w:div w:id="1265455288">
      <w:bodyDiv w:val="1"/>
      <w:marLeft w:val="0"/>
      <w:marRight w:val="0"/>
      <w:marTop w:val="0"/>
      <w:marBottom w:val="0"/>
      <w:divBdr>
        <w:top w:val="none" w:sz="0" w:space="0" w:color="auto"/>
        <w:left w:val="none" w:sz="0" w:space="0" w:color="auto"/>
        <w:bottom w:val="none" w:sz="0" w:space="0" w:color="auto"/>
        <w:right w:val="none" w:sz="0" w:space="0" w:color="auto"/>
      </w:divBdr>
    </w:div>
    <w:div w:id="1303390599">
      <w:bodyDiv w:val="1"/>
      <w:marLeft w:val="0"/>
      <w:marRight w:val="0"/>
      <w:marTop w:val="0"/>
      <w:marBottom w:val="0"/>
      <w:divBdr>
        <w:top w:val="none" w:sz="0" w:space="0" w:color="auto"/>
        <w:left w:val="none" w:sz="0" w:space="0" w:color="auto"/>
        <w:bottom w:val="none" w:sz="0" w:space="0" w:color="auto"/>
        <w:right w:val="none" w:sz="0" w:space="0" w:color="auto"/>
      </w:divBdr>
    </w:div>
    <w:div w:id="1320112943">
      <w:bodyDiv w:val="1"/>
      <w:marLeft w:val="0"/>
      <w:marRight w:val="0"/>
      <w:marTop w:val="0"/>
      <w:marBottom w:val="0"/>
      <w:divBdr>
        <w:top w:val="none" w:sz="0" w:space="0" w:color="auto"/>
        <w:left w:val="none" w:sz="0" w:space="0" w:color="auto"/>
        <w:bottom w:val="none" w:sz="0" w:space="0" w:color="auto"/>
        <w:right w:val="none" w:sz="0" w:space="0" w:color="auto"/>
      </w:divBdr>
    </w:div>
    <w:div w:id="1377510062">
      <w:bodyDiv w:val="1"/>
      <w:marLeft w:val="0"/>
      <w:marRight w:val="0"/>
      <w:marTop w:val="0"/>
      <w:marBottom w:val="0"/>
      <w:divBdr>
        <w:top w:val="none" w:sz="0" w:space="0" w:color="auto"/>
        <w:left w:val="none" w:sz="0" w:space="0" w:color="auto"/>
        <w:bottom w:val="none" w:sz="0" w:space="0" w:color="auto"/>
        <w:right w:val="none" w:sz="0" w:space="0" w:color="auto"/>
      </w:divBdr>
    </w:div>
    <w:div w:id="1390226202">
      <w:bodyDiv w:val="1"/>
      <w:marLeft w:val="0"/>
      <w:marRight w:val="0"/>
      <w:marTop w:val="0"/>
      <w:marBottom w:val="0"/>
      <w:divBdr>
        <w:top w:val="none" w:sz="0" w:space="0" w:color="auto"/>
        <w:left w:val="none" w:sz="0" w:space="0" w:color="auto"/>
        <w:bottom w:val="none" w:sz="0" w:space="0" w:color="auto"/>
        <w:right w:val="none" w:sz="0" w:space="0" w:color="auto"/>
      </w:divBdr>
    </w:div>
    <w:div w:id="1409576272">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57411187">
      <w:bodyDiv w:val="1"/>
      <w:marLeft w:val="0"/>
      <w:marRight w:val="0"/>
      <w:marTop w:val="0"/>
      <w:marBottom w:val="0"/>
      <w:divBdr>
        <w:top w:val="none" w:sz="0" w:space="0" w:color="auto"/>
        <w:left w:val="none" w:sz="0" w:space="0" w:color="auto"/>
        <w:bottom w:val="none" w:sz="0" w:space="0" w:color="auto"/>
        <w:right w:val="none" w:sz="0" w:space="0" w:color="auto"/>
      </w:divBdr>
    </w:div>
    <w:div w:id="1476875406">
      <w:bodyDiv w:val="1"/>
      <w:marLeft w:val="0"/>
      <w:marRight w:val="0"/>
      <w:marTop w:val="0"/>
      <w:marBottom w:val="0"/>
      <w:divBdr>
        <w:top w:val="none" w:sz="0" w:space="0" w:color="auto"/>
        <w:left w:val="none" w:sz="0" w:space="0" w:color="auto"/>
        <w:bottom w:val="none" w:sz="0" w:space="0" w:color="auto"/>
        <w:right w:val="none" w:sz="0" w:space="0" w:color="auto"/>
      </w:divBdr>
    </w:div>
    <w:div w:id="1515269990">
      <w:bodyDiv w:val="1"/>
      <w:marLeft w:val="0"/>
      <w:marRight w:val="0"/>
      <w:marTop w:val="0"/>
      <w:marBottom w:val="0"/>
      <w:divBdr>
        <w:top w:val="none" w:sz="0" w:space="0" w:color="auto"/>
        <w:left w:val="none" w:sz="0" w:space="0" w:color="auto"/>
        <w:bottom w:val="none" w:sz="0" w:space="0" w:color="auto"/>
        <w:right w:val="none" w:sz="0" w:space="0" w:color="auto"/>
      </w:divBdr>
    </w:div>
    <w:div w:id="1525630180">
      <w:bodyDiv w:val="1"/>
      <w:marLeft w:val="0"/>
      <w:marRight w:val="0"/>
      <w:marTop w:val="0"/>
      <w:marBottom w:val="0"/>
      <w:divBdr>
        <w:top w:val="none" w:sz="0" w:space="0" w:color="auto"/>
        <w:left w:val="none" w:sz="0" w:space="0" w:color="auto"/>
        <w:bottom w:val="none" w:sz="0" w:space="0" w:color="auto"/>
        <w:right w:val="none" w:sz="0" w:space="0" w:color="auto"/>
      </w:divBdr>
    </w:div>
    <w:div w:id="1542942493">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0769742">
      <w:bodyDiv w:val="1"/>
      <w:marLeft w:val="0"/>
      <w:marRight w:val="0"/>
      <w:marTop w:val="0"/>
      <w:marBottom w:val="0"/>
      <w:divBdr>
        <w:top w:val="none" w:sz="0" w:space="0" w:color="auto"/>
        <w:left w:val="none" w:sz="0" w:space="0" w:color="auto"/>
        <w:bottom w:val="none" w:sz="0" w:space="0" w:color="auto"/>
        <w:right w:val="none" w:sz="0" w:space="0" w:color="auto"/>
      </w:divBdr>
    </w:div>
    <w:div w:id="1607469662">
      <w:bodyDiv w:val="1"/>
      <w:marLeft w:val="0"/>
      <w:marRight w:val="0"/>
      <w:marTop w:val="0"/>
      <w:marBottom w:val="0"/>
      <w:divBdr>
        <w:top w:val="none" w:sz="0" w:space="0" w:color="auto"/>
        <w:left w:val="none" w:sz="0" w:space="0" w:color="auto"/>
        <w:bottom w:val="none" w:sz="0" w:space="0" w:color="auto"/>
        <w:right w:val="none" w:sz="0" w:space="0" w:color="auto"/>
      </w:divBdr>
    </w:div>
    <w:div w:id="1631858944">
      <w:bodyDiv w:val="1"/>
      <w:marLeft w:val="0"/>
      <w:marRight w:val="0"/>
      <w:marTop w:val="0"/>
      <w:marBottom w:val="0"/>
      <w:divBdr>
        <w:top w:val="none" w:sz="0" w:space="0" w:color="auto"/>
        <w:left w:val="none" w:sz="0" w:space="0" w:color="auto"/>
        <w:bottom w:val="none" w:sz="0" w:space="0" w:color="auto"/>
        <w:right w:val="none" w:sz="0" w:space="0" w:color="auto"/>
      </w:divBdr>
    </w:div>
    <w:div w:id="1649743551">
      <w:bodyDiv w:val="1"/>
      <w:marLeft w:val="0"/>
      <w:marRight w:val="0"/>
      <w:marTop w:val="0"/>
      <w:marBottom w:val="0"/>
      <w:divBdr>
        <w:top w:val="none" w:sz="0" w:space="0" w:color="auto"/>
        <w:left w:val="none" w:sz="0" w:space="0" w:color="auto"/>
        <w:bottom w:val="none" w:sz="0" w:space="0" w:color="auto"/>
        <w:right w:val="none" w:sz="0" w:space="0" w:color="auto"/>
      </w:divBdr>
    </w:div>
    <w:div w:id="1661151740">
      <w:bodyDiv w:val="1"/>
      <w:marLeft w:val="0"/>
      <w:marRight w:val="0"/>
      <w:marTop w:val="0"/>
      <w:marBottom w:val="0"/>
      <w:divBdr>
        <w:top w:val="none" w:sz="0" w:space="0" w:color="auto"/>
        <w:left w:val="none" w:sz="0" w:space="0" w:color="auto"/>
        <w:bottom w:val="none" w:sz="0" w:space="0" w:color="auto"/>
        <w:right w:val="none" w:sz="0" w:space="0" w:color="auto"/>
      </w:divBdr>
    </w:div>
    <w:div w:id="1700738893">
      <w:bodyDiv w:val="1"/>
      <w:marLeft w:val="0"/>
      <w:marRight w:val="0"/>
      <w:marTop w:val="0"/>
      <w:marBottom w:val="0"/>
      <w:divBdr>
        <w:top w:val="none" w:sz="0" w:space="0" w:color="auto"/>
        <w:left w:val="none" w:sz="0" w:space="0" w:color="auto"/>
        <w:bottom w:val="none" w:sz="0" w:space="0" w:color="auto"/>
        <w:right w:val="none" w:sz="0" w:space="0" w:color="auto"/>
      </w:divBdr>
    </w:div>
    <w:div w:id="1747528531">
      <w:bodyDiv w:val="1"/>
      <w:marLeft w:val="0"/>
      <w:marRight w:val="0"/>
      <w:marTop w:val="0"/>
      <w:marBottom w:val="0"/>
      <w:divBdr>
        <w:top w:val="none" w:sz="0" w:space="0" w:color="auto"/>
        <w:left w:val="none" w:sz="0" w:space="0" w:color="auto"/>
        <w:bottom w:val="none" w:sz="0" w:space="0" w:color="auto"/>
        <w:right w:val="none" w:sz="0" w:space="0" w:color="auto"/>
      </w:divBdr>
    </w:div>
    <w:div w:id="1831090690">
      <w:bodyDiv w:val="1"/>
      <w:marLeft w:val="0"/>
      <w:marRight w:val="0"/>
      <w:marTop w:val="0"/>
      <w:marBottom w:val="0"/>
      <w:divBdr>
        <w:top w:val="none" w:sz="0" w:space="0" w:color="auto"/>
        <w:left w:val="none" w:sz="0" w:space="0" w:color="auto"/>
        <w:bottom w:val="none" w:sz="0" w:space="0" w:color="auto"/>
        <w:right w:val="none" w:sz="0" w:space="0" w:color="auto"/>
      </w:divBdr>
    </w:div>
    <w:div w:id="183652742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72510845">
      <w:bodyDiv w:val="1"/>
      <w:marLeft w:val="0"/>
      <w:marRight w:val="0"/>
      <w:marTop w:val="0"/>
      <w:marBottom w:val="0"/>
      <w:divBdr>
        <w:top w:val="none" w:sz="0" w:space="0" w:color="auto"/>
        <w:left w:val="none" w:sz="0" w:space="0" w:color="auto"/>
        <w:bottom w:val="none" w:sz="0" w:space="0" w:color="auto"/>
        <w:right w:val="none" w:sz="0" w:space="0" w:color="auto"/>
      </w:divBdr>
    </w:div>
    <w:div w:id="1974751777">
      <w:bodyDiv w:val="1"/>
      <w:marLeft w:val="0"/>
      <w:marRight w:val="0"/>
      <w:marTop w:val="0"/>
      <w:marBottom w:val="0"/>
      <w:divBdr>
        <w:top w:val="none" w:sz="0" w:space="0" w:color="auto"/>
        <w:left w:val="none" w:sz="0" w:space="0" w:color="auto"/>
        <w:bottom w:val="none" w:sz="0" w:space="0" w:color="auto"/>
        <w:right w:val="none" w:sz="0" w:space="0" w:color="auto"/>
      </w:divBdr>
    </w:div>
    <w:div w:id="1977563494">
      <w:bodyDiv w:val="1"/>
      <w:marLeft w:val="0"/>
      <w:marRight w:val="0"/>
      <w:marTop w:val="0"/>
      <w:marBottom w:val="0"/>
      <w:divBdr>
        <w:top w:val="none" w:sz="0" w:space="0" w:color="auto"/>
        <w:left w:val="none" w:sz="0" w:space="0" w:color="auto"/>
        <w:bottom w:val="none" w:sz="0" w:space="0" w:color="auto"/>
        <w:right w:val="none" w:sz="0" w:space="0" w:color="auto"/>
      </w:divBdr>
    </w:div>
    <w:div w:id="2003392575">
      <w:bodyDiv w:val="1"/>
      <w:marLeft w:val="0"/>
      <w:marRight w:val="0"/>
      <w:marTop w:val="0"/>
      <w:marBottom w:val="0"/>
      <w:divBdr>
        <w:top w:val="none" w:sz="0" w:space="0" w:color="auto"/>
        <w:left w:val="none" w:sz="0" w:space="0" w:color="auto"/>
        <w:bottom w:val="none" w:sz="0" w:space="0" w:color="auto"/>
        <w:right w:val="none" w:sz="0" w:space="0" w:color="auto"/>
      </w:divBdr>
    </w:div>
    <w:div w:id="2020501132">
      <w:bodyDiv w:val="1"/>
      <w:marLeft w:val="0"/>
      <w:marRight w:val="0"/>
      <w:marTop w:val="0"/>
      <w:marBottom w:val="0"/>
      <w:divBdr>
        <w:top w:val="none" w:sz="0" w:space="0" w:color="auto"/>
        <w:left w:val="none" w:sz="0" w:space="0" w:color="auto"/>
        <w:bottom w:val="none" w:sz="0" w:space="0" w:color="auto"/>
        <w:right w:val="none" w:sz="0" w:space="0" w:color="auto"/>
      </w:divBdr>
    </w:div>
    <w:div w:id="2023697173">
      <w:bodyDiv w:val="1"/>
      <w:marLeft w:val="0"/>
      <w:marRight w:val="0"/>
      <w:marTop w:val="0"/>
      <w:marBottom w:val="0"/>
      <w:divBdr>
        <w:top w:val="none" w:sz="0" w:space="0" w:color="auto"/>
        <w:left w:val="none" w:sz="0" w:space="0" w:color="auto"/>
        <w:bottom w:val="none" w:sz="0" w:space="0" w:color="auto"/>
        <w:right w:val="none" w:sz="0" w:space="0" w:color="auto"/>
      </w:divBdr>
    </w:div>
    <w:div w:id="2050104938">
      <w:bodyDiv w:val="1"/>
      <w:marLeft w:val="0"/>
      <w:marRight w:val="0"/>
      <w:marTop w:val="0"/>
      <w:marBottom w:val="0"/>
      <w:divBdr>
        <w:top w:val="none" w:sz="0" w:space="0" w:color="auto"/>
        <w:left w:val="none" w:sz="0" w:space="0" w:color="auto"/>
        <w:bottom w:val="none" w:sz="0" w:space="0" w:color="auto"/>
        <w:right w:val="none" w:sz="0" w:space="0" w:color="auto"/>
      </w:divBdr>
    </w:div>
    <w:div w:id="2051491933">
      <w:bodyDiv w:val="1"/>
      <w:marLeft w:val="0"/>
      <w:marRight w:val="0"/>
      <w:marTop w:val="0"/>
      <w:marBottom w:val="0"/>
      <w:divBdr>
        <w:top w:val="none" w:sz="0" w:space="0" w:color="auto"/>
        <w:left w:val="none" w:sz="0" w:space="0" w:color="auto"/>
        <w:bottom w:val="none" w:sz="0" w:space="0" w:color="auto"/>
        <w:right w:val="none" w:sz="0" w:space="0" w:color="auto"/>
      </w:divBdr>
    </w:div>
    <w:div w:id="2084910604">
      <w:bodyDiv w:val="1"/>
      <w:marLeft w:val="0"/>
      <w:marRight w:val="0"/>
      <w:marTop w:val="0"/>
      <w:marBottom w:val="0"/>
      <w:divBdr>
        <w:top w:val="none" w:sz="0" w:space="0" w:color="auto"/>
        <w:left w:val="none" w:sz="0" w:space="0" w:color="auto"/>
        <w:bottom w:val="none" w:sz="0" w:space="0" w:color="auto"/>
        <w:right w:val="none" w:sz="0" w:space="0" w:color="auto"/>
      </w:divBdr>
    </w:div>
    <w:div w:id="2092003278">
      <w:bodyDiv w:val="1"/>
      <w:marLeft w:val="0"/>
      <w:marRight w:val="0"/>
      <w:marTop w:val="0"/>
      <w:marBottom w:val="0"/>
      <w:divBdr>
        <w:top w:val="none" w:sz="0" w:space="0" w:color="auto"/>
        <w:left w:val="none" w:sz="0" w:space="0" w:color="auto"/>
        <w:bottom w:val="none" w:sz="0" w:space="0" w:color="auto"/>
        <w:right w:val="none" w:sz="0" w:space="0" w:color="auto"/>
      </w:divBdr>
    </w:div>
    <w:div w:id="20965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five-year-spectrum-outlook" TargetMode="External"/><Relationship Id="rId39" Type="http://schemas.openxmlformats.org/officeDocument/2006/relationships/hyperlink" Target="https://www.acma.gov.au/publication-submissions" TargetMode="External"/><Relationship Id="rId21" Type="http://schemas.openxmlformats.org/officeDocument/2006/relationships/footer" Target="footer4.xml"/><Relationship Id="rId34" Type="http://schemas.openxmlformats.org/officeDocument/2006/relationships/footer" Target="footer8.xml"/><Relationship Id="rId42" Type="http://schemas.openxmlformats.org/officeDocument/2006/relationships/image" Target="media/image5.png"/><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communications.gov.au/file/34821/download?token=7jbYg1eg" TargetMode="External"/><Relationship Id="rId11" Type="http://schemas.openxmlformats.org/officeDocument/2006/relationships/hyperlink" Target="http://i.creativecommons.org/l/by/3.0/88x31.png" TargetMode="External"/><Relationship Id="rId24" Type="http://schemas.openxmlformats.org/officeDocument/2006/relationships/hyperlink" Target="https://www.communications.gov.au/documents/spectrum-pricing-review" TargetMode="External"/><Relationship Id="rId32" Type="http://schemas.openxmlformats.org/officeDocument/2006/relationships/header" Target="header8.xml"/><Relationship Id="rId37" Type="http://schemas.openxmlformats.org/officeDocument/2006/relationships/hyperlink" Target="https://www.acma.gov.au/have-your-say" TargetMode="External"/><Relationship Id="rId40" Type="http://schemas.openxmlformats.org/officeDocument/2006/relationships/hyperlink" Target="https://www.acma.gov.au/privacy-polic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communications.gov.au/file/34821/download?token=7jbYg1eg" TargetMode="External"/><Relationship Id="rId36" Type="http://schemas.openxmlformats.org/officeDocument/2006/relationships/hyperlink" Target="https://www.acma.gov.au/publications/2019-09/publication/rali-lm8-land-mobile-service" TargetMode="External"/><Relationship Id="rId49"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yperlink" Target="https://www.acma.gov.au/fees-apparatus-licenc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9-09/instruction/rali-lm8-land-mobile-service" TargetMode="External"/><Relationship Id="rId30" Type="http://schemas.openxmlformats.org/officeDocument/2006/relationships/hyperlink" Target="https://www.acma.gov.au/five-year-spectrum-outlook" TargetMode="External"/><Relationship Id="rId35" Type="http://schemas.openxmlformats.org/officeDocument/2006/relationships/hyperlink" Target="https://www.industry.gov.au/data-and-publications/australian-civil-space-strategy-2019-2028" TargetMode="External"/><Relationship Id="rId43" Type="http://schemas.openxmlformats.org/officeDocument/2006/relationships/hyperlink" Target="https://www.acma.gov.au/publications/2019-09/publication/rali-lm8-land-mobile-service" TargetMode="External"/><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0-02/implementation-spectrum-pricing-review-consultation-072020" TargetMode="External"/><Relationship Id="rId33" Type="http://schemas.openxmlformats.org/officeDocument/2006/relationships/footer" Target="footer7.xml"/><Relationship Id="rId38" Type="http://schemas.openxmlformats.org/officeDocument/2006/relationships/hyperlink" Target="mailto:spectrumpricing@acma.gov.au" TargetMode="Externa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fees-apparatus-licences" TargetMode="External"/><Relationship Id="rId1" Type="http://schemas.openxmlformats.org/officeDocument/2006/relationships/hyperlink" Target="https://www.abs.gov.au/statistics/economy/price-indexes-and-inflation/consumer-price-index-australia/jun-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596EF1E1B53D4DB650581373C5AE0B" ma:contentTypeVersion="1" ma:contentTypeDescription="Create a new document." ma:contentTypeScope="" ma:versionID="256d86c73516b70f2414ca0f6bda121f">
  <xsd:schema xmlns:xsd="http://www.w3.org/2001/XMLSchema" xmlns:xs="http://www.w3.org/2001/XMLSchema" xmlns:p="http://schemas.microsoft.com/office/2006/metadata/properties" xmlns:ns2="ada5df43-bbd8-4643-b265-b63d63fe5e92" targetNamespace="http://schemas.microsoft.com/office/2006/metadata/properties" ma:root="true" ma:fieldsID="015fdb3ca35326a46baa41eb325e1bf6" ns2:_="">
    <xsd:import namespace="ada5df43-bbd8-4643-b265-b63d63fe5e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5df43-bbd8-4643-b265-b63d63fe5e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da5df43-bbd8-4643-b265-b63d63fe5e92">SP7UQ5V26J4T-15-78175</_dlc_DocId>
    <_dlc_DocIdUrl xmlns="ada5df43-bbd8-4643-b265-b63d63fe5e92">
      <Url>https://corporateapps.internal.pmc.gov.au/sites/OBPR/RIA/_layouts/15/DocIdRedir.aspx?ID=SP7UQ5V26J4T-15-78175</Url>
      <Description>SP7UQ5V26J4T-15-78175</Description>
    </_dlc_DocIdUrl>
  </documentManagement>
</p:properties>
</file>

<file path=customXml/itemProps1.xml><?xml version="1.0" encoding="utf-8"?>
<ds:datastoreItem xmlns:ds="http://schemas.openxmlformats.org/officeDocument/2006/customXml" ds:itemID="{04EEA56F-516C-48FA-A4E1-674D55760979}">
  <ds:schemaRefs>
    <ds:schemaRef ds:uri="http://schemas.openxmlformats.org/officeDocument/2006/bibliography"/>
  </ds:schemaRefs>
</ds:datastoreItem>
</file>

<file path=customXml/itemProps2.xml><?xml version="1.0" encoding="utf-8"?>
<ds:datastoreItem xmlns:ds="http://schemas.openxmlformats.org/officeDocument/2006/customXml" ds:itemID="{11036422-7A5B-4543-A42D-22DC18025007}"/>
</file>

<file path=customXml/itemProps3.xml><?xml version="1.0" encoding="utf-8"?>
<ds:datastoreItem xmlns:ds="http://schemas.openxmlformats.org/officeDocument/2006/customXml" ds:itemID="{5326E020-2262-460C-B52E-5F68576F4224}"/>
</file>

<file path=customXml/itemProps4.xml><?xml version="1.0" encoding="utf-8"?>
<ds:datastoreItem xmlns:ds="http://schemas.openxmlformats.org/officeDocument/2006/customXml" ds:itemID="{14F86FB7-E7F7-4F7A-9542-86B24465431F}"/>
</file>

<file path=customXml/itemProps5.xml><?xml version="1.0" encoding="utf-8"?>
<ds:datastoreItem xmlns:ds="http://schemas.openxmlformats.org/officeDocument/2006/customXml" ds:itemID="{7E79EB8D-9277-418C-B3DB-3E144D3CDD99}"/>
</file>

<file path=docProps/app.xml><?xml version="1.0" encoding="utf-8"?>
<Properties xmlns="http://schemas.openxmlformats.org/officeDocument/2006/extended-properties" xmlns:vt="http://schemas.openxmlformats.org/officeDocument/2006/docPropsVTypes">
  <Template>Normal</Template>
  <TotalTime>0</TotalTime>
  <Pages>33</Pages>
  <Words>10729</Words>
  <Characters>61159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71745</CharactersWithSpaces>
  <SharedDoc>false</SharedDoc>
  <HyperlinkBase/>
  <HLinks>
    <vt:vector size="294" baseType="variant">
      <vt:variant>
        <vt:i4>6488127</vt:i4>
      </vt:variant>
      <vt:variant>
        <vt:i4>261</vt:i4>
      </vt:variant>
      <vt:variant>
        <vt:i4>0</vt:i4>
      </vt:variant>
      <vt:variant>
        <vt:i4>5</vt:i4>
      </vt:variant>
      <vt:variant>
        <vt:lpwstr>https://www.acma.gov.au/fees-apparatus-licences</vt:lpwstr>
      </vt:variant>
      <vt:variant>
        <vt:lpwstr/>
      </vt:variant>
      <vt:variant>
        <vt:i4>4522052</vt:i4>
      </vt:variant>
      <vt:variant>
        <vt:i4>255</vt:i4>
      </vt:variant>
      <vt:variant>
        <vt:i4>0</vt:i4>
      </vt:variant>
      <vt:variant>
        <vt:i4>5</vt:i4>
      </vt:variant>
      <vt:variant>
        <vt:lpwstr>https://www.acma.gov.au/publications/2019-09/publication/rali-lm8-land-mobile-service</vt:lpwstr>
      </vt:variant>
      <vt:variant>
        <vt:lpwstr/>
      </vt:variant>
      <vt:variant>
        <vt:i4>2097192</vt:i4>
      </vt:variant>
      <vt:variant>
        <vt:i4>240</vt:i4>
      </vt:variant>
      <vt:variant>
        <vt:i4>0</vt:i4>
      </vt:variant>
      <vt:variant>
        <vt:i4>5</vt:i4>
      </vt:variant>
      <vt:variant>
        <vt:lpwstr>https://www.acma.gov.au/privacy-policy</vt:lpwstr>
      </vt:variant>
      <vt:variant>
        <vt:lpwstr/>
      </vt:variant>
      <vt:variant>
        <vt:i4>3473455</vt:i4>
      </vt:variant>
      <vt:variant>
        <vt:i4>237</vt:i4>
      </vt:variant>
      <vt:variant>
        <vt:i4>0</vt:i4>
      </vt:variant>
      <vt:variant>
        <vt:i4>5</vt:i4>
      </vt:variant>
      <vt:variant>
        <vt:lpwstr>https://www.acma.gov.au/publication-submissions</vt:lpwstr>
      </vt:variant>
      <vt:variant>
        <vt:lpwstr/>
      </vt:variant>
      <vt:variant>
        <vt:i4>7602187</vt:i4>
      </vt:variant>
      <vt:variant>
        <vt:i4>234</vt:i4>
      </vt:variant>
      <vt:variant>
        <vt:i4>0</vt:i4>
      </vt:variant>
      <vt:variant>
        <vt:i4>5</vt:i4>
      </vt:variant>
      <vt:variant>
        <vt:lpwstr>mailto:spectrumpricing@acma.gov.au</vt:lpwstr>
      </vt:variant>
      <vt:variant>
        <vt:lpwstr/>
      </vt:variant>
      <vt:variant>
        <vt:i4>5308427</vt:i4>
      </vt:variant>
      <vt:variant>
        <vt:i4>231</vt:i4>
      </vt:variant>
      <vt:variant>
        <vt:i4>0</vt:i4>
      </vt:variant>
      <vt:variant>
        <vt:i4>5</vt:i4>
      </vt:variant>
      <vt:variant>
        <vt:lpwstr>https://www.acma.gov.au/have-your-say</vt:lpwstr>
      </vt:variant>
      <vt:variant>
        <vt:lpwstr/>
      </vt:variant>
      <vt:variant>
        <vt:i4>4522052</vt:i4>
      </vt:variant>
      <vt:variant>
        <vt:i4>228</vt:i4>
      </vt:variant>
      <vt:variant>
        <vt:i4>0</vt:i4>
      </vt:variant>
      <vt:variant>
        <vt:i4>5</vt:i4>
      </vt:variant>
      <vt:variant>
        <vt:lpwstr>https://www.acma.gov.au/publications/2019-09/publication/rali-lm8-land-mobile-service</vt:lpwstr>
      </vt:variant>
      <vt:variant>
        <vt:lpwstr/>
      </vt:variant>
      <vt:variant>
        <vt:i4>6881406</vt:i4>
      </vt:variant>
      <vt:variant>
        <vt:i4>225</vt:i4>
      </vt:variant>
      <vt:variant>
        <vt:i4>0</vt:i4>
      </vt:variant>
      <vt:variant>
        <vt:i4>5</vt:i4>
      </vt:variant>
      <vt:variant>
        <vt:lpwstr>https://www.industry.gov.au/data-and-publications/australian-civil-space-strategy-2019-2028</vt:lpwstr>
      </vt:variant>
      <vt:variant>
        <vt:lpwstr/>
      </vt:variant>
      <vt:variant>
        <vt:i4>4128816</vt:i4>
      </vt:variant>
      <vt:variant>
        <vt:i4>222</vt:i4>
      </vt:variant>
      <vt:variant>
        <vt:i4>0</vt:i4>
      </vt:variant>
      <vt:variant>
        <vt:i4>5</vt:i4>
      </vt:variant>
      <vt:variant>
        <vt:lpwstr>https://www.acma.gov.au/five-year-spectrum-outlook</vt:lpwstr>
      </vt:variant>
      <vt:variant>
        <vt:lpwstr/>
      </vt:variant>
      <vt:variant>
        <vt:i4>1376270</vt:i4>
      </vt:variant>
      <vt:variant>
        <vt:i4>219</vt:i4>
      </vt:variant>
      <vt:variant>
        <vt:i4>0</vt:i4>
      </vt:variant>
      <vt:variant>
        <vt:i4>5</vt:i4>
      </vt:variant>
      <vt:variant>
        <vt:lpwstr>https://www.communications.gov.au/file/34821/download?token=7jbYg1eg</vt:lpwstr>
      </vt:variant>
      <vt:variant>
        <vt:lpwstr/>
      </vt:variant>
      <vt:variant>
        <vt:i4>1376270</vt:i4>
      </vt:variant>
      <vt:variant>
        <vt:i4>216</vt:i4>
      </vt:variant>
      <vt:variant>
        <vt:i4>0</vt:i4>
      </vt:variant>
      <vt:variant>
        <vt:i4>5</vt:i4>
      </vt:variant>
      <vt:variant>
        <vt:lpwstr>https://www.communications.gov.au/file/34821/download?token=7jbYg1eg</vt:lpwstr>
      </vt:variant>
      <vt:variant>
        <vt:lpwstr/>
      </vt:variant>
      <vt:variant>
        <vt:i4>5505105</vt:i4>
      </vt:variant>
      <vt:variant>
        <vt:i4>207</vt:i4>
      </vt:variant>
      <vt:variant>
        <vt:i4>0</vt:i4>
      </vt:variant>
      <vt:variant>
        <vt:i4>5</vt:i4>
      </vt:variant>
      <vt:variant>
        <vt:lpwstr>https://www.acma.gov.au/publications/2019-09/instruction/rali-lm8-land-mobile-service</vt:lpwstr>
      </vt:variant>
      <vt:variant>
        <vt:lpwstr/>
      </vt:variant>
      <vt:variant>
        <vt:i4>4128816</vt:i4>
      </vt:variant>
      <vt:variant>
        <vt:i4>192</vt:i4>
      </vt:variant>
      <vt:variant>
        <vt:i4>0</vt:i4>
      </vt:variant>
      <vt:variant>
        <vt:i4>5</vt:i4>
      </vt:variant>
      <vt:variant>
        <vt:lpwstr>https://www.acma.gov.au/five-year-spectrum-outlook</vt:lpwstr>
      </vt:variant>
      <vt:variant>
        <vt:lpwstr/>
      </vt:variant>
      <vt:variant>
        <vt:i4>4784135</vt:i4>
      </vt:variant>
      <vt:variant>
        <vt:i4>186</vt:i4>
      </vt:variant>
      <vt:variant>
        <vt:i4>0</vt:i4>
      </vt:variant>
      <vt:variant>
        <vt:i4>5</vt:i4>
      </vt:variant>
      <vt:variant>
        <vt:lpwstr>https://www.acma.gov.au/consultations/2020-02/implementation-spectrum-pricing-review-consultation-072020</vt:lpwstr>
      </vt:variant>
      <vt:variant>
        <vt:lpwstr/>
      </vt:variant>
      <vt:variant>
        <vt:i4>1376270</vt:i4>
      </vt:variant>
      <vt:variant>
        <vt:i4>183</vt:i4>
      </vt:variant>
      <vt:variant>
        <vt:i4>0</vt:i4>
      </vt:variant>
      <vt:variant>
        <vt:i4>5</vt:i4>
      </vt:variant>
      <vt:variant>
        <vt:lpwstr>https://www.communications.gov.au/file/34821/download?token=7jbYg1eg</vt:lpwstr>
      </vt:variant>
      <vt:variant>
        <vt:lpwstr/>
      </vt:variant>
      <vt:variant>
        <vt:i4>1966136</vt:i4>
      </vt:variant>
      <vt:variant>
        <vt:i4>176</vt:i4>
      </vt:variant>
      <vt:variant>
        <vt:i4>0</vt:i4>
      </vt:variant>
      <vt:variant>
        <vt:i4>5</vt:i4>
      </vt:variant>
      <vt:variant>
        <vt:lpwstr/>
      </vt:variant>
      <vt:variant>
        <vt:lpwstr>_Toc57288573</vt:lpwstr>
      </vt:variant>
      <vt:variant>
        <vt:i4>2031672</vt:i4>
      </vt:variant>
      <vt:variant>
        <vt:i4>170</vt:i4>
      </vt:variant>
      <vt:variant>
        <vt:i4>0</vt:i4>
      </vt:variant>
      <vt:variant>
        <vt:i4>5</vt:i4>
      </vt:variant>
      <vt:variant>
        <vt:lpwstr/>
      </vt:variant>
      <vt:variant>
        <vt:lpwstr>_Toc57288572</vt:lpwstr>
      </vt:variant>
      <vt:variant>
        <vt:i4>1835064</vt:i4>
      </vt:variant>
      <vt:variant>
        <vt:i4>164</vt:i4>
      </vt:variant>
      <vt:variant>
        <vt:i4>0</vt:i4>
      </vt:variant>
      <vt:variant>
        <vt:i4>5</vt:i4>
      </vt:variant>
      <vt:variant>
        <vt:lpwstr/>
      </vt:variant>
      <vt:variant>
        <vt:lpwstr>_Toc57288571</vt:lpwstr>
      </vt:variant>
      <vt:variant>
        <vt:i4>1900600</vt:i4>
      </vt:variant>
      <vt:variant>
        <vt:i4>158</vt:i4>
      </vt:variant>
      <vt:variant>
        <vt:i4>0</vt:i4>
      </vt:variant>
      <vt:variant>
        <vt:i4>5</vt:i4>
      </vt:variant>
      <vt:variant>
        <vt:lpwstr/>
      </vt:variant>
      <vt:variant>
        <vt:lpwstr>_Toc57288570</vt:lpwstr>
      </vt:variant>
      <vt:variant>
        <vt:i4>1310777</vt:i4>
      </vt:variant>
      <vt:variant>
        <vt:i4>152</vt:i4>
      </vt:variant>
      <vt:variant>
        <vt:i4>0</vt:i4>
      </vt:variant>
      <vt:variant>
        <vt:i4>5</vt:i4>
      </vt:variant>
      <vt:variant>
        <vt:lpwstr/>
      </vt:variant>
      <vt:variant>
        <vt:lpwstr>_Toc57288569</vt:lpwstr>
      </vt:variant>
      <vt:variant>
        <vt:i4>1376313</vt:i4>
      </vt:variant>
      <vt:variant>
        <vt:i4>146</vt:i4>
      </vt:variant>
      <vt:variant>
        <vt:i4>0</vt:i4>
      </vt:variant>
      <vt:variant>
        <vt:i4>5</vt:i4>
      </vt:variant>
      <vt:variant>
        <vt:lpwstr/>
      </vt:variant>
      <vt:variant>
        <vt:lpwstr>_Toc57288568</vt:lpwstr>
      </vt:variant>
      <vt:variant>
        <vt:i4>1703993</vt:i4>
      </vt:variant>
      <vt:variant>
        <vt:i4>140</vt:i4>
      </vt:variant>
      <vt:variant>
        <vt:i4>0</vt:i4>
      </vt:variant>
      <vt:variant>
        <vt:i4>5</vt:i4>
      </vt:variant>
      <vt:variant>
        <vt:lpwstr/>
      </vt:variant>
      <vt:variant>
        <vt:lpwstr>_Toc57288567</vt:lpwstr>
      </vt:variant>
      <vt:variant>
        <vt:i4>1769529</vt:i4>
      </vt:variant>
      <vt:variant>
        <vt:i4>134</vt:i4>
      </vt:variant>
      <vt:variant>
        <vt:i4>0</vt:i4>
      </vt:variant>
      <vt:variant>
        <vt:i4>5</vt:i4>
      </vt:variant>
      <vt:variant>
        <vt:lpwstr/>
      </vt:variant>
      <vt:variant>
        <vt:lpwstr>_Toc57288566</vt:lpwstr>
      </vt:variant>
      <vt:variant>
        <vt:i4>1572921</vt:i4>
      </vt:variant>
      <vt:variant>
        <vt:i4>128</vt:i4>
      </vt:variant>
      <vt:variant>
        <vt:i4>0</vt:i4>
      </vt:variant>
      <vt:variant>
        <vt:i4>5</vt:i4>
      </vt:variant>
      <vt:variant>
        <vt:lpwstr/>
      </vt:variant>
      <vt:variant>
        <vt:lpwstr>_Toc57288565</vt:lpwstr>
      </vt:variant>
      <vt:variant>
        <vt:i4>1638457</vt:i4>
      </vt:variant>
      <vt:variant>
        <vt:i4>122</vt:i4>
      </vt:variant>
      <vt:variant>
        <vt:i4>0</vt:i4>
      </vt:variant>
      <vt:variant>
        <vt:i4>5</vt:i4>
      </vt:variant>
      <vt:variant>
        <vt:lpwstr/>
      </vt:variant>
      <vt:variant>
        <vt:lpwstr>_Toc57288564</vt:lpwstr>
      </vt:variant>
      <vt:variant>
        <vt:i4>1966137</vt:i4>
      </vt:variant>
      <vt:variant>
        <vt:i4>116</vt:i4>
      </vt:variant>
      <vt:variant>
        <vt:i4>0</vt:i4>
      </vt:variant>
      <vt:variant>
        <vt:i4>5</vt:i4>
      </vt:variant>
      <vt:variant>
        <vt:lpwstr/>
      </vt:variant>
      <vt:variant>
        <vt:lpwstr>_Toc57288563</vt:lpwstr>
      </vt:variant>
      <vt:variant>
        <vt:i4>2031673</vt:i4>
      </vt:variant>
      <vt:variant>
        <vt:i4>110</vt:i4>
      </vt:variant>
      <vt:variant>
        <vt:i4>0</vt:i4>
      </vt:variant>
      <vt:variant>
        <vt:i4>5</vt:i4>
      </vt:variant>
      <vt:variant>
        <vt:lpwstr/>
      </vt:variant>
      <vt:variant>
        <vt:lpwstr>_Toc57288562</vt:lpwstr>
      </vt:variant>
      <vt:variant>
        <vt:i4>1835065</vt:i4>
      </vt:variant>
      <vt:variant>
        <vt:i4>104</vt:i4>
      </vt:variant>
      <vt:variant>
        <vt:i4>0</vt:i4>
      </vt:variant>
      <vt:variant>
        <vt:i4>5</vt:i4>
      </vt:variant>
      <vt:variant>
        <vt:lpwstr/>
      </vt:variant>
      <vt:variant>
        <vt:lpwstr>_Toc57288561</vt:lpwstr>
      </vt:variant>
      <vt:variant>
        <vt:i4>1900601</vt:i4>
      </vt:variant>
      <vt:variant>
        <vt:i4>98</vt:i4>
      </vt:variant>
      <vt:variant>
        <vt:i4>0</vt:i4>
      </vt:variant>
      <vt:variant>
        <vt:i4>5</vt:i4>
      </vt:variant>
      <vt:variant>
        <vt:lpwstr/>
      </vt:variant>
      <vt:variant>
        <vt:lpwstr>_Toc57288560</vt:lpwstr>
      </vt:variant>
      <vt:variant>
        <vt:i4>1310778</vt:i4>
      </vt:variant>
      <vt:variant>
        <vt:i4>92</vt:i4>
      </vt:variant>
      <vt:variant>
        <vt:i4>0</vt:i4>
      </vt:variant>
      <vt:variant>
        <vt:i4>5</vt:i4>
      </vt:variant>
      <vt:variant>
        <vt:lpwstr/>
      </vt:variant>
      <vt:variant>
        <vt:lpwstr>_Toc57288559</vt:lpwstr>
      </vt:variant>
      <vt:variant>
        <vt:i4>1376314</vt:i4>
      </vt:variant>
      <vt:variant>
        <vt:i4>86</vt:i4>
      </vt:variant>
      <vt:variant>
        <vt:i4>0</vt:i4>
      </vt:variant>
      <vt:variant>
        <vt:i4>5</vt:i4>
      </vt:variant>
      <vt:variant>
        <vt:lpwstr/>
      </vt:variant>
      <vt:variant>
        <vt:lpwstr>_Toc57288558</vt:lpwstr>
      </vt:variant>
      <vt:variant>
        <vt:i4>1703994</vt:i4>
      </vt:variant>
      <vt:variant>
        <vt:i4>80</vt:i4>
      </vt:variant>
      <vt:variant>
        <vt:i4>0</vt:i4>
      </vt:variant>
      <vt:variant>
        <vt:i4>5</vt:i4>
      </vt:variant>
      <vt:variant>
        <vt:lpwstr/>
      </vt:variant>
      <vt:variant>
        <vt:lpwstr>_Toc57288557</vt:lpwstr>
      </vt:variant>
      <vt:variant>
        <vt:i4>1769530</vt:i4>
      </vt:variant>
      <vt:variant>
        <vt:i4>74</vt:i4>
      </vt:variant>
      <vt:variant>
        <vt:i4>0</vt:i4>
      </vt:variant>
      <vt:variant>
        <vt:i4>5</vt:i4>
      </vt:variant>
      <vt:variant>
        <vt:lpwstr/>
      </vt:variant>
      <vt:variant>
        <vt:lpwstr>_Toc57288556</vt:lpwstr>
      </vt:variant>
      <vt:variant>
        <vt:i4>1572922</vt:i4>
      </vt:variant>
      <vt:variant>
        <vt:i4>68</vt:i4>
      </vt:variant>
      <vt:variant>
        <vt:i4>0</vt:i4>
      </vt:variant>
      <vt:variant>
        <vt:i4>5</vt:i4>
      </vt:variant>
      <vt:variant>
        <vt:lpwstr/>
      </vt:variant>
      <vt:variant>
        <vt:lpwstr>_Toc57288555</vt:lpwstr>
      </vt:variant>
      <vt:variant>
        <vt:i4>1638458</vt:i4>
      </vt:variant>
      <vt:variant>
        <vt:i4>62</vt:i4>
      </vt:variant>
      <vt:variant>
        <vt:i4>0</vt:i4>
      </vt:variant>
      <vt:variant>
        <vt:i4>5</vt:i4>
      </vt:variant>
      <vt:variant>
        <vt:lpwstr/>
      </vt:variant>
      <vt:variant>
        <vt:lpwstr>_Toc57288554</vt:lpwstr>
      </vt:variant>
      <vt:variant>
        <vt:i4>1966138</vt:i4>
      </vt:variant>
      <vt:variant>
        <vt:i4>56</vt:i4>
      </vt:variant>
      <vt:variant>
        <vt:i4>0</vt:i4>
      </vt:variant>
      <vt:variant>
        <vt:i4>5</vt:i4>
      </vt:variant>
      <vt:variant>
        <vt:lpwstr/>
      </vt:variant>
      <vt:variant>
        <vt:lpwstr>_Toc57288553</vt:lpwstr>
      </vt:variant>
      <vt:variant>
        <vt:i4>2031674</vt:i4>
      </vt:variant>
      <vt:variant>
        <vt:i4>50</vt:i4>
      </vt:variant>
      <vt:variant>
        <vt:i4>0</vt:i4>
      </vt:variant>
      <vt:variant>
        <vt:i4>5</vt:i4>
      </vt:variant>
      <vt:variant>
        <vt:lpwstr/>
      </vt:variant>
      <vt:variant>
        <vt:lpwstr>_Toc57288552</vt:lpwstr>
      </vt:variant>
      <vt:variant>
        <vt:i4>1835066</vt:i4>
      </vt:variant>
      <vt:variant>
        <vt:i4>44</vt:i4>
      </vt:variant>
      <vt:variant>
        <vt:i4>0</vt:i4>
      </vt:variant>
      <vt:variant>
        <vt:i4>5</vt:i4>
      </vt:variant>
      <vt:variant>
        <vt:lpwstr/>
      </vt:variant>
      <vt:variant>
        <vt:lpwstr>_Toc57288551</vt:lpwstr>
      </vt:variant>
      <vt:variant>
        <vt:i4>1900602</vt:i4>
      </vt:variant>
      <vt:variant>
        <vt:i4>38</vt:i4>
      </vt:variant>
      <vt:variant>
        <vt:i4>0</vt:i4>
      </vt:variant>
      <vt:variant>
        <vt:i4>5</vt:i4>
      </vt:variant>
      <vt:variant>
        <vt:lpwstr/>
      </vt:variant>
      <vt:variant>
        <vt:lpwstr>_Toc57288550</vt:lpwstr>
      </vt:variant>
      <vt:variant>
        <vt:i4>1310779</vt:i4>
      </vt:variant>
      <vt:variant>
        <vt:i4>32</vt:i4>
      </vt:variant>
      <vt:variant>
        <vt:i4>0</vt:i4>
      </vt:variant>
      <vt:variant>
        <vt:i4>5</vt:i4>
      </vt:variant>
      <vt:variant>
        <vt:lpwstr/>
      </vt:variant>
      <vt:variant>
        <vt:lpwstr>_Toc57288549</vt:lpwstr>
      </vt:variant>
      <vt:variant>
        <vt:i4>1376315</vt:i4>
      </vt:variant>
      <vt:variant>
        <vt:i4>26</vt:i4>
      </vt:variant>
      <vt:variant>
        <vt:i4>0</vt:i4>
      </vt:variant>
      <vt:variant>
        <vt:i4>5</vt:i4>
      </vt:variant>
      <vt:variant>
        <vt:lpwstr/>
      </vt:variant>
      <vt:variant>
        <vt:lpwstr>_Toc57288548</vt:lpwstr>
      </vt:variant>
      <vt:variant>
        <vt:i4>1703995</vt:i4>
      </vt:variant>
      <vt:variant>
        <vt:i4>20</vt:i4>
      </vt:variant>
      <vt:variant>
        <vt:i4>0</vt:i4>
      </vt:variant>
      <vt:variant>
        <vt:i4>5</vt:i4>
      </vt:variant>
      <vt:variant>
        <vt:lpwstr/>
      </vt:variant>
      <vt:variant>
        <vt:lpwstr>_Toc57288547</vt:lpwstr>
      </vt:variant>
      <vt:variant>
        <vt:i4>1769531</vt:i4>
      </vt:variant>
      <vt:variant>
        <vt:i4>14</vt:i4>
      </vt:variant>
      <vt:variant>
        <vt:i4>0</vt:i4>
      </vt:variant>
      <vt:variant>
        <vt:i4>5</vt:i4>
      </vt:variant>
      <vt:variant>
        <vt:lpwstr/>
      </vt:variant>
      <vt:variant>
        <vt:lpwstr>_Toc57288546</vt:lpwstr>
      </vt:variant>
      <vt:variant>
        <vt:i4>1572923</vt:i4>
      </vt:variant>
      <vt:variant>
        <vt:i4>8</vt:i4>
      </vt:variant>
      <vt:variant>
        <vt:i4>0</vt:i4>
      </vt:variant>
      <vt:variant>
        <vt:i4>5</vt:i4>
      </vt:variant>
      <vt:variant>
        <vt:lpwstr/>
      </vt:variant>
      <vt:variant>
        <vt:lpwstr>_Toc57288545</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2556027</vt:i4>
      </vt:variant>
      <vt:variant>
        <vt:i4>6</vt:i4>
      </vt:variant>
      <vt:variant>
        <vt:i4>0</vt:i4>
      </vt:variant>
      <vt:variant>
        <vt:i4>5</vt:i4>
      </vt:variant>
      <vt:variant>
        <vt:lpwstr>http://www.acma.gov.au/fees-apparatus-licences</vt:lpwstr>
      </vt:variant>
      <vt:variant>
        <vt:lpwstr/>
      </vt:variant>
      <vt:variant>
        <vt:i4>5570570</vt:i4>
      </vt:variant>
      <vt:variant>
        <vt:i4>3</vt:i4>
      </vt:variant>
      <vt:variant>
        <vt:i4>0</vt:i4>
      </vt:variant>
      <vt:variant>
        <vt:i4>5</vt:i4>
      </vt:variant>
      <vt:variant>
        <vt:lpwstr>https://www.abs.gov.au/statistics/economy/price-indexes-and-inflation/consumer-price-index-australia/jun-2020</vt:lpwstr>
      </vt:variant>
      <vt:variant>
        <vt:lpwstr/>
      </vt:variant>
      <vt:variant>
        <vt:i4>6684679</vt:i4>
      </vt:variant>
      <vt:variant>
        <vt:i4>0</vt:i4>
      </vt:variant>
      <vt:variant>
        <vt:i4>0</vt:i4>
      </vt:variant>
      <vt:variant>
        <vt:i4>5</vt:i4>
      </vt:variant>
      <vt:variant>
        <vt:lpwstr>C:\Users\KLaGalle\AppData\Local\Microsoft\Windows\INetCache\Content.Outlook\HA6LEEWF\www.communications.gov.au\file\34821\download?token=7jbYg1eg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2020-12-15T23:42:00Z</dcterms:created>
  <dcterms:modified xsi:type="dcterms:W3CDTF">2020-12-16T00:37:00Z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6a5bafe9-6974-44e8-ad08-af2b7ec41b19</vt:lpwstr>
  </property>
  <property fmtid="{D5CDD505-2E9C-101B-9397-08002B2CF9AE}" pid="3" name="ContentTypeId">
    <vt:lpwstr>0x010100B8596EF1E1B53D4DB650581373C5AE0B</vt:lpwstr>
  </property>
</Properties>
</file>