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0.xml" ContentType="application/vnd.openxmlformats-officedocument.wordprocessingml.header+xml"/>
  <Override PartName="/word/footer1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9.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BDC87A" w14:textId="02F9105D" w:rsidR="00F06E14" w:rsidRPr="00046DA5" w:rsidRDefault="00B8198D" w:rsidP="00A51D1A">
      <w:pPr>
        <w:pStyle w:val="Reporttitle"/>
      </w:pPr>
      <w:r w:rsidRPr="00046DA5">
        <w:t>Impl</w:t>
      </w:r>
      <w:r w:rsidR="00B42D0E" w:rsidRPr="00046DA5">
        <w:t>e</w:t>
      </w:r>
      <w:r w:rsidRPr="00046DA5">
        <w:t>men</w:t>
      </w:r>
      <w:r w:rsidR="00B42D0E" w:rsidRPr="00046DA5">
        <w:t xml:space="preserve">tation of the Spectrum </w:t>
      </w:r>
      <w:r w:rsidR="006553ED" w:rsidRPr="00046DA5">
        <w:t>Pricing </w:t>
      </w:r>
      <w:r w:rsidR="00B42D0E" w:rsidRPr="00046DA5">
        <w:t>Review</w:t>
      </w:r>
    </w:p>
    <w:p w14:paraId="25C0C90A" w14:textId="27F567F3" w:rsidR="00F06E14" w:rsidRPr="00046DA5" w:rsidRDefault="00A40218" w:rsidP="00F06E14">
      <w:pPr>
        <w:pStyle w:val="Reportsubtitle"/>
      </w:pPr>
      <w:r w:rsidRPr="00046DA5">
        <w:t xml:space="preserve">Proposed </w:t>
      </w:r>
      <w:r w:rsidR="002D1361" w:rsidRPr="00046DA5">
        <w:t xml:space="preserve">guidelines and focus areas </w:t>
      </w:r>
      <w:r w:rsidR="006553ED" w:rsidRPr="00046DA5">
        <w:t>for </w:t>
      </w:r>
      <w:r w:rsidR="008C3A9C" w:rsidRPr="00046DA5">
        <w:t>change</w:t>
      </w:r>
    </w:p>
    <w:p w14:paraId="6FED3A81" w14:textId="2E839018" w:rsidR="00C97736" w:rsidRPr="00046DA5" w:rsidRDefault="00A4414E" w:rsidP="00EC2B68">
      <w:pPr>
        <w:pStyle w:val="Reportdate"/>
        <w:spacing w:after="720"/>
        <w:sectPr w:rsidR="00C97736" w:rsidRPr="00046DA5" w:rsidSect="0021426C">
          <w:headerReference w:type="default" r:id="rId8"/>
          <w:footerReference w:type="default" r:id="rId9"/>
          <w:headerReference w:type="first" r:id="rId10"/>
          <w:pgSz w:w="11906" w:h="16838" w:code="9"/>
          <w:pgMar w:top="3924" w:right="992" w:bottom="1440" w:left="1134" w:header="709" w:footer="454" w:gutter="0"/>
          <w:cols w:space="708"/>
          <w:docGrid w:linePitch="360"/>
        </w:sectPr>
      </w:pPr>
      <w:r>
        <w:t>March</w:t>
      </w:r>
      <w:r w:rsidRPr="00046DA5">
        <w:t xml:space="preserve"> </w:t>
      </w:r>
      <w:r w:rsidR="00BD4421" w:rsidRPr="00046DA5">
        <w:t>20</w:t>
      </w:r>
      <w:r w:rsidR="005F2281" w:rsidRPr="00046DA5">
        <w:t>20</w:t>
      </w:r>
    </w:p>
    <w:p w14:paraId="7AEA57B4" w14:textId="77777777" w:rsidR="0005011A" w:rsidRPr="00046DA5" w:rsidRDefault="0005011A" w:rsidP="00FC07B9">
      <w:pPr>
        <w:pStyle w:val="ACMACorporateAddressHeader"/>
      </w:pPr>
      <w:r w:rsidRPr="00046DA5">
        <w:lastRenderedPageBreak/>
        <w:t>Canberra</w:t>
      </w:r>
    </w:p>
    <w:p w14:paraId="0B338383" w14:textId="77777777" w:rsidR="0005011A" w:rsidRPr="00046DA5" w:rsidRDefault="0005011A" w:rsidP="00FC07B9">
      <w:pPr>
        <w:pStyle w:val="ACMACorporateAddresses"/>
      </w:pPr>
      <w:r w:rsidRPr="00046DA5">
        <w:t xml:space="preserve">Red Building </w:t>
      </w:r>
      <w:r w:rsidRPr="00046DA5">
        <w:br/>
        <w:t>Benjamin Offices</w:t>
      </w:r>
      <w:r w:rsidRPr="00046DA5">
        <w:br/>
        <w:t xml:space="preserve">Chan Street </w:t>
      </w:r>
      <w:r w:rsidRPr="00046DA5">
        <w:br/>
        <w:t>Belconnen ACT</w:t>
      </w:r>
    </w:p>
    <w:p w14:paraId="5248FA73" w14:textId="77777777" w:rsidR="0005011A" w:rsidRPr="00046DA5" w:rsidRDefault="0005011A" w:rsidP="00FC07B9">
      <w:pPr>
        <w:pStyle w:val="ACMACorporateAddresses"/>
      </w:pPr>
      <w:r w:rsidRPr="00046DA5">
        <w:t>PO Box 78</w:t>
      </w:r>
      <w:r w:rsidRPr="00046DA5">
        <w:br/>
        <w:t>Belconnen ACT 2616</w:t>
      </w:r>
    </w:p>
    <w:p w14:paraId="54BD0104" w14:textId="77777777" w:rsidR="00FE1823" w:rsidRPr="00046DA5" w:rsidRDefault="0005011A" w:rsidP="00FC07B9">
      <w:pPr>
        <w:pStyle w:val="ACMACorporateAddresses"/>
      </w:pPr>
      <w:r w:rsidRPr="00046DA5">
        <w:t>T</w:t>
      </w:r>
      <w:r w:rsidR="00537604" w:rsidRPr="00046DA5">
        <w:tab/>
      </w:r>
      <w:r w:rsidRPr="00046DA5">
        <w:t>+61 2 6219 5555</w:t>
      </w:r>
      <w:r w:rsidRPr="00046DA5">
        <w:br/>
        <w:t>F</w:t>
      </w:r>
      <w:r w:rsidR="00537604" w:rsidRPr="00046DA5">
        <w:tab/>
      </w:r>
      <w:r w:rsidRPr="00046DA5">
        <w:t>+61 2 6219 5353</w:t>
      </w:r>
    </w:p>
    <w:p w14:paraId="71DCDE3A" w14:textId="77777777" w:rsidR="0005011A" w:rsidRPr="00046DA5" w:rsidRDefault="0005011A" w:rsidP="00FC07B9">
      <w:pPr>
        <w:pStyle w:val="ACMACorporateAddressHeader"/>
      </w:pPr>
      <w:r w:rsidRPr="00046DA5">
        <w:t>Melbourne</w:t>
      </w:r>
    </w:p>
    <w:p w14:paraId="414646DD" w14:textId="77777777" w:rsidR="0005011A" w:rsidRPr="00046DA5" w:rsidRDefault="0005011A" w:rsidP="00FC07B9">
      <w:pPr>
        <w:pStyle w:val="ACMACorporateAddresses"/>
      </w:pPr>
      <w:r w:rsidRPr="00046DA5">
        <w:t xml:space="preserve">Level 32 </w:t>
      </w:r>
      <w:r w:rsidRPr="00046DA5">
        <w:br/>
        <w:t>Melbourne Central Tower</w:t>
      </w:r>
      <w:r w:rsidRPr="00046DA5">
        <w:br/>
        <w:t xml:space="preserve">360 Elizabeth Street </w:t>
      </w:r>
      <w:r w:rsidR="008C10F4" w:rsidRPr="00046DA5">
        <w:br/>
      </w:r>
      <w:r w:rsidRPr="00046DA5">
        <w:t>Melbourne VIC</w:t>
      </w:r>
    </w:p>
    <w:p w14:paraId="4019666D" w14:textId="77777777" w:rsidR="0005011A" w:rsidRPr="00046DA5" w:rsidRDefault="0005011A" w:rsidP="00FC07B9">
      <w:pPr>
        <w:pStyle w:val="ACMACorporateAddresses"/>
      </w:pPr>
      <w:r w:rsidRPr="00046DA5">
        <w:t>PO Box 13112</w:t>
      </w:r>
      <w:r w:rsidRPr="00046DA5">
        <w:br/>
        <w:t xml:space="preserve">Law Courts </w:t>
      </w:r>
      <w:r w:rsidRPr="00046DA5">
        <w:br/>
        <w:t>Melbourne VIC 8010</w:t>
      </w:r>
    </w:p>
    <w:p w14:paraId="297B2AC8" w14:textId="77777777" w:rsidR="0005011A" w:rsidRPr="00046DA5" w:rsidRDefault="0005011A" w:rsidP="00FC07B9">
      <w:pPr>
        <w:pStyle w:val="ACMACorporateAddresses"/>
      </w:pPr>
      <w:r w:rsidRPr="00046DA5">
        <w:t>T</w:t>
      </w:r>
      <w:r w:rsidR="00140318" w:rsidRPr="00046DA5">
        <w:tab/>
      </w:r>
      <w:r w:rsidRPr="00046DA5">
        <w:t>+61 3 9963 6800</w:t>
      </w:r>
      <w:r w:rsidRPr="00046DA5">
        <w:br/>
        <w:t>F</w:t>
      </w:r>
      <w:r w:rsidR="00140318" w:rsidRPr="00046DA5">
        <w:tab/>
      </w:r>
      <w:r w:rsidRPr="00046DA5">
        <w:t>+61 3 9963 6899</w:t>
      </w:r>
    </w:p>
    <w:p w14:paraId="7525038F" w14:textId="77777777" w:rsidR="0005011A" w:rsidRPr="00046DA5" w:rsidRDefault="0005011A" w:rsidP="00FC07B9">
      <w:pPr>
        <w:pStyle w:val="ACMACorporateAddressHeader"/>
      </w:pPr>
      <w:r w:rsidRPr="00046DA5">
        <w:t>Sydney</w:t>
      </w:r>
    </w:p>
    <w:p w14:paraId="28067B0A" w14:textId="77777777" w:rsidR="0005011A" w:rsidRPr="00046DA5" w:rsidRDefault="0005011A" w:rsidP="00FC07B9">
      <w:pPr>
        <w:pStyle w:val="ACMACorporateAddresses"/>
      </w:pPr>
      <w:r w:rsidRPr="00046DA5">
        <w:t xml:space="preserve">Level 5 </w:t>
      </w:r>
      <w:r w:rsidRPr="00046DA5">
        <w:br/>
        <w:t>The Bay Centre</w:t>
      </w:r>
      <w:r w:rsidRPr="00046DA5">
        <w:br/>
        <w:t xml:space="preserve">65 Pirrama Road </w:t>
      </w:r>
      <w:r w:rsidRPr="00046DA5">
        <w:br/>
        <w:t>Pyrmont NSW</w:t>
      </w:r>
    </w:p>
    <w:p w14:paraId="1BAAEC4D" w14:textId="77777777" w:rsidR="0005011A" w:rsidRPr="00046DA5" w:rsidRDefault="0005011A" w:rsidP="00FC07B9">
      <w:pPr>
        <w:pStyle w:val="ACMACorporateAddresses"/>
      </w:pPr>
      <w:r w:rsidRPr="00046DA5">
        <w:t>PO Box Q500</w:t>
      </w:r>
      <w:r w:rsidRPr="00046DA5">
        <w:br/>
        <w:t xml:space="preserve">Queen Victoria Building </w:t>
      </w:r>
      <w:r w:rsidRPr="00046DA5">
        <w:br/>
        <w:t>NSW 1230</w:t>
      </w:r>
    </w:p>
    <w:p w14:paraId="07380C42" w14:textId="77777777" w:rsidR="0005011A" w:rsidRPr="00046DA5" w:rsidRDefault="0005011A" w:rsidP="00FC07B9">
      <w:pPr>
        <w:pStyle w:val="ACMACorporateAddresses"/>
      </w:pPr>
      <w:r w:rsidRPr="00046DA5">
        <w:t>T</w:t>
      </w:r>
      <w:r w:rsidR="00140318" w:rsidRPr="00046DA5">
        <w:tab/>
      </w:r>
      <w:r w:rsidRPr="00046DA5">
        <w:t>+61 2 9334 7700</w:t>
      </w:r>
      <w:r w:rsidR="00140318" w:rsidRPr="00046DA5">
        <w:t xml:space="preserve"> or</w:t>
      </w:r>
      <w:r w:rsidRPr="00046DA5">
        <w:t xml:space="preserve"> 1800 226 667</w:t>
      </w:r>
      <w:r w:rsidRPr="00046DA5">
        <w:br/>
        <w:t>F</w:t>
      </w:r>
      <w:r w:rsidR="00140318" w:rsidRPr="00046DA5">
        <w:tab/>
      </w:r>
      <w:r w:rsidRPr="00046DA5">
        <w:t>+61 2 9334 7799</w:t>
      </w:r>
    </w:p>
    <w:p w14:paraId="0C3B01FE" w14:textId="77777777" w:rsidR="00140318" w:rsidRPr="00046DA5" w:rsidRDefault="00140318" w:rsidP="00FC07B9">
      <w:pPr>
        <w:pStyle w:val="ACMACopyrightHeader"/>
      </w:pPr>
      <w:r w:rsidRPr="00046DA5">
        <w:t>Copyright notice</w:t>
      </w:r>
    </w:p>
    <w:p w14:paraId="4EC821B9" w14:textId="77777777" w:rsidR="00140318" w:rsidRPr="00046DA5" w:rsidRDefault="00623FF9" w:rsidP="00623FF9">
      <w:pPr>
        <w:pStyle w:val="ACMACClogo"/>
      </w:pPr>
      <w:r w:rsidRPr="00046DA5">
        <w:rPr>
          <w:noProof/>
        </w:rPr>
        <w:drawing>
          <wp:inline distT="0" distB="0" distL="0" distR="0" wp14:anchorId="3DE70E01" wp14:editId="6411136E">
            <wp:extent cx="838200" cy="295275"/>
            <wp:effectExtent l="0" t="0" r="0" b="0"/>
            <wp:docPr id="1" name="Picture 1" title="Creative Commons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1"/>
                    </pic:cNvPr>
                    <pic:cNvPicPr>
                      <a:picLocks noChangeAspect="1" noChangeArrowheads="1"/>
                    </pic:cNvPicPr>
                  </pic:nvPicPr>
                  <pic:blipFill>
                    <a:blip r:embed="rId12" cstate="print"/>
                    <a:srcRect/>
                    <a:stretch>
                      <a:fillRect/>
                    </a:stretch>
                  </pic:blipFill>
                  <pic:spPr bwMode="auto">
                    <a:xfrm>
                      <a:off x="0" y="0"/>
                      <a:ext cx="838200" cy="295275"/>
                    </a:xfrm>
                    <a:prstGeom prst="rect">
                      <a:avLst/>
                    </a:prstGeom>
                    <a:noFill/>
                  </pic:spPr>
                </pic:pic>
              </a:graphicData>
            </a:graphic>
          </wp:inline>
        </w:drawing>
      </w:r>
    </w:p>
    <w:p w14:paraId="6EC295BD" w14:textId="77777777" w:rsidR="00AA2DE5" w:rsidRPr="00046DA5" w:rsidRDefault="004A685A" w:rsidP="00AA2DE5">
      <w:pPr>
        <w:pStyle w:val="ACMACorporateAddresses"/>
        <w:rPr>
          <w:rStyle w:val="Hyperlink"/>
        </w:rPr>
      </w:pPr>
      <w:hyperlink r:id="rId13" w:history="1">
        <w:r w:rsidR="00AA2DE5" w:rsidRPr="00046DA5">
          <w:rPr>
            <w:rStyle w:val="Hyperlink"/>
          </w:rPr>
          <w:t>https://creativecommons.org/licenses/by/4.0/</w:t>
        </w:r>
      </w:hyperlink>
    </w:p>
    <w:p w14:paraId="39F76434" w14:textId="77777777" w:rsidR="00AA2DE5" w:rsidRPr="00046DA5" w:rsidRDefault="00AA2DE5" w:rsidP="00AA2DE5">
      <w:pPr>
        <w:pStyle w:val="ACMACorporateAddresses"/>
      </w:pPr>
      <w:r w:rsidRPr="00046DA5">
        <w:t xml:space="preserve">With the exception of coats of arms, logos, emblems, images, other third-party material or devices protected by a trademark, this content is made available under the terms of the Creative Commons Attribution 4.0 International (CC BY 4.0) licence. </w:t>
      </w:r>
    </w:p>
    <w:p w14:paraId="62CBF222" w14:textId="22A5CA0A" w:rsidR="00AA2DE5" w:rsidRPr="00046DA5" w:rsidRDefault="00AA2DE5" w:rsidP="00AA2DE5">
      <w:pPr>
        <w:pStyle w:val="ACMACorporateAddresses"/>
      </w:pPr>
      <w:r w:rsidRPr="00046DA5">
        <w:t>We request attribution as © Commonwealth of Australia (Australian Communications and Media Authority) 20</w:t>
      </w:r>
      <w:r w:rsidR="00826B65" w:rsidRPr="00046DA5">
        <w:t>20</w:t>
      </w:r>
      <w:r w:rsidRPr="00046DA5">
        <w:t>.</w:t>
      </w:r>
    </w:p>
    <w:p w14:paraId="4514FAFC" w14:textId="77777777" w:rsidR="00AA2DE5" w:rsidRPr="00046DA5" w:rsidRDefault="00AA2DE5" w:rsidP="00AA2DE5">
      <w:pPr>
        <w:pStyle w:val="ACMACorporateAddresses"/>
      </w:pPr>
      <w:r w:rsidRPr="00046DA5">
        <w:t>All other rights are reserved.</w:t>
      </w:r>
    </w:p>
    <w:p w14:paraId="50ED8052" w14:textId="77777777" w:rsidR="00AA2DE5" w:rsidRPr="00046DA5" w:rsidRDefault="00AA2DE5" w:rsidP="00AA2DE5">
      <w:pPr>
        <w:pStyle w:val="ACMACorporateAddresses"/>
      </w:pPr>
      <w:r w:rsidRPr="00046DA5">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42609D69" w14:textId="77777777" w:rsidR="00AA2DE5" w:rsidRPr="00046DA5" w:rsidRDefault="00AA2DE5" w:rsidP="00AA2DE5">
      <w:pPr>
        <w:pStyle w:val="ACMACorporateAddresses"/>
      </w:pPr>
      <w:r w:rsidRPr="00046DA5">
        <w:t>Written enquiries may be sent to:</w:t>
      </w:r>
    </w:p>
    <w:p w14:paraId="0F8393E6" w14:textId="77777777" w:rsidR="00AA2DE5" w:rsidRPr="00046DA5" w:rsidRDefault="00AA2DE5" w:rsidP="00AA2DE5">
      <w:pPr>
        <w:pStyle w:val="ACMACorporateAddresses"/>
        <w:rPr>
          <w:rStyle w:val="Hyperlink"/>
        </w:rPr>
      </w:pPr>
      <w:r w:rsidRPr="00046DA5">
        <w:t xml:space="preserve">Manager, Editorial </w:t>
      </w:r>
      <w:r w:rsidR="000245E5" w:rsidRPr="00046DA5">
        <w:t>Services</w:t>
      </w:r>
      <w:r w:rsidRPr="00046DA5">
        <w:br/>
        <w:t>PO Box 13112</w:t>
      </w:r>
      <w:r w:rsidRPr="00046DA5">
        <w:br/>
        <w:t>Law Courts</w:t>
      </w:r>
      <w:r w:rsidRPr="00046DA5">
        <w:br/>
        <w:t>Melbourne VIC 8010</w:t>
      </w:r>
      <w:r w:rsidRPr="00046DA5">
        <w:br/>
        <w:t xml:space="preserve">Email: </w:t>
      </w:r>
      <w:hyperlink r:id="rId14" w:history="1">
        <w:r w:rsidRPr="00046DA5">
          <w:rPr>
            <w:rStyle w:val="Hyperlink"/>
          </w:rPr>
          <w:t>info@acma.gov.au</w:t>
        </w:r>
      </w:hyperlink>
    </w:p>
    <w:p w14:paraId="45CD8E5C" w14:textId="77777777" w:rsidR="00D16FE3" w:rsidRPr="00046DA5" w:rsidRDefault="00D16FE3" w:rsidP="00D16FE3">
      <w:pPr>
        <w:pStyle w:val="ACMACorporateAddresses"/>
        <w:rPr>
          <w:rStyle w:val="Hyperlink"/>
        </w:rPr>
      </w:pPr>
    </w:p>
    <w:p w14:paraId="79DB34E9" w14:textId="77777777" w:rsidR="00D16FE3" w:rsidRPr="00046DA5" w:rsidRDefault="00D16FE3" w:rsidP="00D16FE3">
      <w:pPr>
        <w:pStyle w:val="ACMACorporateAddresses"/>
        <w:sectPr w:rsidR="00D16FE3" w:rsidRPr="00046DA5">
          <w:headerReference w:type="even" r:id="rId15"/>
          <w:headerReference w:type="default" r:id="rId16"/>
          <w:footerReference w:type="even" r:id="rId17"/>
          <w:footerReference w:type="default" r:id="rId18"/>
          <w:pgSz w:w="11906" w:h="16838" w:code="9"/>
          <w:pgMar w:top="3924" w:right="1797" w:bottom="697" w:left="1134" w:header="709" w:footer="119" w:gutter="0"/>
          <w:cols w:space="708"/>
          <w:docGrid w:linePitch="360"/>
        </w:sectPr>
      </w:pPr>
    </w:p>
    <w:p w14:paraId="6150BA41" w14:textId="3A9F6310" w:rsidR="001778C4" w:rsidRDefault="005871A9">
      <w:pPr>
        <w:pStyle w:val="TOC1"/>
        <w:rPr>
          <w:rFonts w:asciiTheme="minorHAnsi" w:eastAsiaTheme="minorEastAsia" w:hAnsiTheme="minorHAnsi" w:cstheme="minorBidi"/>
          <w:b w:val="0"/>
          <w:spacing w:val="0"/>
          <w:sz w:val="22"/>
          <w:szCs w:val="22"/>
        </w:rPr>
      </w:pPr>
      <w:r w:rsidRPr="00046DA5">
        <w:rPr>
          <w:rFonts w:cs="Arial"/>
          <w:b w:val="0"/>
        </w:rPr>
        <w:lastRenderedPageBreak/>
        <w:fldChar w:fldCharType="begin"/>
      </w:r>
      <w:r w:rsidRPr="00046DA5">
        <w:rPr>
          <w:rFonts w:cs="Arial"/>
          <w:b w:val="0"/>
        </w:rPr>
        <w:instrText xml:space="preserve"> TOC \o "1-2" \h \z \t "Exec summary heading,1" </w:instrText>
      </w:r>
      <w:r w:rsidRPr="00046DA5">
        <w:rPr>
          <w:rFonts w:cs="Arial"/>
          <w:b w:val="0"/>
        </w:rPr>
        <w:fldChar w:fldCharType="separate"/>
      </w:r>
      <w:hyperlink w:anchor="_Toc33758183" w:history="1">
        <w:r w:rsidR="001778C4" w:rsidRPr="000D5C9D">
          <w:rPr>
            <w:rStyle w:val="Hyperlink"/>
          </w:rPr>
          <w:t>Executive summary</w:t>
        </w:r>
        <w:r w:rsidR="001778C4">
          <w:rPr>
            <w:webHidden/>
          </w:rPr>
          <w:tab/>
        </w:r>
        <w:r w:rsidR="001778C4">
          <w:rPr>
            <w:webHidden/>
          </w:rPr>
          <w:fldChar w:fldCharType="begin"/>
        </w:r>
        <w:r w:rsidR="001778C4">
          <w:rPr>
            <w:webHidden/>
          </w:rPr>
          <w:instrText xml:space="preserve"> PAGEREF _Toc33758183 \h </w:instrText>
        </w:r>
        <w:r w:rsidR="001778C4">
          <w:rPr>
            <w:webHidden/>
          </w:rPr>
        </w:r>
        <w:r w:rsidR="001778C4">
          <w:rPr>
            <w:webHidden/>
          </w:rPr>
          <w:fldChar w:fldCharType="separate"/>
        </w:r>
        <w:r w:rsidR="001D56AF">
          <w:rPr>
            <w:webHidden/>
          </w:rPr>
          <w:t>1</w:t>
        </w:r>
        <w:r w:rsidR="001778C4">
          <w:rPr>
            <w:webHidden/>
          </w:rPr>
          <w:fldChar w:fldCharType="end"/>
        </w:r>
      </w:hyperlink>
    </w:p>
    <w:p w14:paraId="71062ACC" w14:textId="70FCB0C4" w:rsidR="001778C4" w:rsidRDefault="004A685A">
      <w:pPr>
        <w:pStyle w:val="TOC2"/>
        <w:rPr>
          <w:rFonts w:asciiTheme="minorHAnsi" w:eastAsiaTheme="minorEastAsia" w:hAnsiTheme="minorHAnsi" w:cstheme="minorBidi"/>
          <w:spacing w:val="0"/>
          <w:sz w:val="22"/>
          <w:szCs w:val="22"/>
        </w:rPr>
      </w:pPr>
      <w:hyperlink w:anchor="_Toc33758184" w:history="1">
        <w:r w:rsidR="001778C4" w:rsidRPr="000D5C9D">
          <w:rPr>
            <w:rStyle w:val="Hyperlink"/>
          </w:rPr>
          <w:t>Apparatus licence tax collection and formula</w:t>
        </w:r>
        <w:r w:rsidR="001778C4">
          <w:rPr>
            <w:webHidden/>
          </w:rPr>
          <w:tab/>
        </w:r>
        <w:r w:rsidR="001778C4">
          <w:rPr>
            <w:webHidden/>
          </w:rPr>
          <w:fldChar w:fldCharType="begin"/>
        </w:r>
        <w:r w:rsidR="001778C4">
          <w:rPr>
            <w:webHidden/>
          </w:rPr>
          <w:instrText xml:space="preserve"> PAGEREF _Toc33758184 \h </w:instrText>
        </w:r>
        <w:r w:rsidR="001778C4">
          <w:rPr>
            <w:webHidden/>
          </w:rPr>
        </w:r>
        <w:r w:rsidR="001778C4">
          <w:rPr>
            <w:webHidden/>
          </w:rPr>
          <w:fldChar w:fldCharType="separate"/>
        </w:r>
        <w:r w:rsidR="001D56AF">
          <w:rPr>
            <w:webHidden/>
          </w:rPr>
          <w:t>1</w:t>
        </w:r>
        <w:r w:rsidR="001778C4">
          <w:rPr>
            <w:webHidden/>
          </w:rPr>
          <w:fldChar w:fldCharType="end"/>
        </w:r>
      </w:hyperlink>
    </w:p>
    <w:p w14:paraId="14A4D67D" w14:textId="1B4A8F1E" w:rsidR="001778C4" w:rsidRDefault="004A685A">
      <w:pPr>
        <w:pStyle w:val="TOC2"/>
        <w:rPr>
          <w:rFonts w:asciiTheme="minorHAnsi" w:eastAsiaTheme="minorEastAsia" w:hAnsiTheme="minorHAnsi" w:cstheme="minorBidi"/>
          <w:spacing w:val="0"/>
          <w:sz w:val="22"/>
          <w:szCs w:val="22"/>
        </w:rPr>
      </w:pPr>
      <w:hyperlink w:anchor="_Toc33758185" w:history="1">
        <w:r w:rsidR="001778C4" w:rsidRPr="000D5C9D">
          <w:rPr>
            <w:rStyle w:val="Hyperlink"/>
          </w:rPr>
          <w:t>Draft spectrum pricing decision guidelines and focus areas</w:t>
        </w:r>
        <w:r w:rsidR="001778C4">
          <w:rPr>
            <w:webHidden/>
          </w:rPr>
          <w:tab/>
        </w:r>
        <w:r w:rsidR="001778C4">
          <w:rPr>
            <w:webHidden/>
          </w:rPr>
          <w:fldChar w:fldCharType="begin"/>
        </w:r>
        <w:r w:rsidR="001778C4">
          <w:rPr>
            <w:webHidden/>
          </w:rPr>
          <w:instrText xml:space="preserve"> PAGEREF _Toc33758185 \h </w:instrText>
        </w:r>
        <w:r w:rsidR="001778C4">
          <w:rPr>
            <w:webHidden/>
          </w:rPr>
        </w:r>
        <w:r w:rsidR="001778C4">
          <w:rPr>
            <w:webHidden/>
          </w:rPr>
          <w:fldChar w:fldCharType="separate"/>
        </w:r>
        <w:r w:rsidR="001D56AF">
          <w:rPr>
            <w:webHidden/>
          </w:rPr>
          <w:t>2</w:t>
        </w:r>
        <w:r w:rsidR="001778C4">
          <w:rPr>
            <w:webHidden/>
          </w:rPr>
          <w:fldChar w:fldCharType="end"/>
        </w:r>
      </w:hyperlink>
    </w:p>
    <w:p w14:paraId="12C52EFD" w14:textId="4F16B98A" w:rsidR="001778C4" w:rsidRDefault="004A685A">
      <w:pPr>
        <w:pStyle w:val="TOC2"/>
        <w:rPr>
          <w:rFonts w:asciiTheme="minorHAnsi" w:eastAsiaTheme="minorEastAsia" w:hAnsiTheme="minorHAnsi" w:cstheme="minorBidi"/>
          <w:spacing w:val="0"/>
          <w:sz w:val="22"/>
          <w:szCs w:val="22"/>
        </w:rPr>
      </w:pPr>
      <w:hyperlink w:anchor="_Toc33758186" w:history="1">
        <w:r w:rsidR="001778C4" w:rsidRPr="000D5C9D">
          <w:rPr>
            <w:rStyle w:val="Hyperlink"/>
          </w:rPr>
          <w:t>Consultation process and next steps</w:t>
        </w:r>
        <w:r w:rsidR="001778C4">
          <w:rPr>
            <w:webHidden/>
          </w:rPr>
          <w:tab/>
        </w:r>
        <w:r w:rsidR="001778C4">
          <w:rPr>
            <w:webHidden/>
          </w:rPr>
          <w:fldChar w:fldCharType="begin"/>
        </w:r>
        <w:r w:rsidR="001778C4">
          <w:rPr>
            <w:webHidden/>
          </w:rPr>
          <w:instrText xml:space="preserve"> PAGEREF _Toc33758186 \h </w:instrText>
        </w:r>
        <w:r w:rsidR="001778C4">
          <w:rPr>
            <w:webHidden/>
          </w:rPr>
        </w:r>
        <w:r w:rsidR="001778C4">
          <w:rPr>
            <w:webHidden/>
          </w:rPr>
          <w:fldChar w:fldCharType="separate"/>
        </w:r>
        <w:r w:rsidR="001D56AF">
          <w:rPr>
            <w:webHidden/>
          </w:rPr>
          <w:t>2</w:t>
        </w:r>
        <w:r w:rsidR="001778C4">
          <w:rPr>
            <w:webHidden/>
          </w:rPr>
          <w:fldChar w:fldCharType="end"/>
        </w:r>
      </w:hyperlink>
    </w:p>
    <w:p w14:paraId="31A84E84" w14:textId="37D5D9C0" w:rsidR="001778C4" w:rsidRDefault="004A685A">
      <w:pPr>
        <w:pStyle w:val="TOC1"/>
        <w:rPr>
          <w:rFonts w:asciiTheme="minorHAnsi" w:eastAsiaTheme="minorEastAsia" w:hAnsiTheme="minorHAnsi" w:cstheme="minorBidi"/>
          <w:b w:val="0"/>
          <w:spacing w:val="0"/>
          <w:sz w:val="22"/>
          <w:szCs w:val="22"/>
        </w:rPr>
      </w:pPr>
      <w:hyperlink w:anchor="_Toc33758187" w:history="1">
        <w:r w:rsidR="001778C4" w:rsidRPr="000D5C9D">
          <w:rPr>
            <w:rStyle w:val="Hyperlink"/>
          </w:rPr>
          <w:t>Issues for comment</w:t>
        </w:r>
        <w:r w:rsidR="001778C4">
          <w:rPr>
            <w:webHidden/>
          </w:rPr>
          <w:tab/>
        </w:r>
        <w:r w:rsidR="001778C4">
          <w:rPr>
            <w:webHidden/>
          </w:rPr>
          <w:fldChar w:fldCharType="begin"/>
        </w:r>
        <w:r w:rsidR="001778C4">
          <w:rPr>
            <w:webHidden/>
          </w:rPr>
          <w:instrText xml:space="preserve"> PAGEREF _Toc33758187 \h </w:instrText>
        </w:r>
        <w:r w:rsidR="001778C4">
          <w:rPr>
            <w:webHidden/>
          </w:rPr>
        </w:r>
        <w:r w:rsidR="001778C4">
          <w:rPr>
            <w:webHidden/>
          </w:rPr>
          <w:fldChar w:fldCharType="separate"/>
        </w:r>
        <w:r w:rsidR="001D56AF">
          <w:rPr>
            <w:webHidden/>
          </w:rPr>
          <w:t>3</w:t>
        </w:r>
        <w:r w:rsidR="001778C4">
          <w:rPr>
            <w:webHidden/>
          </w:rPr>
          <w:fldChar w:fldCharType="end"/>
        </w:r>
      </w:hyperlink>
    </w:p>
    <w:p w14:paraId="20D8F70C" w14:textId="3048972C" w:rsidR="001778C4" w:rsidRDefault="004A685A">
      <w:pPr>
        <w:pStyle w:val="TOC1"/>
        <w:rPr>
          <w:rFonts w:asciiTheme="minorHAnsi" w:eastAsiaTheme="minorEastAsia" w:hAnsiTheme="minorHAnsi" w:cstheme="minorBidi"/>
          <w:b w:val="0"/>
          <w:spacing w:val="0"/>
          <w:sz w:val="22"/>
          <w:szCs w:val="22"/>
        </w:rPr>
      </w:pPr>
      <w:hyperlink w:anchor="_Toc33758188" w:history="1">
        <w:r w:rsidR="001778C4" w:rsidRPr="000D5C9D">
          <w:rPr>
            <w:rStyle w:val="Hyperlink"/>
          </w:rPr>
          <w:t>Introduction</w:t>
        </w:r>
        <w:r w:rsidR="001778C4">
          <w:rPr>
            <w:webHidden/>
          </w:rPr>
          <w:tab/>
        </w:r>
        <w:r w:rsidR="001778C4">
          <w:rPr>
            <w:webHidden/>
          </w:rPr>
          <w:fldChar w:fldCharType="begin"/>
        </w:r>
        <w:r w:rsidR="001778C4">
          <w:rPr>
            <w:webHidden/>
          </w:rPr>
          <w:instrText xml:space="preserve"> PAGEREF _Toc33758188 \h </w:instrText>
        </w:r>
        <w:r w:rsidR="001778C4">
          <w:rPr>
            <w:webHidden/>
          </w:rPr>
        </w:r>
        <w:r w:rsidR="001778C4">
          <w:rPr>
            <w:webHidden/>
          </w:rPr>
          <w:fldChar w:fldCharType="separate"/>
        </w:r>
        <w:r w:rsidR="001D56AF">
          <w:rPr>
            <w:webHidden/>
          </w:rPr>
          <w:t>5</w:t>
        </w:r>
        <w:r w:rsidR="001778C4">
          <w:rPr>
            <w:webHidden/>
          </w:rPr>
          <w:fldChar w:fldCharType="end"/>
        </w:r>
      </w:hyperlink>
    </w:p>
    <w:p w14:paraId="3E8A39B6" w14:textId="4EB3F84F" w:rsidR="001778C4" w:rsidRDefault="004A685A">
      <w:pPr>
        <w:pStyle w:val="TOC1"/>
        <w:rPr>
          <w:rFonts w:asciiTheme="minorHAnsi" w:eastAsiaTheme="minorEastAsia" w:hAnsiTheme="minorHAnsi" w:cstheme="minorBidi"/>
          <w:b w:val="0"/>
          <w:spacing w:val="0"/>
          <w:sz w:val="22"/>
          <w:szCs w:val="22"/>
        </w:rPr>
      </w:pPr>
      <w:hyperlink w:anchor="_Toc33758189" w:history="1">
        <w:r w:rsidR="001778C4" w:rsidRPr="000D5C9D">
          <w:rPr>
            <w:rStyle w:val="Hyperlink"/>
          </w:rPr>
          <w:t>Recommendations of the Spectrum Pricing Review</w:t>
        </w:r>
        <w:r w:rsidR="001778C4">
          <w:rPr>
            <w:webHidden/>
          </w:rPr>
          <w:tab/>
        </w:r>
        <w:r w:rsidR="001778C4">
          <w:rPr>
            <w:webHidden/>
          </w:rPr>
          <w:fldChar w:fldCharType="begin"/>
        </w:r>
        <w:r w:rsidR="001778C4">
          <w:rPr>
            <w:webHidden/>
          </w:rPr>
          <w:instrText xml:space="preserve"> PAGEREF _Toc33758189 \h </w:instrText>
        </w:r>
        <w:r w:rsidR="001778C4">
          <w:rPr>
            <w:webHidden/>
          </w:rPr>
        </w:r>
        <w:r w:rsidR="001778C4">
          <w:rPr>
            <w:webHidden/>
          </w:rPr>
          <w:fldChar w:fldCharType="separate"/>
        </w:r>
        <w:r w:rsidR="001D56AF">
          <w:rPr>
            <w:webHidden/>
          </w:rPr>
          <w:t>7</w:t>
        </w:r>
        <w:r w:rsidR="001778C4">
          <w:rPr>
            <w:webHidden/>
          </w:rPr>
          <w:fldChar w:fldCharType="end"/>
        </w:r>
      </w:hyperlink>
    </w:p>
    <w:p w14:paraId="57D4D75A" w14:textId="2D469D6A" w:rsidR="001778C4" w:rsidRDefault="004A685A">
      <w:pPr>
        <w:pStyle w:val="TOC2"/>
        <w:rPr>
          <w:rFonts w:asciiTheme="minorHAnsi" w:eastAsiaTheme="minorEastAsia" w:hAnsiTheme="minorHAnsi" w:cstheme="minorBidi"/>
          <w:spacing w:val="0"/>
          <w:sz w:val="22"/>
          <w:szCs w:val="22"/>
        </w:rPr>
      </w:pPr>
      <w:hyperlink w:anchor="_Toc33758190" w:history="1">
        <w:r w:rsidR="001778C4" w:rsidRPr="000D5C9D">
          <w:rPr>
            <w:rStyle w:val="Hyperlink"/>
          </w:rPr>
          <w:t>Summary of Spectrum Pricing Review recommendations</w:t>
        </w:r>
        <w:r w:rsidR="001778C4">
          <w:rPr>
            <w:webHidden/>
          </w:rPr>
          <w:tab/>
        </w:r>
        <w:r w:rsidR="001778C4">
          <w:rPr>
            <w:webHidden/>
          </w:rPr>
          <w:fldChar w:fldCharType="begin"/>
        </w:r>
        <w:r w:rsidR="001778C4">
          <w:rPr>
            <w:webHidden/>
          </w:rPr>
          <w:instrText xml:space="preserve"> PAGEREF _Toc33758190 \h </w:instrText>
        </w:r>
        <w:r w:rsidR="001778C4">
          <w:rPr>
            <w:webHidden/>
          </w:rPr>
        </w:r>
        <w:r w:rsidR="001778C4">
          <w:rPr>
            <w:webHidden/>
          </w:rPr>
          <w:fldChar w:fldCharType="separate"/>
        </w:r>
        <w:r w:rsidR="001D56AF">
          <w:rPr>
            <w:webHidden/>
          </w:rPr>
          <w:t>7</w:t>
        </w:r>
        <w:r w:rsidR="001778C4">
          <w:rPr>
            <w:webHidden/>
          </w:rPr>
          <w:fldChar w:fldCharType="end"/>
        </w:r>
      </w:hyperlink>
    </w:p>
    <w:p w14:paraId="1B56888A" w14:textId="35BEBAA2" w:rsidR="001778C4" w:rsidRDefault="004A685A">
      <w:pPr>
        <w:pStyle w:val="TOC1"/>
        <w:rPr>
          <w:rFonts w:asciiTheme="minorHAnsi" w:eastAsiaTheme="minorEastAsia" w:hAnsiTheme="minorHAnsi" w:cstheme="minorBidi"/>
          <w:b w:val="0"/>
          <w:spacing w:val="0"/>
          <w:sz w:val="22"/>
          <w:szCs w:val="22"/>
        </w:rPr>
      </w:pPr>
      <w:hyperlink w:anchor="_Toc33758191" w:history="1">
        <w:r w:rsidR="001778C4" w:rsidRPr="000D5C9D">
          <w:rPr>
            <w:rStyle w:val="Hyperlink"/>
          </w:rPr>
          <w:t>Legislative and policy environment</w:t>
        </w:r>
        <w:r w:rsidR="001778C4">
          <w:rPr>
            <w:webHidden/>
          </w:rPr>
          <w:tab/>
        </w:r>
        <w:r w:rsidR="001778C4">
          <w:rPr>
            <w:webHidden/>
          </w:rPr>
          <w:fldChar w:fldCharType="begin"/>
        </w:r>
        <w:r w:rsidR="001778C4">
          <w:rPr>
            <w:webHidden/>
          </w:rPr>
          <w:instrText xml:space="preserve"> PAGEREF _Toc33758191 \h </w:instrText>
        </w:r>
        <w:r w:rsidR="001778C4">
          <w:rPr>
            <w:webHidden/>
          </w:rPr>
        </w:r>
        <w:r w:rsidR="001778C4">
          <w:rPr>
            <w:webHidden/>
          </w:rPr>
          <w:fldChar w:fldCharType="separate"/>
        </w:r>
        <w:r w:rsidR="001D56AF">
          <w:rPr>
            <w:webHidden/>
          </w:rPr>
          <w:t>10</w:t>
        </w:r>
        <w:r w:rsidR="001778C4">
          <w:rPr>
            <w:webHidden/>
          </w:rPr>
          <w:fldChar w:fldCharType="end"/>
        </w:r>
      </w:hyperlink>
    </w:p>
    <w:p w14:paraId="61C0DEBD" w14:textId="6D5E5F41" w:rsidR="001778C4" w:rsidRDefault="004A685A">
      <w:pPr>
        <w:pStyle w:val="TOC2"/>
        <w:rPr>
          <w:rFonts w:asciiTheme="minorHAnsi" w:eastAsiaTheme="minorEastAsia" w:hAnsiTheme="minorHAnsi" w:cstheme="minorBidi"/>
          <w:spacing w:val="0"/>
          <w:sz w:val="22"/>
          <w:szCs w:val="22"/>
        </w:rPr>
      </w:pPr>
      <w:hyperlink w:anchor="_Toc33758192" w:history="1">
        <w:r w:rsidR="001778C4" w:rsidRPr="000D5C9D">
          <w:rPr>
            <w:rStyle w:val="Hyperlink"/>
          </w:rPr>
          <w:t>Guiding legislation</w:t>
        </w:r>
        <w:r w:rsidR="001778C4">
          <w:rPr>
            <w:webHidden/>
          </w:rPr>
          <w:tab/>
        </w:r>
        <w:r w:rsidR="001778C4">
          <w:rPr>
            <w:webHidden/>
          </w:rPr>
          <w:fldChar w:fldCharType="begin"/>
        </w:r>
        <w:r w:rsidR="001778C4">
          <w:rPr>
            <w:webHidden/>
          </w:rPr>
          <w:instrText xml:space="preserve"> PAGEREF _Toc33758192 \h </w:instrText>
        </w:r>
        <w:r w:rsidR="001778C4">
          <w:rPr>
            <w:webHidden/>
          </w:rPr>
        </w:r>
        <w:r w:rsidR="001778C4">
          <w:rPr>
            <w:webHidden/>
          </w:rPr>
          <w:fldChar w:fldCharType="separate"/>
        </w:r>
        <w:r w:rsidR="001D56AF">
          <w:rPr>
            <w:webHidden/>
          </w:rPr>
          <w:t>10</w:t>
        </w:r>
        <w:r w:rsidR="001778C4">
          <w:rPr>
            <w:webHidden/>
          </w:rPr>
          <w:fldChar w:fldCharType="end"/>
        </w:r>
      </w:hyperlink>
    </w:p>
    <w:p w14:paraId="3F2DD2E0" w14:textId="3F28D2B1" w:rsidR="001778C4" w:rsidRDefault="004A685A">
      <w:pPr>
        <w:pStyle w:val="TOC2"/>
        <w:rPr>
          <w:rFonts w:asciiTheme="minorHAnsi" w:eastAsiaTheme="minorEastAsia" w:hAnsiTheme="minorHAnsi" w:cstheme="minorBidi"/>
          <w:spacing w:val="0"/>
          <w:sz w:val="22"/>
          <w:szCs w:val="22"/>
        </w:rPr>
      </w:pPr>
      <w:hyperlink w:anchor="_Toc33758193" w:history="1">
        <w:r w:rsidR="001778C4" w:rsidRPr="000D5C9D">
          <w:rPr>
            <w:rStyle w:val="Hyperlink"/>
          </w:rPr>
          <w:t>Principles for spectrum management</w:t>
        </w:r>
        <w:r w:rsidR="001778C4">
          <w:rPr>
            <w:webHidden/>
          </w:rPr>
          <w:tab/>
        </w:r>
        <w:r w:rsidR="001778C4">
          <w:rPr>
            <w:webHidden/>
          </w:rPr>
          <w:fldChar w:fldCharType="begin"/>
        </w:r>
        <w:r w:rsidR="001778C4">
          <w:rPr>
            <w:webHidden/>
          </w:rPr>
          <w:instrText xml:space="preserve"> PAGEREF _Toc33758193 \h </w:instrText>
        </w:r>
        <w:r w:rsidR="001778C4">
          <w:rPr>
            <w:webHidden/>
          </w:rPr>
        </w:r>
        <w:r w:rsidR="001778C4">
          <w:rPr>
            <w:webHidden/>
          </w:rPr>
          <w:fldChar w:fldCharType="separate"/>
        </w:r>
        <w:r w:rsidR="001D56AF">
          <w:rPr>
            <w:webHidden/>
          </w:rPr>
          <w:t>10</w:t>
        </w:r>
        <w:r w:rsidR="001778C4">
          <w:rPr>
            <w:webHidden/>
          </w:rPr>
          <w:fldChar w:fldCharType="end"/>
        </w:r>
      </w:hyperlink>
    </w:p>
    <w:p w14:paraId="5BFFA986" w14:textId="3ECC530D" w:rsidR="001778C4" w:rsidRDefault="004A685A">
      <w:pPr>
        <w:pStyle w:val="TOC2"/>
        <w:rPr>
          <w:rFonts w:asciiTheme="minorHAnsi" w:eastAsiaTheme="minorEastAsia" w:hAnsiTheme="minorHAnsi" w:cstheme="minorBidi"/>
          <w:spacing w:val="0"/>
          <w:sz w:val="22"/>
          <w:szCs w:val="22"/>
        </w:rPr>
      </w:pPr>
      <w:hyperlink w:anchor="_Toc33758194" w:history="1">
        <w:r w:rsidR="001778C4" w:rsidRPr="000D5C9D">
          <w:rPr>
            <w:rStyle w:val="Hyperlink"/>
          </w:rPr>
          <w:t>Taxation regime</w:t>
        </w:r>
        <w:r w:rsidR="001778C4">
          <w:rPr>
            <w:webHidden/>
          </w:rPr>
          <w:tab/>
        </w:r>
        <w:r w:rsidR="001778C4">
          <w:rPr>
            <w:webHidden/>
          </w:rPr>
          <w:fldChar w:fldCharType="begin"/>
        </w:r>
        <w:r w:rsidR="001778C4">
          <w:rPr>
            <w:webHidden/>
          </w:rPr>
          <w:instrText xml:space="preserve"> PAGEREF _Toc33758194 \h </w:instrText>
        </w:r>
        <w:r w:rsidR="001778C4">
          <w:rPr>
            <w:webHidden/>
          </w:rPr>
        </w:r>
        <w:r w:rsidR="001778C4">
          <w:rPr>
            <w:webHidden/>
          </w:rPr>
          <w:fldChar w:fldCharType="separate"/>
        </w:r>
        <w:r w:rsidR="001D56AF">
          <w:rPr>
            <w:webHidden/>
          </w:rPr>
          <w:t>11</w:t>
        </w:r>
        <w:r w:rsidR="001778C4">
          <w:rPr>
            <w:webHidden/>
          </w:rPr>
          <w:fldChar w:fldCharType="end"/>
        </w:r>
      </w:hyperlink>
    </w:p>
    <w:p w14:paraId="7A1764D3" w14:textId="450E3F69" w:rsidR="001778C4" w:rsidRDefault="004A685A">
      <w:pPr>
        <w:pStyle w:val="TOC2"/>
        <w:rPr>
          <w:rFonts w:asciiTheme="minorHAnsi" w:eastAsiaTheme="minorEastAsia" w:hAnsiTheme="minorHAnsi" w:cstheme="minorBidi"/>
          <w:spacing w:val="0"/>
          <w:sz w:val="22"/>
          <w:szCs w:val="22"/>
        </w:rPr>
      </w:pPr>
      <w:hyperlink w:anchor="_Toc33758195" w:history="1">
        <w:r w:rsidR="001778C4" w:rsidRPr="000D5C9D">
          <w:rPr>
            <w:rStyle w:val="Hyperlink"/>
          </w:rPr>
          <w:t>Observation: the role of spectrum pricing</w:t>
        </w:r>
        <w:r w:rsidR="001778C4">
          <w:rPr>
            <w:webHidden/>
          </w:rPr>
          <w:tab/>
        </w:r>
        <w:r w:rsidR="001778C4">
          <w:rPr>
            <w:webHidden/>
          </w:rPr>
          <w:fldChar w:fldCharType="begin"/>
        </w:r>
        <w:r w:rsidR="001778C4">
          <w:rPr>
            <w:webHidden/>
          </w:rPr>
          <w:instrText xml:space="preserve"> PAGEREF _Toc33758195 \h </w:instrText>
        </w:r>
        <w:r w:rsidR="001778C4">
          <w:rPr>
            <w:webHidden/>
          </w:rPr>
        </w:r>
        <w:r w:rsidR="001778C4">
          <w:rPr>
            <w:webHidden/>
          </w:rPr>
          <w:fldChar w:fldCharType="separate"/>
        </w:r>
        <w:r w:rsidR="001D56AF">
          <w:rPr>
            <w:webHidden/>
          </w:rPr>
          <w:t>11</w:t>
        </w:r>
        <w:r w:rsidR="001778C4">
          <w:rPr>
            <w:webHidden/>
          </w:rPr>
          <w:fldChar w:fldCharType="end"/>
        </w:r>
      </w:hyperlink>
    </w:p>
    <w:p w14:paraId="6E83E91D" w14:textId="27E9921B" w:rsidR="001778C4" w:rsidRDefault="004A685A">
      <w:pPr>
        <w:pStyle w:val="TOC1"/>
        <w:rPr>
          <w:rFonts w:asciiTheme="minorHAnsi" w:eastAsiaTheme="minorEastAsia" w:hAnsiTheme="minorHAnsi" w:cstheme="minorBidi"/>
          <w:b w:val="0"/>
          <w:spacing w:val="0"/>
          <w:sz w:val="22"/>
          <w:szCs w:val="22"/>
        </w:rPr>
      </w:pPr>
      <w:hyperlink w:anchor="_Toc33758196" w:history="1">
        <w:r w:rsidR="001778C4" w:rsidRPr="000D5C9D">
          <w:rPr>
            <w:rStyle w:val="Hyperlink"/>
          </w:rPr>
          <w:t>Licence taxes</w:t>
        </w:r>
        <w:r w:rsidR="001778C4">
          <w:rPr>
            <w:webHidden/>
          </w:rPr>
          <w:tab/>
        </w:r>
        <w:r w:rsidR="001778C4">
          <w:rPr>
            <w:webHidden/>
          </w:rPr>
          <w:fldChar w:fldCharType="begin"/>
        </w:r>
        <w:r w:rsidR="001778C4">
          <w:rPr>
            <w:webHidden/>
          </w:rPr>
          <w:instrText xml:space="preserve"> PAGEREF _Toc33758196 \h </w:instrText>
        </w:r>
        <w:r w:rsidR="001778C4">
          <w:rPr>
            <w:webHidden/>
          </w:rPr>
        </w:r>
        <w:r w:rsidR="001778C4">
          <w:rPr>
            <w:webHidden/>
          </w:rPr>
          <w:fldChar w:fldCharType="separate"/>
        </w:r>
        <w:r w:rsidR="001D56AF">
          <w:rPr>
            <w:webHidden/>
          </w:rPr>
          <w:t>13</w:t>
        </w:r>
        <w:r w:rsidR="001778C4">
          <w:rPr>
            <w:webHidden/>
          </w:rPr>
          <w:fldChar w:fldCharType="end"/>
        </w:r>
      </w:hyperlink>
    </w:p>
    <w:p w14:paraId="5592DE1E" w14:textId="738F41EB" w:rsidR="001778C4" w:rsidRDefault="004A685A">
      <w:pPr>
        <w:pStyle w:val="TOC2"/>
        <w:rPr>
          <w:rFonts w:asciiTheme="minorHAnsi" w:eastAsiaTheme="minorEastAsia" w:hAnsiTheme="minorHAnsi" w:cstheme="minorBidi"/>
          <w:spacing w:val="0"/>
          <w:sz w:val="22"/>
          <w:szCs w:val="22"/>
        </w:rPr>
      </w:pPr>
      <w:hyperlink w:anchor="_Toc33758197" w:history="1">
        <w:r w:rsidR="001778C4" w:rsidRPr="000D5C9D">
          <w:rPr>
            <w:rStyle w:val="Hyperlink"/>
          </w:rPr>
          <w:t>Apparatus licences and tax revenue</w:t>
        </w:r>
        <w:r w:rsidR="001778C4">
          <w:rPr>
            <w:webHidden/>
          </w:rPr>
          <w:tab/>
        </w:r>
        <w:r w:rsidR="001778C4">
          <w:rPr>
            <w:webHidden/>
          </w:rPr>
          <w:fldChar w:fldCharType="begin"/>
        </w:r>
        <w:r w:rsidR="001778C4">
          <w:rPr>
            <w:webHidden/>
          </w:rPr>
          <w:instrText xml:space="preserve"> PAGEREF _Toc33758197 \h </w:instrText>
        </w:r>
        <w:r w:rsidR="001778C4">
          <w:rPr>
            <w:webHidden/>
          </w:rPr>
        </w:r>
        <w:r w:rsidR="001778C4">
          <w:rPr>
            <w:webHidden/>
          </w:rPr>
          <w:fldChar w:fldCharType="separate"/>
        </w:r>
        <w:r w:rsidR="001D56AF">
          <w:rPr>
            <w:webHidden/>
          </w:rPr>
          <w:t>13</w:t>
        </w:r>
        <w:r w:rsidR="001778C4">
          <w:rPr>
            <w:webHidden/>
          </w:rPr>
          <w:fldChar w:fldCharType="end"/>
        </w:r>
      </w:hyperlink>
    </w:p>
    <w:p w14:paraId="7E6003FB" w14:textId="47392295" w:rsidR="001778C4" w:rsidRDefault="004A685A">
      <w:pPr>
        <w:pStyle w:val="TOC2"/>
        <w:rPr>
          <w:rFonts w:asciiTheme="minorHAnsi" w:eastAsiaTheme="minorEastAsia" w:hAnsiTheme="minorHAnsi" w:cstheme="minorBidi"/>
          <w:spacing w:val="0"/>
          <w:sz w:val="22"/>
          <w:szCs w:val="22"/>
        </w:rPr>
      </w:pPr>
      <w:hyperlink w:anchor="_Toc33758198" w:history="1">
        <w:r w:rsidR="001778C4" w:rsidRPr="000D5C9D">
          <w:rPr>
            <w:rStyle w:val="Hyperlink"/>
          </w:rPr>
          <w:t>Spectrum licences and tax revenue</w:t>
        </w:r>
        <w:r w:rsidR="001778C4">
          <w:rPr>
            <w:webHidden/>
          </w:rPr>
          <w:tab/>
        </w:r>
        <w:r w:rsidR="001778C4">
          <w:rPr>
            <w:webHidden/>
          </w:rPr>
          <w:fldChar w:fldCharType="begin"/>
        </w:r>
        <w:r w:rsidR="001778C4">
          <w:rPr>
            <w:webHidden/>
          </w:rPr>
          <w:instrText xml:space="preserve"> PAGEREF _Toc33758198 \h </w:instrText>
        </w:r>
        <w:r w:rsidR="001778C4">
          <w:rPr>
            <w:webHidden/>
          </w:rPr>
        </w:r>
        <w:r w:rsidR="001778C4">
          <w:rPr>
            <w:webHidden/>
          </w:rPr>
          <w:fldChar w:fldCharType="separate"/>
        </w:r>
        <w:r w:rsidR="001D56AF">
          <w:rPr>
            <w:webHidden/>
          </w:rPr>
          <w:t>13</w:t>
        </w:r>
        <w:r w:rsidR="001778C4">
          <w:rPr>
            <w:webHidden/>
          </w:rPr>
          <w:fldChar w:fldCharType="end"/>
        </w:r>
      </w:hyperlink>
    </w:p>
    <w:p w14:paraId="4485A147" w14:textId="3A59CF50" w:rsidR="001778C4" w:rsidRDefault="004A685A">
      <w:pPr>
        <w:pStyle w:val="TOC1"/>
        <w:rPr>
          <w:rFonts w:asciiTheme="minorHAnsi" w:eastAsiaTheme="minorEastAsia" w:hAnsiTheme="minorHAnsi" w:cstheme="minorBidi"/>
          <w:b w:val="0"/>
          <w:spacing w:val="0"/>
          <w:sz w:val="22"/>
          <w:szCs w:val="22"/>
        </w:rPr>
      </w:pPr>
      <w:hyperlink w:anchor="_Toc33758199" w:history="1">
        <w:r w:rsidR="001778C4" w:rsidRPr="000D5C9D">
          <w:rPr>
            <w:rStyle w:val="Hyperlink"/>
          </w:rPr>
          <w:t>Draft spectrum pricing guidelines</w:t>
        </w:r>
        <w:r w:rsidR="001778C4">
          <w:rPr>
            <w:webHidden/>
          </w:rPr>
          <w:tab/>
        </w:r>
        <w:r w:rsidR="001778C4">
          <w:rPr>
            <w:webHidden/>
          </w:rPr>
          <w:fldChar w:fldCharType="begin"/>
        </w:r>
        <w:r w:rsidR="001778C4">
          <w:rPr>
            <w:webHidden/>
          </w:rPr>
          <w:instrText xml:space="preserve"> PAGEREF _Toc33758199 \h </w:instrText>
        </w:r>
        <w:r w:rsidR="001778C4">
          <w:rPr>
            <w:webHidden/>
          </w:rPr>
        </w:r>
        <w:r w:rsidR="001778C4">
          <w:rPr>
            <w:webHidden/>
          </w:rPr>
          <w:fldChar w:fldCharType="separate"/>
        </w:r>
        <w:r w:rsidR="001D56AF">
          <w:rPr>
            <w:webHidden/>
          </w:rPr>
          <w:t>14</w:t>
        </w:r>
        <w:r w:rsidR="001778C4">
          <w:rPr>
            <w:webHidden/>
          </w:rPr>
          <w:fldChar w:fldCharType="end"/>
        </w:r>
      </w:hyperlink>
    </w:p>
    <w:p w14:paraId="55890C9D" w14:textId="0F6FCCCB" w:rsidR="001778C4" w:rsidRDefault="004A685A">
      <w:pPr>
        <w:pStyle w:val="TOC2"/>
        <w:rPr>
          <w:rFonts w:asciiTheme="minorHAnsi" w:eastAsiaTheme="minorEastAsia" w:hAnsiTheme="minorHAnsi" w:cstheme="minorBidi"/>
          <w:spacing w:val="0"/>
          <w:sz w:val="22"/>
          <w:szCs w:val="22"/>
        </w:rPr>
      </w:pPr>
      <w:hyperlink w:anchor="_Toc33758200" w:history="1">
        <w:r w:rsidR="001778C4" w:rsidRPr="000D5C9D">
          <w:rPr>
            <w:rStyle w:val="Hyperlink"/>
          </w:rPr>
          <w:t>Spectrum pricing decisions</w:t>
        </w:r>
        <w:r w:rsidR="001778C4">
          <w:rPr>
            <w:webHidden/>
          </w:rPr>
          <w:tab/>
        </w:r>
        <w:r w:rsidR="001778C4">
          <w:rPr>
            <w:webHidden/>
          </w:rPr>
          <w:fldChar w:fldCharType="begin"/>
        </w:r>
        <w:r w:rsidR="001778C4">
          <w:rPr>
            <w:webHidden/>
          </w:rPr>
          <w:instrText xml:space="preserve"> PAGEREF _Toc33758200 \h </w:instrText>
        </w:r>
        <w:r w:rsidR="001778C4">
          <w:rPr>
            <w:webHidden/>
          </w:rPr>
        </w:r>
        <w:r w:rsidR="001778C4">
          <w:rPr>
            <w:webHidden/>
          </w:rPr>
          <w:fldChar w:fldCharType="separate"/>
        </w:r>
        <w:r w:rsidR="001D56AF">
          <w:rPr>
            <w:webHidden/>
          </w:rPr>
          <w:t>14</w:t>
        </w:r>
        <w:r w:rsidR="001778C4">
          <w:rPr>
            <w:webHidden/>
          </w:rPr>
          <w:fldChar w:fldCharType="end"/>
        </w:r>
      </w:hyperlink>
    </w:p>
    <w:p w14:paraId="05B5CB7D" w14:textId="35247554" w:rsidR="001778C4" w:rsidRDefault="004A685A">
      <w:pPr>
        <w:pStyle w:val="TOC2"/>
        <w:rPr>
          <w:rFonts w:asciiTheme="minorHAnsi" w:eastAsiaTheme="minorEastAsia" w:hAnsiTheme="minorHAnsi" w:cstheme="minorBidi"/>
          <w:spacing w:val="0"/>
          <w:sz w:val="22"/>
          <w:szCs w:val="22"/>
        </w:rPr>
      </w:pPr>
      <w:hyperlink w:anchor="_Toc33758201" w:history="1">
        <w:r w:rsidR="001778C4" w:rsidRPr="000D5C9D">
          <w:rPr>
            <w:rStyle w:val="Hyperlink"/>
          </w:rPr>
          <w:t>Guiding principles</w:t>
        </w:r>
        <w:r w:rsidR="001778C4">
          <w:rPr>
            <w:webHidden/>
          </w:rPr>
          <w:tab/>
        </w:r>
        <w:r w:rsidR="001778C4">
          <w:rPr>
            <w:webHidden/>
          </w:rPr>
          <w:fldChar w:fldCharType="begin"/>
        </w:r>
        <w:r w:rsidR="001778C4">
          <w:rPr>
            <w:webHidden/>
          </w:rPr>
          <w:instrText xml:space="preserve"> PAGEREF _Toc33758201 \h </w:instrText>
        </w:r>
        <w:r w:rsidR="001778C4">
          <w:rPr>
            <w:webHidden/>
          </w:rPr>
        </w:r>
        <w:r w:rsidR="001778C4">
          <w:rPr>
            <w:webHidden/>
          </w:rPr>
          <w:fldChar w:fldCharType="separate"/>
        </w:r>
        <w:r w:rsidR="001D56AF">
          <w:rPr>
            <w:webHidden/>
          </w:rPr>
          <w:t>15</w:t>
        </w:r>
        <w:r w:rsidR="001778C4">
          <w:rPr>
            <w:webHidden/>
          </w:rPr>
          <w:fldChar w:fldCharType="end"/>
        </w:r>
      </w:hyperlink>
    </w:p>
    <w:p w14:paraId="2A4C35D4" w14:textId="193D69B7" w:rsidR="001778C4" w:rsidRDefault="004A685A">
      <w:pPr>
        <w:pStyle w:val="TOC2"/>
        <w:rPr>
          <w:rFonts w:asciiTheme="minorHAnsi" w:eastAsiaTheme="minorEastAsia" w:hAnsiTheme="minorHAnsi" w:cstheme="minorBidi"/>
          <w:spacing w:val="0"/>
          <w:sz w:val="22"/>
          <w:szCs w:val="22"/>
        </w:rPr>
      </w:pPr>
      <w:hyperlink w:anchor="_Toc33758202" w:history="1">
        <w:r w:rsidR="001778C4" w:rsidRPr="000D5C9D">
          <w:rPr>
            <w:rStyle w:val="Hyperlink"/>
          </w:rPr>
          <w:t>When will the ACMA consider changing prices?</w:t>
        </w:r>
        <w:r w:rsidR="001778C4">
          <w:rPr>
            <w:webHidden/>
          </w:rPr>
          <w:tab/>
        </w:r>
        <w:r w:rsidR="001778C4">
          <w:rPr>
            <w:webHidden/>
          </w:rPr>
          <w:fldChar w:fldCharType="begin"/>
        </w:r>
        <w:r w:rsidR="001778C4">
          <w:rPr>
            <w:webHidden/>
          </w:rPr>
          <w:instrText xml:space="preserve"> PAGEREF _Toc33758202 \h </w:instrText>
        </w:r>
        <w:r w:rsidR="001778C4">
          <w:rPr>
            <w:webHidden/>
          </w:rPr>
        </w:r>
        <w:r w:rsidR="001778C4">
          <w:rPr>
            <w:webHidden/>
          </w:rPr>
          <w:fldChar w:fldCharType="separate"/>
        </w:r>
        <w:r w:rsidR="001D56AF">
          <w:rPr>
            <w:webHidden/>
          </w:rPr>
          <w:t>16</w:t>
        </w:r>
        <w:r w:rsidR="001778C4">
          <w:rPr>
            <w:webHidden/>
          </w:rPr>
          <w:fldChar w:fldCharType="end"/>
        </w:r>
      </w:hyperlink>
    </w:p>
    <w:p w14:paraId="48B9E16E" w14:textId="6F832026" w:rsidR="001778C4" w:rsidRDefault="004A685A">
      <w:pPr>
        <w:pStyle w:val="TOC2"/>
        <w:rPr>
          <w:rFonts w:asciiTheme="minorHAnsi" w:eastAsiaTheme="minorEastAsia" w:hAnsiTheme="minorHAnsi" w:cstheme="minorBidi"/>
          <w:spacing w:val="0"/>
          <w:sz w:val="22"/>
          <w:szCs w:val="22"/>
        </w:rPr>
      </w:pPr>
      <w:hyperlink w:anchor="_Toc33758203" w:history="1">
        <w:r w:rsidR="001778C4" w:rsidRPr="000D5C9D">
          <w:rPr>
            <w:rStyle w:val="Hyperlink"/>
          </w:rPr>
          <w:t>Practical considerations</w:t>
        </w:r>
        <w:r w:rsidR="001778C4">
          <w:rPr>
            <w:webHidden/>
          </w:rPr>
          <w:tab/>
        </w:r>
        <w:r w:rsidR="001778C4">
          <w:rPr>
            <w:webHidden/>
          </w:rPr>
          <w:fldChar w:fldCharType="begin"/>
        </w:r>
        <w:r w:rsidR="001778C4">
          <w:rPr>
            <w:webHidden/>
          </w:rPr>
          <w:instrText xml:space="preserve"> PAGEREF _Toc33758203 \h </w:instrText>
        </w:r>
        <w:r w:rsidR="001778C4">
          <w:rPr>
            <w:webHidden/>
          </w:rPr>
        </w:r>
        <w:r w:rsidR="001778C4">
          <w:rPr>
            <w:webHidden/>
          </w:rPr>
          <w:fldChar w:fldCharType="separate"/>
        </w:r>
        <w:r w:rsidR="001D56AF">
          <w:rPr>
            <w:webHidden/>
          </w:rPr>
          <w:t>16</w:t>
        </w:r>
        <w:r w:rsidR="001778C4">
          <w:rPr>
            <w:webHidden/>
          </w:rPr>
          <w:fldChar w:fldCharType="end"/>
        </w:r>
      </w:hyperlink>
    </w:p>
    <w:p w14:paraId="1E0A0384" w14:textId="5EC8CCAF" w:rsidR="001778C4" w:rsidRDefault="004A685A">
      <w:pPr>
        <w:pStyle w:val="TOC1"/>
        <w:rPr>
          <w:rFonts w:asciiTheme="minorHAnsi" w:eastAsiaTheme="minorEastAsia" w:hAnsiTheme="minorHAnsi" w:cstheme="minorBidi"/>
          <w:b w:val="0"/>
          <w:spacing w:val="0"/>
          <w:sz w:val="22"/>
          <w:szCs w:val="22"/>
        </w:rPr>
      </w:pPr>
      <w:hyperlink w:anchor="_Toc33758204" w:history="1">
        <w:r w:rsidR="001778C4" w:rsidRPr="000D5C9D">
          <w:rPr>
            <w:rStyle w:val="Hyperlink"/>
          </w:rPr>
          <w:t>Focus areas</w:t>
        </w:r>
        <w:r w:rsidR="001778C4">
          <w:rPr>
            <w:webHidden/>
          </w:rPr>
          <w:tab/>
        </w:r>
        <w:r w:rsidR="001778C4">
          <w:rPr>
            <w:webHidden/>
          </w:rPr>
          <w:fldChar w:fldCharType="begin"/>
        </w:r>
        <w:r w:rsidR="001778C4">
          <w:rPr>
            <w:webHidden/>
          </w:rPr>
          <w:instrText xml:space="preserve"> PAGEREF _Toc33758204 \h </w:instrText>
        </w:r>
        <w:r w:rsidR="001778C4">
          <w:rPr>
            <w:webHidden/>
          </w:rPr>
        </w:r>
        <w:r w:rsidR="001778C4">
          <w:rPr>
            <w:webHidden/>
          </w:rPr>
          <w:fldChar w:fldCharType="separate"/>
        </w:r>
        <w:r w:rsidR="001D56AF">
          <w:rPr>
            <w:webHidden/>
          </w:rPr>
          <w:t>17</w:t>
        </w:r>
        <w:r w:rsidR="001778C4">
          <w:rPr>
            <w:webHidden/>
          </w:rPr>
          <w:fldChar w:fldCharType="end"/>
        </w:r>
      </w:hyperlink>
    </w:p>
    <w:p w14:paraId="0135AE88" w14:textId="15A01BBA" w:rsidR="001778C4" w:rsidRDefault="004A685A">
      <w:pPr>
        <w:pStyle w:val="TOC2"/>
        <w:rPr>
          <w:rFonts w:asciiTheme="minorHAnsi" w:eastAsiaTheme="minorEastAsia" w:hAnsiTheme="minorHAnsi" w:cstheme="minorBidi"/>
          <w:spacing w:val="0"/>
          <w:sz w:val="22"/>
          <w:szCs w:val="22"/>
        </w:rPr>
      </w:pPr>
      <w:hyperlink w:anchor="_Toc33758205" w:history="1">
        <w:r w:rsidR="001778C4" w:rsidRPr="000D5C9D">
          <w:rPr>
            <w:rStyle w:val="Hyperlink"/>
          </w:rPr>
          <w:t>Prioritising the focus areas</w:t>
        </w:r>
        <w:r w:rsidR="001778C4">
          <w:rPr>
            <w:webHidden/>
          </w:rPr>
          <w:tab/>
        </w:r>
        <w:r w:rsidR="001778C4">
          <w:rPr>
            <w:webHidden/>
          </w:rPr>
          <w:fldChar w:fldCharType="begin"/>
        </w:r>
        <w:r w:rsidR="001778C4">
          <w:rPr>
            <w:webHidden/>
          </w:rPr>
          <w:instrText xml:space="preserve"> PAGEREF _Toc33758205 \h </w:instrText>
        </w:r>
        <w:r w:rsidR="001778C4">
          <w:rPr>
            <w:webHidden/>
          </w:rPr>
        </w:r>
        <w:r w:rsidR="001778C4">
          <w:rPr>
            <w:webHidden/>
          </w:rPr>
          <w:fldChar w:fldCharType="separate"/>
        </w:r>
        <w:r w:rsidR="001D56AF">
          <w:rPr>
            <w:webHidden/>
          </w:rPr>
          <w:t>17</w:t>
        </w:r>
        <w:r w:rsidR="001778C4">
          <w:rPr>
            <w:webHidden/>
          </w:rPr>
          <w:fldChar w:fldCharType="end"/>
        </w:r>
      </w:hyperlink>
    </w:p>
    <w:p w14:paraId="03754724" w14:textId="689C6C61" w:rsidR="001778C4" w:rsidRDefault="004A685A">
      <w:pPr>
        <w:pStyle w:val="TOC2"/>
        <w:rPr>
          <w:rFonts w:asciiTheme="minorHAnsi" w:eastAsiaTheme="minorEastAsia" w:hAnsiTheme="minorHAnsi" w:cstheme="minorBidi"/>
          <w:spacing w:val="0"/>
          <w:sz w:val="22"/>
          <w:szCs w:val="22"/>
        </w:rPr>
      </w:pPr>
      <w:hyperlink w:anchor="_Toc33758206" w:history="1">
        <w:r w:rsidR="001778C4" w:rsidRPr="000D5C9D">
          <w:rPr>
            <w:rStyle w:val="Hyperlink"/>
          </w:rPr>
          <w:t>Focus area 1: Large bandwidth and multiple (networked devices) requirements</w:t>
        </w:r>
        <w:r w:rsidR="001778C4">
          <w:rPr>
            <w:webHidden/>
          </w:rPr>
          <w:tab/>
        </w:r>
        <w:r w:rsidR="001778C4">
          <w:rPr>
            <w:webHidden/>
          </w:rPr>
          <w:fldChar w:fldCharType="begin"/>
        </w:r>
        <w:r w:rsidR="001778C4">
          <w:rPr>
            <w:webHidden/>
          </w:rPr>
          <w:instrText xml:space="preserve"> PAGEREF _Toc33758206 \h </w:instrText>
        </w:r>
        <w:r w:rsidR="001778C4">
          <w:rPr>
            <w:webHidden/>
          </w:rPr>
        </w:r>
        <w:r w:rsidR="001778C4">
          <w:rPr>
            <w:webHidden/>
          </w:rPr>
          <w:fldChar w:fldCharType="separate"/>
        </w:r>
        <w:r w:rsidR="001D56AF">
          <w:rPr>
            <w:webHidden/>
          </w:rPr>
          <w:t>18</w:t>
        </w:r>
        <w:r w:rsidR="001778C4">
          <w:rPr>
            <w:webHidden/>
          </w:rPr>
          <w:fldChar w:fldCharType="end"/>
        </w:r>
      </w:hyperlink>
    </w:p>
    <w:p w14:paraId="4536D83E" w14:textId="0C4F7AF2" w:rsidR="001778C4" w:rsidRDefault="004A685A">
      <w:pPr>
        <w:pStyle w:val="TOC2"/>
        <w:rPr>
          <w:rFonts w:asciiTheme="minorHAnsi" w:eastAsiaTheme="minorEastAsia" w:hAnsiTheme="minorHAnsi" w:cstheme="minorBidi"/>
          <w:spacing w:val="0"/>
          <w:sz w:val="22"/>
          <w:szCs w:val="22"/>
        </w:rPr>
      </w:pPr>
      <w:hyperlink w:anchor="_Toc33758207" w:history="1">
        <w:r w:rsidR="001778C4" w:rsidRPr="000D5C9D">
          <w:rPr>
            <w:rStyle w:val="Hyperlink"/>
          </w:rPr>
          <w:t>Focus area 2: Sharing and low interference potential devices</w:t>
        </w:r>
        <w:r w:rsidR="001778C4">
          <w:rPr>
            <w:webHidden/>
          </w:rPr>
          <w:tab/>
        </w:r>
        <w:r w:rsidR="001778C4">
          <w:rPr>
            <w:webHidden/>
          </w:rPr>
          <w:fldChar w:fldCharType="begin"/>
        </w:r>
        <w:r w:rsidR="001778C4">
          <w:rPr>
            <w:webHidden/>
          </w:rPr>
          <w:instrText xml:space="preserve"> PAGEREF _Toc33758207 \h </w:instrText>
        </w:r>
        <w:r w:rsidR="001778C4">
          <w:rPr>
            <w:webHidden/>
          </w:rPr>
        </w:r>
        <w:r w:rsidR="001778C4">
          <w:rPr>
            <w:webHidden/>
          </w:rPr>
          <w:fldChar w:fldCharType="separate"/>
        </w:r>
        <w:r w:rsidR="001D56AF">
          <w:rPr>
            <w:webHidden/>
          </w:rPr>
          <w:t>20</w:t>
        </w:r>
        <w:r w:rsidR="001778C4">
          <w:rPr>
            <w:webHidden/>
          </w:rPr>
          <w:fldChar w:fldCharType="end"/>
        </w:r>
      </w:hyperlink>
    </w:p>
    <w:p w14:paraId="64128F48" w14:textId="68034C0E" w:rsidR="001778C4" w:rsidRDefault="004A685A">
      <w:pPr>
        <w:pStyle w:val="TOC2"/>
        <w:rPr>
          <w:rFonts w:asciiTheme="minorHAnsi" w:eastAsiaTheme="minorEastAsia" w:hAnsiTheme="minorHAnsi" w:cstheme="minorBidi"/>
          <w:spacing w:val="0"/>
          <w:sz w:val="22"/>
          <w:szCs w:val="22"/>
        </w:rPr>
      </w:pPr>
      <w:hyperlink w:anchor="_Toc33758208" w:history="1">
        <w:r w:rsidR="001778C4" w:rsidRPr="000D5C9D">
          <w:rPr>
            <w:rStyle w:val="Hyperlink"/>
          </w:rPr>
          <w:t>Focus area 3: Defined approach to considering changes in taxes and opportunity cost pricing</w:t>
        </w:r>
        <w:r w:rsidR="001778C4">
          <w:rPr>
            <w:webHidden/>
          </w:rPr>
          <w:tab/>
        </w:r>
        <w:r w:rsidR="001778C4">
          <w:rPr>
            <w:webHidden/>
          </w:rPr>
          <w:fldChar w:fldCharType="begin"/>
        </w:r>
        <w:r w:rsidR="001778C4">
          <w:rPr>
            <w:webHidden/>
          </w:rPr>
          <w:instrText xml:space="preserve"> PAGEREF _Toc33758208 \h </w:instrText>
        </w:r>
        <w:r w:rsidR="001778C4">
          <w:rPr>
            <w:webHidden/>
          </w:rPr>
        </w:r>
        <w:r w:rsidR="001778C4">
          <w:rPr>
            <w:webHidden/>
          </w:rPr>
          <w:fldChar w:fldCharType="separate"/>
        </w:r>
        <w:r w:rsidR="001D56AF">
          <w:rPr>
            <w:webHidden/>
          </w:rPr>
          <w:t>22</w:t>
        </w:r>
        <w:r w:rsidR="001778C4">
          <w:rPr>
            <w:webHidden/>
          </w:rPr>
          <w:fldChar w:fldCharType="end"/>
        </w:r>
      </w:hyperlink>
    </w:p>
    <w:p w14:paraId="370FA60F" w14:textId="584AAB47" w:rsidR="001778C4" w:rsidRDefault="004A685A">
      <w:pPr>
        <w:pStyle w:val="TOC2"/>
        <w:rPr>
          <w:rFonts w:asciiTheme="minorHAnsi" w:eastAsiaTheme="minorEastAsia" w:hAnsiTheme="minorHAnsi" w:cstheme="minorBidi"/>
          <w:spacing w:val="0"/>
          <w:sz w:val="22"/>
          <w:szCs w:val="22"/>
        </w:rPr>
      </w:pPr>
      <w:hyperlink w:anchor="_Toc33758209" w:history="1">
        <w:r w:rsidR="001778C4" w:rsidRPr="000D5C9D">
          <w:rPr>
            <w:rStyle w:val="Hyperlink"/>
          </w:rPr>
          <w:t>Focus area 4: Consistency of pricing approach across geographic areas and bands</w:t>
        </w:r>
        <w:r w:rsidR="001778C4">
          <w:rPr>
            <w:webHidden/>
          </w:rPr>
          <w:tab/>
        </w:r>
        <w:r w:rsidR="001778C4">
          <w:rPr>
            <w:webHidden/>
          </w:rPr>
          <w:fldChar w:fldCharType="begin"/>
        </w:r>
        <w:r w:rsidR="001778C4">
          <w:rPr>
            <w:webHidden/>
          </w:rPr>
          <w:instrText xml:space="preserve"> PAGEREF _Toc33758209 \h </w:instrText>
        </w:r>
        <w:r w:rsidR="001778C4">
          <w:rPr>
            <w:webHidden/>
          </w:rPr>
        </w:r>
        <w:r w:rsidR="001778C4">
          <w:rPr>
            <w:webHidden/>
          </w:rPr>
          <w:fldChar w:fldCharType="separate"/>
        </w:r>
        <w:r w:rsidR="001D56AF">
          <w:rPr>
            <w:webHidden/>
          </w:rPr>
          <w:t>24</w:t>
        </w:r>
        <w:r w:rsidR="001778C4">
          <w:rPr>
            <w:webHidden/>
          </w:rPr>
          <w:fldChar w:fldCharType="end"/>
        </w:r>
      </w:hyperlink>
    </w:p>
    <w:p w14:paraId="6E624C50" w14:textId="707F8179" w:rsidR="001778C4" w:rsidRDefault="004A685A">
      <w:pPr>
        <w:pStyle w:val="TOC2"/>
        <w:rPr>
          <w:rFonts w:asciiTheme="minorHAnsi" w:eastAsiaTheme="minorEastAsia" w:hAnsiTheme="minorHAnsi" w:cstheme="minorBidi"/>
          <w:spacing w:val="0"/>
          <w:sz w:val="22"/>
          <w:szCs w:val="22"/>
        </w:rPr>
      </w:pPr>
      <w:hyperlink w:anchor="_Toc33758210" w:history="1">
        <w:r w:rsidR="001778C4" w:rsidRPr="000D5C9D">
          <w:rPr>
            <w:rStyle w:val="Hyperlink"/>
          </w:rPr>
          <w:t>Focus area 5: New technologies and trials</w:t>
        </w:r>
        <w:r w:rsidR="001778C4">
          <w:rPr>
            <w:webHidden/>
          </w:rPr>
          <w:tab/>
        </w:r>
        <w:r w:rsidR="001778C4">
          <w:rPr>
            <w:webHidden/>
          </w:rPr>
          <w:fldChar w:fldCharType="begin"/>
        </w:r>
        <w:r w:rsidR="001778C4">
          <w:rPr>
            <w:webHidden/>
          </w:rPr>
          <w:instrText xml:space="preserve"> PAGEREF _Toc33758210 \h </w:instrText>
        </w:r>
        <w:r w:rsidR="001778C4">
          <w:rPr>
            <w:webHidden/>
          </w:rPr>
        </w:r>
        <w:r w:rsidR="001778C4">
          <w:rPr>
            <w:webHidden/>
          </w:rPr>
          <w:fldChar w:fldCharType="separate"/>
        </w:r>
        <w:r w:rsidR="001D56AF">
          <w:rPr>
            <w:webHidden/>
          </w:rPr>
          <w:t>28</w:t>
        </w:r>
        <w:r w:rsidR="001778C4">
          <w:rPr>
            <w:webHidden/>
          </w:rPr>
          <w:fldChar w:fldCharType="end"/>
        </w:r>
      </w:hyperlink>
    </w:p>
    <w:p w14:paraId="4C16821D" w14:textId="28C532D1" w:rsidR="001778C4" w:rsidRDefault="004A685A">
      <w:pPr>
        <w:pStyle w:val="TOC2"/>
        <w:rPr>
          <w:rFonts w:asciiTheme="minorHAnsi" w:eastAsiaTheme="minorEastAsia" w:hAnsiTheme="minorHAnsi" w:cstheme="minorBidi"/>
          <w:spacing w:val="0"/>
          <w:sz w:val="22"/>
          <w:szCs w:val="22"/>
        </w:rPr>
      </w:pPr>
      <w:hyperlink w:anchor="_Toc33758211" w:history="1">
        <w:r w:rsidR="001778C4" w:rsidRPr="000D5C9D">
          <w:rPr>
            <w:rStyle w:val="Hyperlink"/>
          </w:rPr>
          <w:t>Focus area 6: Transparency and ease of calculating taxes</w:t>
        </w:r>
        <w:r w:rsidR="001778C4">
          <w:rPr>
            <w:webHidden/>
          </w:rPr>
          <w:tab/>
        </w:r>
        <w:r w:rsidR="001778C4">
          <w:rPr>
            <w:webHidden/>
          </w:rPr>
          <w:fldChar w:fldCharType="begin"/>
        </w:r>
        <w:r w:rsidR="001778C4">
          <w:rPr>
            <w:webHidden/>
          </w:rPr>
          <w:instrText xml:space="preserve"> PAGEREF _Toc33758211 \h </w:instrText>
        </w:r>
        <w:r w:rsidR="001778C4">
          <w:rPr>
            <w:webHidden/>
          </w:rPr>
        </w:r>
        <w:r w:rsidR="001778C4">
          <w:rPr>
            <w:webHidden/>
          </w:rPr>
          <w:fldChar w:fldCharType="separate"/>
        </w:r>
        <w:r w:rsidR="001D56AF">
          <w:rPr>
            <w:webHidden/>
          </w:rPr>
          <w:t>29</w:t>
        </w:r>
        <w:r w:rsidR="001778C4">
          <w:rPr>
            <w:webHidden/>
          </w:rPr>
          <w:fldChar w:fldCharType="end"/>
        </w:r>
      </w:hyperlink>
    </w:p>
    <w:p w14:paraId="168A5F7D" w14:textId="6E65C417" w:rsidR="001778C4" w:rsidRDefault="004A685A">
      <w:pPr>
        <w:pStyle w:val="TOC1"/>
        <w:rPr>
          <w:rFonts w:asciiTheme="minorHAnsi" w:eastAsiaTheme="minorEastAsia" w:hAnsiTheme="minorHAnsi" w:cstheme="minorBidi"/>
          <w:b w:val="0"/>
          <w:spacing w:val="0"/>
          <w:sz w:val="22"/>
          <w:szCs w:val="22"/>
        </w:rPr>
      </w:pPr>
      <w:hyperlink w:anchor="_Toc33758212" w:history="1">
        <w:r w:rsidR="001778C4" w:rsidRPr="000D5C9D">
          <w:rPr>
            <w:rStyle w:val="Hyperlink"/>
          </w:rPr>
          <w:t>Next steps</w:t>
        </w:r>
        <w:r w:rsidR="001778C4">
          <w:rPr>
            <w:webHidden/>
          </w:rPr>
          <w:tab/>
        </w:r>
        <w:r w:rsidR="001778C4">
          <w:rPr>
            <w:webHidden/>
          </w:rPr>
          <w:fldChar w:fldCharType="begin"/>
        </w:r>
        <w:r w:rsidR="001778C4">
          <w:rPr>
            <w:webHidden/>
          </w:rPr>
          <w:instrText xml:space="preserve"> PAGEREF _Toc33758212 \h </w:instrText>
        </w:r>
        <w:r w:rsidR="001778C4">
          <w:rPr>
            <w:webHidden/>
          </w:rPr>
        </w:r>
        <w:r w:rsidR="001778C4">
          <w:rPr>
            <w:webHidden/>
          </w:rPr>
          <w:fldChar w:fldCharType="separate"/>
        </w:r>
        <w:r w:rsidR="001D56AF">
          <w:rPr>
            <w:webHidden/>
          </w:rPr>
          <w:t>30</w:t>
        </w:r>
        <w:r w:rsidR="001778C4">
          <w:rPr>
            <w:webHidden/>
          </w:rPr>
          <w:fldChar w:fldCharType="end"/>
        </w:r>
      </w:hyperlink>
    </w:p>
    <w:p w14:paraId="557E06CA" w14:textId="25F4868E" w:rsidR="001778C4" w:rsidRDefault="004A685A">
      <w:pPr>
        <w:pStyle w:val="TOC1"/>
        <w:rPr>
          <w:rFonts w:asciiTheme="minorHAnsi" w:eastAsiaTheme="minorEastAsia" w:hAnsiTheme="minorHAnsi" w:cstheme="minorBidi"/>
          <w:b w:val="0"/>
          <w:spacing w:val="0"/>
          <w:sz w:val="22"/>
          <w:szCs w:val="22"/>
        </w:rPr>
      </w:pPr>
      <w:hyperlink w:anchor="_Toc33758213" w:history="1">
        <w:r w:rsidR="001778C4" w:rsidRPr="000D5C9D">
          <w:rPr>
            <w:rStyle w:val="Hyperlink"/>
          </w:rPr>
          <w:t>Invitation to comment</w:t>
        </w:r>
        <w:r w:rsidR="001778C4">
          <w:rPr>
            <w:webHidden/>
          </w:rPr>
          <w:tab/>
        </w:r>
        <w:r w:rsidR="001778C4">
          <w:rPr>
            <w:webHidden/>
          </w:rPr>
          <w:fldChar w:fldCharType="begin"/>
        </w:r>
        <w:r w:rsidR="001778C4">
          <w:rPr>
            <w:webHidden/>
          </w:rPr>
          <w:instrText xml:space="preserve"> PAGEREF _Toc33758213 \h </w:instrText>
        </w:r>
        <w:r w:rsidR="001778C4">
          <w:rPr>
            <w:webHidden/>
          </w:rPr>
        </w:r>
        <w:r w:rsidR="001778C4">
          <w:rPr>
            <w:webHidden/>
          </w:rPr>
          <w:fldChar w:fldCharType="separate"/>
        </w:r>
        <w:r w:rsidR="001D56AF">
          <w:rPr>
            <w:webHidden/>
          </w:rPr>
          <w:t>31</w:t>
        </w:r>
        <w:r w:rsidR="001778C4">
          <w:rPr>
            <w:webHidden/>
          </w:rPr>
          <w:fldChar w:fldCharType="end"/>
        </w:r>
      </w:hyperlink>
    </w:p>
    <w:p w14:paraId="5ED75F0E" w14:textId="5DBA00C9" w:rsidR="001778C4" w:rsidRDefault="004A685A">
      <w:pPr>
        <w:pStyle w:val="TOC2"/>
        <w:rPr>
          <w:rFonts w:asciiTheme="minorHAnsi" w:eastAsiaTheme="minorEastAsia" w:hAnsiTheme="minorHAnsi" w:cstheme="minorBidi"/>
          <w:spacing w:val="0"/>
          <w:sz w:val="22"/>
          <w:szCs w:val="22"/>
        </w:rPr>
      </w:pPr>
      <w:hyperlink w:anchor="_Toc33758214" w:history="1">
        <w:r w:rsidR="001778C4" w:rsidRPr="000D5C9D">
          <w:rPr>
            <w:rStyle w:val="Hyperlink"/>
          </w:rPr>
          <w:t>Making a submission</w:t>
        </w:r>
        <w:r w:rsidR="001778C4">
          <w:rPr>
            <w:webHidden/>
          </w:rPr>
          <w:tab/>
        </w:r>
        <w:r w:rsidR="001778C4">
          <w:rPr>
            <w:webHidden/>
          </w:rPr>
          <w:fldChar w:fldCharType="begin"/>
        </w:r>
        <w:r w:rsidR="001778C4">
          <w:rPr>
            <w:webHidden/>
          </w:rPr>
          <w:instrText xml:space="preserve"> PAGEREF _Toc33758214 \h </w:instrText>
        </w:r>
        <w:r w:rsidR="001778C4">
          <w:rPr>
            <w:webHidden/>
          </w:rPr>
        </w:r>
        <w:r w:rsidR="001778C4">
          <w:rPr>
            <w:webHidden/>
          </w:rPr>
          <w:fldChar w:fldCharType="separate"/>
        </w:r>
        <w:r w:rsidR="001D56AF">
          <w:rPr>
            <w:webHidden/>
          </w:rPr>
          <w:t>31</w:t>
        </w:r>
        <w:r w:rsidR="001778C4">
          <w:rPr>
            <w:webHidden/>
          </w:rPr>
          <w:fldChar w:fldCharType="end"/>
        </w:r>
      </w:hyperlink>
    </w:p>
    <w:p w14:paraId="0766769A" w14:textId="23E9F84B" w:rsidR="001778C4" w:rsidRDefault="004A685A">
      <w:pPr>
        <w:pStyle w:val="TOC1"/>
        <w:rPr>
          <w:rFonts w:asciiTheme="minorHAnsi" w:eastAsiaTheme="minorEastAsia" w:hAnsiTheme="minorHAnsi" w:cstheme="minorBidi"/>
          <w:b w:val="0"/>
          <w:spacing w:val="0"/>
          <w:sz w:val="22"/>
          <w:szCs w:val="22"/>
        </w:rPr>
      </w:pPr>
      <w:hyperlink w:anchor="_Toc33758215" w:history="1">
        <w:r w:rsidR="001778C4" w:rsidRPr="000D5C9D">
          <w:rPr>
            <w:rStyle w:val="Hyperlink"/>
          </w:rPr>
          <w:t>Appendix A: Assigned licence tax formula</w:t>
        </w:r>
        <w:r w:rsidR="001778C4">
          <w:rPr>
            <w:webHidden/>
          </w:rPr>
          <w:tab/>
        </w:r>
        <w:r w:rsidR="001778C4">
          <w:rPr>
            <w:webHidden/>
          </w:rPr>
          <w:fldChar w:fldCharType="begin"/>
        </w:r>
        <w:r w:rsidR="001778C4">
          <w:rPr>
            <w:webHidden/>
          </w:rPr>
          <w:instrText xml:space="preserve"> PAGEREF _Toc33758215 \h </w:instrText>
        </w:r>
        <w:r w:rsidR="001778C4">
          <w:rPr>
            <w:webHidden/>
          </w:rPr>
        </w:r>
        <w:r w:rsidR="001778C4">
          <w:rPr>
            <w:webHidden/>
          </w:rPr>
          <w:fldChar w:fldCharType="separate"/>
        </w:r>
        <w:r w:rsidR="001D56AF">
          <w:rPr>
            <w:webHidden/>
          </w:rPr>
          <w:t>32</w:t>
        </w:r>
        <w:r w:rsidR="001778C4">
          <w:rPr>
            <w:webHidden/>
          </w:rPr>
          <w:fldChar w:fldCharType="end"/>
        </w:r>
      </w:hyperlink>
    </w:p>
    <w:p w14:paraId="00E0B59C" w14:textId="349E5375" w:rsidR="001778C4" w:rsidRDefault="004A685A">
      <w:pPr>
        <w:pStyle w:val="TOC2"/>
        <w:rPr>
          <w:rFonts w:asciiTheme="minorHAnsi" w:eastAsiaTheme="minorEastAsia" w:hAnsiTheme="minorHAnsi" w:cstheme="minorBidi"/>
          <w:spacing w:val="0"/>
          <w:sz w:val="22"/>
          <w:szCs w:val="22"/>
        </w:rPr>
      </w:pPr>
      <w:hyperlink w:anchor="_Toc33758216" w:history="1">
        <w:r w:rsidR="001778C4" w:rsidRPr="000D5C9D">
          <w:rPr>
            <w:rStyle w:val="Hyperlink"/>
          </w:rPr>
          <w:t>Normalisation factor</w:t>
        </w:r>
        <w:r w:rsidR="001778C4">
          <w:rPr>
            <w:webHidden/>
          </w:rPr>
          <w:tab/>
        </w:r>
        <w:r w:rsidR="001778C4">
          <w:rPr>
            <w:webHidden/>
          </w:rPr>
          <w:fldChar w:fldCharType="begin"/>
        </w:r>
        <w:r w:rsidR="001778C4">
          <w:rPr>
            <w:webHidden/>
          </w:rPr>
          <w:instrText xml:space="preserve"> PAGEREF _Toc33758216 \h </w:instrText>
        </w:r>
        <w:r w:rsidR="001778C4">
          <w:rPr>
            <w:webHidden/>
          </w:rPr>
        </w:r>
        <w:r w:rsidR="001778C4">
          <w:rPr>
            <w:webHidden/>
          </w:rPr>
          <w:fldChar w:fldCharType="separate"/>
        </w:r>
        <w:r w:rsidR="001D56AF">
          <w:rPr>
            <w:webHidden/>
          </w:rPr>
          <w:t>32</w:t>
        </w:r>
        <w:r w:rsidR="001778C4">
          <w:rPr>
            <w:webHidden/>
          </w:rPr>
          <w:fldChar w:fldCharType="end"/>
        </w:r>
      </w:hyperlink>
    </w:p>
    <w:p w14:paraId="47A3D5F9" w14:textId="4DD5415F" w:rsidR="001778C4" w:rsidRDefault="004A685A">
      <w:pPr>
        <w:pStyle w:val="TOC2"/>
        <w:rPr>
          <w:rFonts w:asciiTheme="minorHAnsi" w:eastAsiaTheme="minorEastAsia" w:hAnsiTheme="minorHAnsi" w:cstheme="minorBidi"/>
          <w:spacing w:val="0"/>
          <w:sz w:val="22"/>
          <w:szCs w:val="22"/>
        </w:rPr>
      </w:pPr>
      <w:hyperlink w:anchor="_Toc33758217" w:history="1">
        <w:r w:rsidR="001778C4" w:rsidRPr="000D5C9D">
          <w:rPr>
            <w:rStyle w:val="Hyperlink"/>
          </w:rPr>
          <w:t>Bandwidth</w:t>
        </w:r>
        <w:r w:rsidR="001778C4">
          <w:rPr>
            <w:webHidden/>
          </w:rPr>
          <w:tab/>
        </w:r>
        <w:r w:rsidR="001778C4">
          <w:rPr>
            <w:webHidden/>
          </w:rPr>
          <w:fldChar w:fldCharType="begin"/>
        </w:r>
        <w:r w:rsidR="001778C4">
          <w:rPr>
            <w:webHidden/>
          </w:rPr>
          <w:instrText xml:space="preserve"> PAGEREF _Toc33758217 \h </w:instrText>
        </w:r>
        <w:r w:rsidR="001778C4">
          <w:rPr>
            <w:webHidden/>
          </w:rPr>
        </w:r>
        <w:r w:rsidR="001778C4">
          <w:rPr>
            <w:webHidden/>
          </w:rPr>
          <w:fldChar w:fldCharType="separate"/>
        </w:r>
        <w:r w:rsidR="001D56AF">
          <w:rPr>
            <w:webHidden/>
          </w:rPr>
          <w:t>32</w:t>
        </w:r>
        <w:r w:rsidR="001778C4">
          <w:rPr>
            <w:webHidden/>
          </w:rPr>
          <w:fldChar w:fldCharType="end"/>
        </w:r>
      </w:hyperlink>
    </w:p>
    <w:p w14:paraId="7354830D" w14:textId="25A1FB89" w:rsidR="001778C4" w:rsidRDefault="004A685A">
      <w:pPr>
        <w:pStyle w:val="TOC2"/>
        <w:rPr>
          <w:rFonts w:asciiTheme="minorHAnsi" w:eastAsiaTheme="minorEastAsia" w:hAnsiTheme="minorHAnsi" w:cstheme="minorBidi"/>
          <w:spacing w:val="0"/>
          <w:sz w:val="22"/>
          <w:szCs w:val="22"/>
        </w:rPr>
      </w:pPr>
      <w:hyperlink w:anchor="_Toc33758218" w:history="1">
        <w:r w:rsidR="001778C4" w:rsidRPr="000D5C9D">
          <w:rPr>
            <w:rStyle w:val="Hyperlink"/>
          </w:rPr>
          <w:t>Power</w:t>
        </w:r>
        <w:r w:rsidR="001778C4">
          <w:rPr>
            <w:webHidden/>
          </w:rPr>
          <w:tab/>
        </w:r>
        <w:r w:rsidR="001778C4">
          <w:rPr>
            <w:webHidden/>
          </w:rPr>
          <w:tab/>
        </w:r>
        <w:r w:rsidR="001778C4">
          <w:rPr>
            <w:webHidden/>
          </w:rPr>
          <w:fldChar w:fldCharType="begin"/>
        </w:r>
        <w:r w:rsidR="001778C4">
          <w:rPr>
            <w:webHidden/>
          </w:rPr>
          <w:instrText xml:space="preserve"> PAGEREF _Toc33758218 \h </w:instrText>
        </w:r>
        <w:r w:rsidR="001778C4">
          <w:rPr>
            <w:webHidden/>
          </w:rPr>
        </w:r>
        <w:r w:rsidR="001778C4">
          <w:rPr>
            <w:webHidden/>
          </w:rPr>
          <w:fldChar w:fldCharType="separate"/>
        </w:r>
        <w:r w:rsidR="001D56AF">
          <w:rPr>
            <w:webHidden/>
          </w:rPr>
          <w:t>32</w:t>
        </w:r>
        <w:r w:rsidR="001778C4">
          <w:rPr>
            <w:webHidden/>
          </w:rPr>
          <w:fldChar w:fldCharType="end"/>
        </w:r>
      </w:hyperlink>
    </w:p>
    <w:p w14:paraId="0C348DF9" w14:textId="6353A537" w:rsidR="001778C4" w:rsidRDefault="004A685A">
      <w:pPr>
        <w:pStyle w:val="TOC2"/>
        <w:rPr>
          <w:rFonts w:asciiTheme="minorHAnsi" w:eastAsiaTheme="minorEastAsia" w:hAnsiTheme="minorHAnsi" w:cstheme="minorBidi"/>
          <w:spacing w:val="0"/>
          <w:sz w:val="22"/>
          <w:szCs w:val="22"/>
        </w:rPr>
      </w:pPr>
      <w:hyperlink w:anchor="_Toc33758219" w:history="1">
        <w:r w:rsidR="001778C4" w:rsidRPr="000D5C9D">
          <w:rPr>
            <w:rStyle w:val="Hyperlink"/>
          </w:rPr>
          <w:t>Location weighting</w:t>
        </w:r>
        <w:r w:rsidR="001778C4">
          <w:rPr>
            <w:webHidden/>
          </w:rPr>
          <w:tab/>
        </w:r>
        <w:r w:rsidR="001778C4">
          <w:rPr>
            <w:webHidden/>
          </w:rPr>
          <w:fldChar w:fldCharType="begin"/>
        </w:r>
        <w:r w:rsidR="001778C4">
          <w:rPr>
            <w:webHidden/>
          </w:rPr>
          <w:instrText xml:space="preserve"> PAGEREF _Toc33758219 \h </w:instrText>
        </w:r>
        <w:r w:rsidR="001778C4">
          <w:rPr>
            <w:webHidden/>
          </w:rPr>
        </w:r>
        <w:r w:rsidR="001778C4">
          <w:rPr>
            <w:webHidden/>
          </w:rPr>
          <w:fldChar w:fldCharType="separate"/>
        </w:r>
        <w:r w:rsidR="001D56AF">
          <w:rPr>
            <w:webHidden/>
          </w:rPr>
          <w:t>33</w:t>
        </w:r>
        <w:r w:rsidR="001778C4">
          <w:rPr>
            <w:webHidden/>
          </w:rPr>
          <w:fldChar w:fldCharType="end"/>
        </w:r>
      </w:hyperlink>
    </w:p>
    <w:p w14:paraId="573753DC" w14:textId="2C943817" w:rsidR="001778C4" w:rsidRDefault="004A685A">
      <w:pPr>
        <w:pStyle w:val="TOC2"/>
        <w:rPr>
          <w:rFonts w:asciiTheme="minorHAnsi" w:eastAsiaTheme="minorEastAsia" w:hAnsiTheme="minorHAnsi" w:cstheme="minorBidi"/>
          <w:spacing w:val="0"/>
          <w:sz w:val="22"/>
          <w:szCs w:val="22"/>
        </w:rPr>
      </w:pPr>
      <w:hyperlink w:anchor="_Toc33758220" w:history="1">
        <w:r w:rsidR="001778C4" w:rsidRPr="000D5C9D">
          <w:rPr>
            <w:rStyle w:val="Hyperlink"/>
          </w:rPr>
          <w:t>Adjustment factor</w:t>
        </w:r>
        <w:r w:rsidR="001778C4">
          <w:rPr>
            <w:webHidden/>
          </w:rPr>
          <w:tab/>
        </w:r>
        <w:r w:rsidR="001778C4">
          <w:rPr>
            <w:webHidden/>
          </w:rPr>
          <w:fldChar w:fldCharType="begin"/>
        </w:r>
        <w:r w:rsidR="001778C4">
          <w:rPr>
            <w:webHidden/>
          </w:rPr>
          <w:instrText xml:space="preserve"> PAGEREF _Toc33758220 \h </w:instrText>
        </w:r>
        <w:r w:rsidR="001778C4">
          <w:rPr>
            <w:webHidden/>
          </w:rPr>
        </w:r>
        <w:r w:rsidR="001778C4">
          <w:rPr>
            <w:webHidden/>
          </w:rPr>
          <w:fldChar w:fldCharType="separate"/>
        </w:r>
        <w:r w:rsidR="001D56AF">
          <w:rPr>
            <w:webHidden/>
          </w:rPr>
          <w:t>34</w:t>
        </w:r>
        <w:r w:rsidR="001778C4">
          <w:rPr>
            <w:webHidden/>
          </w:rPr>
          <w:fldChar w:fldCharType="end"/>
        </w:r>
      </w:hyperlink>
    </w:p>
    <w:p w14:paraId="009906ED" w14:textId="08D3D682" w:rsidR="001778C4" w:rsidRDefault="004A685A">
      <w:pPr>
        <w:pStyle w:val="TOC1"/>
        <w:rPr>
          <w:rFonts w:asciiTheme="minorHAnsi" w:eastAsiaTheme="minorEastAsia" w:hAnsiTheme="minorHAnsi" w:cstheme="minorBidi"/>
          <w:b w:val="0"/>
          <w:spacing w:val="0"/>
          <w:sz w:val="22"/>
          <w:szCs w:val="22"/>
        </w:rPr>
      </w:pPr>
      <w:hyperlink w:anchor="_Toc33758221" w:history="1">
        <w:r w:rsidR="001778C4" w:rsidRPr="000D5C9D">
          <w:rPr>
            <w:rStyle w:val="Hyperlink"/>
          </w:rPr>
          <w:t>Appendix B: Geographic area maps</w:t>
        </w:r>
        <w:r w:rsidR="001778C4">
          <w:rPr>
            <w:webHidden/>
          </w:rPr>
          <w:tab/>
        </w:r>
        <w:r w:rsidR="001778C4">
          <w:rPr>
            <w:webHidden/>
          </w:rPr>
          <w:fldChar w:fldCharType="begin"/>
        </w:r>
        <w:r w:rsidR="001778C4">
          <w:rPr>
            <w:webHidden/>
          </w:rPr>
          <w:instrText xml:space="preserve"> PAGEREF _Toc33758221 \h </w:instrText>
        </w:r>
        <w:r w:rsidR="001778C4">
          <w:rPr>
            <w:webHidden/>
          </w:rPr>
        </w:r>
        <w:r w:rsidR="001778C4">
          <w:rPr>
            <w:webHidden/>
          </w:rPr>
          <w:fldChar w:fldCharType="separate"/>
        </w:r>
        <w:r w:rsidR="001D56AF">
          <w:rPr>
            <w:webHidden/>
          </w:rPr>
          <w:t>36</w:t>
        </w:r>
        <w:r w:rsidR="001778C4">
          <w:rPr>
            <w:webHidden/>
          </w:rPr>
          <w:fldChar w:fldCharType="end"/>
        </w:r>
      </w:hyperlink>
    </w:p>
    <w:p w14:paraId="09AB6A13" w14:textId="6F623B09" w:rsidR="001778C4" w:rsidRDefault="004A685A">
      <w:pPr>
        <w:pStyle w:val="TOC1"/>
        <w:rPr>
          <w:rFonts w:asciiTheme="minorHAnsi" w:eastAsiaTheme="minorEastAsia" w:hAnsiTheme="minorHAnsi" w:cstheme="minorBidi"/>
          <w:b w:val="0"/>
          <w:spacing w:val="0"/>
          <w:sz w:val="22"/>
          <w:szCs w:val="22"/>
        </w:rPr>
      </w:pPr>
      <w:hyperlink w:anchor="_Toc33758222" w:history="1">
        <w:r w:rsidR="001778C4" w:rsidRPr="000D5C9D">
          <w:rPr>
            <w:rStyle w:val="Hyperlink"/>
          </w:rPr>
          <w:t>Appendix C: Calculating commercial broadcasting taxes</w:t>
        </w:r>
        <w:r w:rsidR="001778C4">
          <w:rPr>
            <w:webHidden/>
          </w:rPr>
          <w:tab/>
        </w:r>
        <w:r w:rsidR="001778C4">
          <w:rPr>
            <w:webHidden/>
          </w:rPr>
          <w:fldChar w:fldCharType="begin"/>
        </w:r>
        <w:r w:rsidR="001778C4">
          <w:rPr>
            <w:webHidden/>
          </w:rPr>
          <w:instrText xml:space="preserve"> PAGEREF _Toc33758222 \h </w:instrText>
        </w:r>
        <w:r w:rsidR="001778C4">
          <w:rPr>
            <w:webHidden/>
          </w:rPr>
        </w:r>
        <w:r w:rsidR="001778C4">
          <w:rPr>
            <w:webHidden/>
          </w:rPr>
          <w:fldChar w:fldCharType="separate"/>
        </w:r>
        <w:r w:rsidR="001D56AF">
          <w:rPr>
            <w:webHidden/>
          </w:rPr>
          <w:t>46</w:t>
        </w:r>
        <w:r w:rsidR="001778C4">
          <w:rPr>
            <w:webHidden/>
          </w:rPr>
          <w:fldChar w:fldCharType="end"/>
        </w:r>
      </w:hyperlink>
    </w:p>
    <w:p w14:paraId="10110252" w14:textId="1E152FD4" w:rsidR="001778C4" w:rsidRDefault="004A685A">
      <w:pPr>
        <w:pStyle w:val="TOC1"/>
        <w:rPr>
          <w:rFonts w:asciiTheme="minorHAnsi" w:eastAsiaTheme="minorEastAsia" w:hAnsiTheme="minorHAnsi" w:cstheme="minorBidi"/>
          <w:b w:val="0"/>
          <w:spacing w:val="0"/>
          <w:sz w:val="22"/>
          <w:szCs w:val="22"/>
        </w:rPr>
      </w:pPr>
      <w:hyperlink w:anchor="_Toc33758223" w:history="1">
        <w:r w:rsidR="001778C4" w:rsidRPr="000D5C9D">
          <w:rPr>
            <w:rStyle w:val="Hyperlink"/>
          </w:rPr>
          <w:t>Appendix D: ACMA implementation of opportunity cost pricing of spectrum</w:t>
        </w:r>
        <w:r w:rsidR="001778C4">
          <w:rPr>
            <w:webHidden/>
          </w:rPr>
          <w:tab/>
        </w:r>
        <w:r w:rsidR="001778C4">
          <w:rPr>
            <w:webHidden/>
          </w:rPr>
          <w:fldChar w:fldCharType="begin"/>
        </w:r>
        <w:r w:rsidR="001778C4">
          <w:rPr>
            <w:webHidden/>
          </w:rPr>
          <w:instrText xml:space="preserve"> PAGEREF _Toc33758223 \h </w:instrText>
        </w:r>
        <w:r w:rsidR="001778C4">
          <w:rPr>
            <w:webHidden/>
          </w:rPr>
        </w:r>
        <w:r w:rsidR="001778C4">
          <w:rPr>
            <w:webHidden/>
          </w:rPr>
          <w:fldChar w:fldCharType="separate"/>
        </w:r>
        <w:r w:rsidR="001D56AF">
          <w:rPr>
            <w:webHidden/>
          </w:rPr>
          <w:t>48</w:t>
        </w:r>
        <w:r w:rsidR="001778C4">
          <w:rPr>
            <w:webHidden/>
          </w:rPr>
          <w:fldChar w:fldCharType="end"/>
        </w:r>
      </w:hyperlink>
    </w:p>
    <w:p w14:paraId="7792B13B" w14:textId="6D5D4741" w:rsidR="001778C4" w:rsidRDefault="004A685A">
      <w:pPr>
        <w:pStyle w:val="TOC2"/>
        <w:rPr>
          <w:rFonts w:asciiTheme="minorHAnsi" w:eastAsiaTheme="minorEastAsia" w:hAnsiTheme="minorHAnsi" w:cstheme="minorBidi"/>
          <w:spacing w:val="0"/>
          <w:sz w:val="22"/>
          <w:szCs w:val="22"/>
        </w:rPr>
      </w:pPr>
      <w:hyperlink w:anchor="_Toc33758224" w:history="1">
        <w:r w:rsidR="001778C4" w:rsidRPr="000D5C9D">
          <w:rPr>
            <w:rStyle w:val="Hyperlink"/>
          </w:rPr>
          <w:t>Opportunity cost pricing in the 400 MHz band</w:t>
        </w:r>
        <w:r w:rsidR="001778C4">
          <w:rPr>
            <w:webHidden/>
          </w:rPr>
          <w:tab/>
        </w:r>
        <w:r w:rsidR="001778C4">
          <w:rPr>
            <w:webHidden/>
          </w:rPr>
          <w:fldChar w:fldCharType="begin"/>
        </w:r>
        <w:r w:rsidR="001778C4">
          <w:rPr>
            <w:webHidden/>
          </w:rPr>
          <w:instrText xml:space="preserve"> PAGEREF _Toc33758224 \h </w:instrText>
        </w:r>
        <w:r w:rsidR="001778C4">
          <w:rPr>
            <w:webHidden/>
          </w:rPr>
        </w:r>
        <w:r w:rsidR="001778C4">
          <w:rPr>
            <w:webHidden/>
          </w:rPr>
          <w:fldChar w:fldCharType="separate"/>
        </w:r>
        <w:r w:rsidR="001D56AF">
          <w:rPr>
            <w:webHidden/>
          </w:rPr>
          <w:t>48</w:t>
        </w:r>
        <w:r w:rsidR="001778C4">
          <w:rPr>
            <w:webHidden/>
          </w:rPr>
          <w:fldChar w:fldCharType="end"/>
        </w:r>
      </w:hyperlink>
    </w:p>
    <w:p w14:paraId="51A617C9" w14:textId="08FE3ADE" w:rsidR="001778C4" w:rsidRDefault="004A685A">
      <w:pPr>
        <w:pStyle w:val="TOC2"/>
        <w:rPr>
          <w:rFonts w:asciiTheme="minorHAnsi" w:eastAsiaTheme="minorEastAsia" w:hAnsiTheme="minorHAnsi" w:cstheme="minorBidi"/>
          <w:spacing w:val="0"/>
          <w:sz w:val="22"/>
          <w:szCs w:val="22"/>
        </w:rPr>
      </w:pPr>
      <w:hyperlink w:anchor="_Toc33758225" w:history="1">
        <w:r w:rsidR="001778C4" w:rsidRPr="000D5C9D">
          <w:rPr>
            <w:rStyle w:val="Hyperlink"/>
          </w:rPr>
          <w:t>Opportunity cost pricing in high frequency satellite bands (Ka and above)</w:t>
        </w:r>
        <w:r w:rsidR="001778C4">
          <w:rPr>
            <w:webHidden/>
          </w:rPr>
          <w:tab/>
        </w:r>
        <w:r w:rsidR="001778C4">
          <w:rPr>
            <w:webHidden/>
          </w:rPr>
          <w:fldChar w:fldCharType="begin"/>
        </w:r>
        <w:r w:rsidR="001778C4">
          <w:rPr>
            <w:webHidden/>
          </w:rPr>
          <w:instrText xml:space="preserve"> PAGEREF _Toc33758225 \h </w:instrText>
        </w:r>
        <w:r w:rsidR="001778C4">
          <w:rPr>
            <w:webHidden/>
          </w:rPr>
        </w:r>
        <w:r w:rsidR="001778C4">
          <w:rPr>
            <w:webHidden/>
          </w:rPr>
          <w:fldChar w:fldCharType="separate"/>
        </w:r>
        <w:r w:rsidR="001D56AF">
          <w:rPr>
            <w:webHidden/>
          </w:rPr>
          <w:t>49</w:t>
        </w:r>
        <w:r w:rsidR="001778C4">
          <w:rPr>
            <w:webHidden/>
          </w:rPr>
          <w:fldChar w:fldCharType="end"/>
        </w:r>
      </w:hyperlink>
    </w:p>
    <w:p w14:paraId="0F976AAB" w14:textId="1D1D20C8" w:rsidR="004D56FF" w:rsidRPr="00046DA5" w:rsidRDefault="005871A9">
      <w:pPr>
        <w:rPr>
          <w:rFonts w:cs="Arial"/>
        </w:rPr>
        <w:sectPr w:rsidR="004D56FF" w:rsidRPr="00046DA5" w:rsidSect="00C77380">
          <w:headerReference w:type="even" r:id="rId19"/>
          <w:headerReference w:type="default" r:id="rId20"/>
          <w:footerReference w:type="even" r:id="rId21"/>
          <w:footerReference w:type="default" r:id="rId22"/>
          <w:footerReference w:type="first" r:id="rId23"/>
          <w:pgSz w:w="11906" w:h="16838" w:code="9"/>
          <w:pgMar w:top="3646" w:right="3101" w:bottom="1134" w:left="1134" w:header="709" w:footer="119" w:gutter="0"/>
          <w:cols w:space="708"/>
          <w:titlePg/>
          <w:docGrid w:linePitch="360"/>
        </w:sectPr>
      </w:pPr>
      <w:r w:rsidRPr="00046DA5">
        <w:rPr>
          <w:rFonts w:cs="Arial"/>
          <w:b/>
        </w:rPr>
        <w:fldChar w:fldCharType="end"/>
      </w:r>
    </w:p>
    <w:p w14:paraId="3EE3E243" w14:textId="77777777" w:rsidR="009D6C71" w:rsidRPr="00046DA5" w:rsidRDefault="009D6C71" w:rsidP="009174F3">
      <w:pPr>
        <w:pStyle w:val="Execsummaryheading"/>
      </w:pPr>
      <w:bookmarkStart w:id="0" w:name="_Toc33758183"/>
      <w:r w:rsidRPr="00046DA5">
        <w:lastRenderedPageBreak/>
        <w:t>Executive summary</w:t>
      </w:r>
      <w:bookmarkEnd w:id="0"/>
    </w:p>
    <w:p w14:paraId="4A34CC87" w14:textId="4B3FE351" w:rsidR="00A7444D" w:rsidRPr="00046DA5" w:rsidRDefault="00A7444D" w:rsidP="00D74D7E">
      <w:pPr>
        <w:spacing w:after="80"/>
      </w:pPr>
      <w:r w:rsidRPr="00046DA5">
        <w:t xml:space="preserve">In </w:t>
      </w:r>
      <w:r w:rsidR="00927FF2" w:rsidRPr="00046DA5">
        <w:t xml:space="preserve">February </w:t>
      </w:r>
      <w:r w:rsidRPr="00046DA5">
        <w:t>2018</w:t>
      </w:r>
      <w:r w:rsidR="00D74D7E" w:rsidRPr="00046DA5">
        <w:t>,</w:t>
      </w:r>
      <w:r w:rsidRPr="00046DA5">
        <w:t xml:space="preserve"> the </w:t>
      </w:r>
      <w:r w:rsidR="00594A01" w:rsidRPr="00046DA5">
        <w:t xml:space="preserve">Australian </w:t>
      </w:r>
      <w:r w:rsidRPr="00046DA5">
        <w:t xml:space="preserve">Government endorsed the recommendations of the </w:t>
      </w:r>
      <w:hyperlink r:id="rId24" w:history="1">
        <w:r w:rsidR="001C2B3F" w:rsidRPr="00046DA5">
          <w:rPr>
            <w:rStyle w:val="Hyperlink"/>
          </w:rPr>
          <w:t>Spectrum Pricing Review</w:t>
        </w:r>
      </w:hyperlink>
      <w:r w:rsidR="00C53844" w:rsidRPr="00046DA5">
        <w:t>.</w:t>
      </w:r>
      <w:r w:rsidR="001C2B3F" w:rsidRPr="00046DA5">
        <w:rPr>
          <w:rStyle w:val="FootnoteReference"/>
        </w:rPr>
        <w:footnoteReference w:id="2"/>
      </w:r>
      <w:r w:rsidR="00C53844" w:rsidRPr="00046DA5">
        <w:t xml:space="preserve"> </w:t>
      </w:r>
      <w:r w:rsidR="00ED1550" w:rsidRPr="00046DA5">
        <w:t>T</w:t>
      </w:r>
      <w:r w:rsidRPr="00046DA5">
        <w:t xml:space="preserve">his paper focuses on the implementation of three of </w:t>
      </w:r>
      <w:r w:rsidR="00ED1550" w:rsidRPr="00046DA5">
        <w:t xml:space="preserve">the 11 </w:t>
      </w:r>
      <w:r w:rsidRPr="00046DA5">
        <w:t>recommendations</w:t>
      </w:r>
      <w:r w:rsidR="005C5E03" w:rsidRPr="00046DA5">
        <w:t xml:space="preserve"> relevant to the A</w:t>
      </w:r>
      <w:r w:rsidR="00C53369" w:rsidRPr="00046DA5">
        <w:t xml:space="preserve">ustralian </w:t>
      </w:r>
      <w:r w:rsidR="005C5E03" w:rsidRPr="00046DA5">
        <w:t>C</w:t>
      </w:r>
      <w:r w:rsidR="00C53369" w:rsidRPr="00046DA5">
        <w:t xml:space="preserve">ommunications and </w:t>
      </w:r>
      <w:r w:rsidR="00B7681C" w:rsidRPr="00046DA5">
        <w:t>Media Authority</w:t>
      </w:r>
      <w:r w:rsidR="007C721D" w:rsidRPr="00046DA5">
        <w:t>’s</w:t>
      </w:r>
      <w:r w:rsidR="00B7681C" w:rsidRPr="00046DA5">
        <w:t xml:space="preserve"> (ACMA) </w:t>
      </w:r>
      <w:r w:rsidR="005C5E03" w:rsidRPr="00046DA5">
        <w:t>spectrum management responsibilities</w:t>
      </w:r>
      <w:r w:rsidRPr="00046DA5">
        <w:t>:</w:t>
      </w:r>
    </w:p>
    <w:p w14:paraId="66972A96" w14:textId="77777777" w:rsidR="00A7444D" w:rsidRPr="00046DA5" w:rsidRDefault="00A7444D" w:rsidP="0045498D">
      <w:pPr>
        <w:pStyle w:val="ListBullet"/>
      </w:pPr>
      <w:r w:rsidRPr="00046DA5">
        <w:rPr>
          <w:b/>
          <w:bCs/>
        </w:rPr>
        <w:t>Recommendation 1</w:t>
      </w:r>
      <w:r w:rsidRPr="00046DA5">
        <w:t>: The ACMA should publish guidelines on how it approaches its spectrum pricing decisions.</w:t>
      </w:r>
    </w:p>
    <w:p w14:paraId="5049AAA3" w14:textId="46FD34EA" w:rsidR="00A7444D" w:rsidRPr="00046DA5" w:rsidRDefault="00A7444D" w:rsidP="0045498D">
      <w:pPr>
        <w:pStyle w:val="ListBullet"/>
      </w:pPr>
      <w:r w:rsidRPr="00046DA5">
        <w:rPr>
          <w:b/>
          <w:bCs/>
        </w:rPr>
        <w:t>Recommendation 7</w:t>
      </w:r>
      <w:r w:rsidRPr="00046DA5">
        <w:t>: The ACMA should undertake a detailed review of the administrative pricing formula’s parameters including density areas, the number of pricing bands and the number of power categories. The ACMA should implement regular updates to the location and band weightings to reflect changes in density, demography and demand.</w:t>
      </w:r>
    </w:p>
    <w:p w14:paraId="35240981" w14:textId="77777777" w:rsidR="00A7444D" w:rsidRPr="00046DA5" w:rsidRDefault="00A7444D" w:rsidP="0045498D">
      <w:pPr>
        <w:pStyle w:val="ListBulletLast"/>
      </w:pPr>
      <w:r w:rsidRPr="00046DA5">
        <w:rPr>
          <w:b/>
          <w:bCs/>
        </w:rPr>
        <w:t>Recommendation 8</w:t>
      </w:r>
      <w:r w:rsidRPr="00046DA5">
        <w:t>: The ACMA should apply opportunity cost pricing to a greater number of spectrum bands, especially where it is impractical to competitively allocate spectrum. This work should be identified in the ACMA’s annual work program. The ACMA should consider more time effective approaches to implement these, and review fees as market conditions change over time.</w:t>
      </w:r>
    </w:p>
    <w:p w14:paraId="58067316" w14:textId="441292EB" w:rsidR="0052635F" w:rsidRPr="00046DA5" w:rsidRDefault="005C5E03" w:rsidP="00297102">
      <w:pPr>
        <w:pStyle w:val="Paragraph"/>
      </w:pPr>
      <w:r w:rsidRPr="00046DA5">
        <w:t>T</w:t>
      </w:r>
      <w:r w:rsidR="00A7444D" w:rsidRPr="00046DA5">
        <w:t xml:space="preserve">hese three recommendations </w:t>
      </w:r>
      <w:r w:rsidRPr="00046DA5">
        <w:t xml:space="preserve">are </w:t>
      </w:r>
      <w:r w:rsidR="00EF5609" w:rsidRPr="00046DA5">
        <w:t>most</w:t>
      </w:r>
      <w:r w:rsidR="00567C75" w:rsidRPr="00046DA5">
        <w:t xml:space="preserve"> </w:t>
      </w:r>
      <w:r w:rsidRPr="00046DA5">
        <w:t xml:space="preserve">relevant </w:t>
      </w:r>
      <w:r w:rsidR="00A7444D" w:rsidRPr="00046DA5">
        <w:t>to the ACMA’s approach to administrative pricing</w:t>
      </w:r>
      <w:r w:rsidR="00567C75" w:rsidRPr="00046DA5">
        <w:t xml:space="preserve"> </w:t>
      </w:r>
      <w:r w:rsidR="00A7444D" w:rsidRPr="00046DA5">
        <w:t>for apparatus licence taxes</w:t>
      </w:r>
      <w:r w:rsidR="00C53844" w:rsidRPr="00046DA5">
        <w:t xml:space="preserve">. </w:t>
      </w:r>
      <w:r w:rsidR="00942A29" w:rsidRPr="00046DA5">
        <w:t>T</w:t>
      </w:r>
      <w:r w:rsidR="00EF5609" w:rsidRPr="00046DA5">
        <w:t xml:space="preserve">he draft guidelines </w:t>
      </w:r>
      <w:r w:rsidR="00AA743A" w:rsidRPr="00046DA5">
        <w:t xml:space="preserve">mentioned </w:t>
      </w:r>
      <w:r w:rsidR="0037046E" w:rsidRPr="00046DA5">
        <w:t xml:space="preserve">under Recommendation 1 </w:t>
      </w:r>
      <w:r w:rsidR="00EF5609" w:rsidRPr="00046DA5">
        <w:t>also appl</w:t>
      </w:r>
      <w:r w:rsidR="0052635F" w:rsidRPr="00046DA5">
        <w:t>y</w:t>
      </w:r>
      <w:r w:rsidR="00EF5609" w:rsidRPr="00046DA5">
        <w:t xml:space="preserve"> to </w:t>
      </w:r>
      <w:r w:rsidR="00567C75" w:rsidRPr="00046DA5">
        <w:t xml:space="preserve">administrative pricing </w:t>
      </w:r>
      <w:r w:rsidR="00EF5609" w:rsidRPr="00046DA5">
        <w:t>aspects of</w:t>
      </w:r>
      <w:r w:rsidR="00567C75" w:rsidRPr="00046DA5">
        <w:t xml:space="preserve"> </w:t>
      </w:r>
      <w:r w:rsidR="00EF5609" w:rsidRPr="00046DA5">
        <w:t>the ACMA’s</w:t>
      </w:r>
      <w:r w:rsidR="00567C75" w:rsidRPr="00046DA5">
        <w:t xml:space="preserve"> fee</w:t>
      </w:r>
      <w:r w:rsidR="00012841" w:rsidRPr="00046DA5">
        <w:t>s</w:t>
      </w:r>
      <w:r w:rsidR="00567C75" w:rsidRPr="00046DA5">
        <w:t xml:space="preserve"> for services </w:t>
      </w:r>
      <w:r w:rsidR="00AA743A" w:rsidRPr="00046DA5">
        <w:t>for</w:t>
      </w:r>
      <w:r w:rsidR="00EF5609" w:rsidRPr="00046DA5">
        <w:t xml:space="preserve"> its spectrum management activities </w:t>
      </w:r>
      <w:r w:rsidR="00567C75" w:rsidRPr="00046DA5">
        <w:t xml:space="preserve">and </w:t>
      </w:r>
      <w:r w:rsidR="00AA743A" w:rsidRPr="00046DA5">
        <w:t xml:space="preserve">other </w:t>
      </w:r>
      <w:r w:rsidR="00EF5609" w:rsidRPr="00046DA5">
        <w:t>aspects of the spectrum licensing regime</w:t>
      </w:r>
      <w:r w:rsidR="0052635F" w:rsidRPr="00046DA5">
        <w:t>.</w:t>
      </w:r>
      <w:r w:rsidR="00222AB2" w:rsidRPr="00046DA5">
        <w:t xml:space="preserve"> T</w:t>
      </w:r>
      <w:r w:rsidR="0052635F" w:rsidRPr="00046DA5">
        <w:t>he ACMA</w:t>
      </w:r>
      <w:r w:rsidR="00222AB2" w:rsidRPr="00046DA5">
        <w:t>’s</w:t>
      </w:r>
      <w:r w:rsidR="0052635F" w:rsidRPr="00046DA5">
        <w:t xml:space="preserve"> role in implementing the other recommendations </w:t>
      </w:r>
      <w:r w:rsidR="00222AB2" w:rsidRPr="00046DA5">
        <w:t>is</w:t>
      </w:r>
      <w:r w:rsidR="0052635F" w:rsidRPr="00046DA5">
        <w:t xml:space="preserve"> outlined in this consultation paper.</w:t>
      </w:r>
    </w:p>
    <w:p w14:paraId="4D5E495B" w14:textId="353BCF1C" w:rsidR="00406ED2" w:rsidRPr="00046DA5" w:rsidRDefault="00532D45" w:rsidP="00297102">
      <w:pPr>
        <w:pStyle w:val="Heading2"/>
      </w:pPr>
      <w:bookmarkStart w:id="1" w:name="_Toc33758184"/>
      <w:r w:rsidRPr="00046DA5">
        <w:t xml:space="preserve">Apparatus </w:t>
      </w:r>
      <w:r w:rsidR="0082627D" w:rsidRPr="00046DA5">
        <w:t xml:space="preserve">licence </w:t>
      </w:r>
      <w:r w:rsidRPr="00046DA5">
        <w:t xml:space="preserve">tax </w:t>
      </w:r>
      <w:r w:rsidR="005727F0" w:rsidRPr="00046DA5">
        <w:t>collection and formula</w:t>
      </w:r>
      <w:bookmarkEnd w:id="1"/>
    </w:p>
    <w:p w14:paraId="46E77A36" w14:textId="272CFA6B" w:rsidR="00A7444D" w:rsidRPr="00046DA5" w:rsidRDefault="00AA743A" w:rsidP="00A7444D">
      <w:r w:rsidRPr="00046DA5">
        <w:t>A</w:t>
      </w:r>
      <w:r w:rsidR="00A7444D" w:rsidRPr="00046DA5">
        <w:t>t the end of June 2019</w:t>
      </w:r>
      <w:r w:rsidRPr="00046DA5">
        <w:t>,</w:t>
      </w:r>
      <w:r w:rsidR="00A7444D" w:rsidRPr="00046DA5">
        <w:t xml:space="preserve"> the</w:t>
      </w:r>
      <w:r w:rsidR="00096925" w:rsidRPr="00046DA5">
        <w:t xml:space="preserve">re were </w:t>
      </w:r>
      <w:r w:rsidR="00562B6B" w:rsidRPr="00046DA5">
        <w:t xml:space="preserve">approximately </w:t>
      </w:r>
      <w:r w:rsidR="00A7444D" w:rsidRPr="00046DA5">
        <w:t>170,000 apparatus licences. In 2018</w:t>
      </w:r>
      <w:r w:rsidRPr="00046DA5">
        <w:t>–</w:t>
      </w:r>
      <w:r w:rsidR="00A7444D" w:rsidRPr="00046DA5">
        <w:t>19</w:t>
      </w:r>
      <w:r w:rsidRPr="00046DA5">
        <w:t>,</w:t>
      </w:r>
      <w:r w:rsidR="00A7444D" w:rsidRPr="00046DA5">
        <w:t xml:space="preserve"> the ACMA collected $231 million in apparatus licence tax revenue</w:t>
      </w:r>
      <w:r w:rsidR="00C53844" w:rsidRPr="00046DA5">
        <w:t xml:space="preserve">. </w:t>
      </w:r>
      <w:r w:rsidR="00391E12" w:rsidRPr="00046DA5">
        <w:t>Many</w:t>
      </w:r>
      <w:r w:rsidR="00A7444D" w:rsidRPr="00046DA5">
        <w:t xml:space="preserve"> </w:t>
      </w:r>
      <w:r w:rsidR="000A7726" w:rsidRPr="00046DA5">
        <w:t xml:space="preserve">of </w:t>
      </w:r>
      <w:r w:rsidR="00A7444D" w:rsidRPr="00046DA5">
        <w:t xml:space="preserve">those </w:t>
      </w:r>
      <w:r w:rsidR="00CF5B51" w:rsidRPr="00046DA5">
        <w:t xml:space="preserve">apparatus licence </w:t>
      </w:r>
      <w:r w:rsidR="00A7444D" w:rsidRPr="00046DA5">
        <w:t xml:space="preserve">taxes </w:t>
      </w:r>
      <w:r w:rsidR="00B94ABF" w:rsidRPr="00046DA5">
        <w:t xml:space="preserve">were </w:t>
      </w:r>
      <w:r w:rsidR="00A7444D" w:rsidRPr="00046DA5">
        <w:t xml:space="preserve">based on the ‘assigned licence tax formula’. The tax formula has generally provided a solid base for the ACMA to </w:t>
      </w:r>
      <w:r w:rsidRPr="00046DA5">
        <w:t xml:space="preserve">encourage </w:t>
      </w:r>
      <w:r w:rsidR="00A7444D" w:rsidRPr="00046DA5">
        <w:t>incentive pricing of spectrum. That is, the formula promotes the efficient use of spectrum</w:t>
      </w:r>
      <w:r w:rsidR="007B657C" w:rsidRPr="00046DA5">
        <w:t xml:space="preserve">, with </w:t>
      </w:r>
      <w:r w:rsidR="00A7444D" w:rsidRPr="00046DA5">
        <w:t>charg</w:t>
      </w:r>
      <w:r w:rsidR="007B5E5B" w:rsidRPr="00046DA5">
        <w:t>es</w:t>
      </w:r>
      <w:r w:rsidR="00A7444D" w:rsidRPr="00046DA5">
        <w:t xml:space="preserve"> </w:t>
      </w:r>
      <w:r w:rsidR="007B657C" w:rsidRPr="00046DA5">
        <w:t xml:space="preserve">increasing as </w:t>
      </w:r>
      <w:r w:rsidR="00A7444D" w:rsidRPr="00046DA5">
        <w:t xml:space="preserve">more spectrum </w:t>
      </w:r>
      <w:r w:rsidR="007B657C" w:rsidRPr="00046DA5">
        <w:t xml:space="preserve">is </w:t>
      </w:r>
      <w:r w:rsidR="00A7444D" w:rsidRPr="00046DA5">
        <w:t xml:space="preserve">used </w:t>
      </w:r>
      <w:r w:rsidR="00E22DFD" w:rsidRPr="00046DA5">
        <w:t>in</w:t>
      </w:r>
      <w:r w:rsidR="00A7444D" w:rsidRPr="00046DA5">
        <w:t xml:space="preserve"> more </w:t>
      </w:r>
      <w:r w:rsidR="00046DA5" w:rsidRPr="00046DA5">
        <w:t>densely used</w:t>
      </w:r>
      <w:r w:rsidR="00A7444D" w:rsidRPr="00046DA5">
        <w:t xml:space="preserve"> bands</w:t>
      </w:r>
      <w:r w:rsidR="00C50D1E" w:rsidRPr="00046DA5">
        <w:t>.</w:t>
      </w:r>
    </w:p>
    <w:p w14:paraId="39483A17" w14:textId="12E4AC10" w:rsidR="00A7444D" w:rsidRPr="00046DA5" w:rsidRDefault="00A7444D" w:rsidP="00A7444D">
      <w:r w:rsidRPr="00046DA5">
        <w:t xml:space="preserve">The </w:t>
      </w:r>
      <w:r w:rsidR="00381934" w:rsidRPr="00046DA5">
        <w:t xml:space="preserve">tax </w:t>
      </w:r>
      <w:r w:rsidRPr="00046DA5">
        <w:t xml:space="preserve">formula was first developed in the </w:t>
      </w:r>
      <w:r w:rsidR="00AA743A" w:rsidRPr="00046DA5">
        <w:t>mid-1990s.</w:t>
      </w:r>
      <w:r w:rsidRPr="00046DA5">
        <w:t xml:space="preserve"> </w:t>
      </w:r>
      <w:r w:rsidR="00AA743A" w:rsidRPr="00046DA5">
        <w:t>T</w:t>
      </w:r>
      <w:r w:rsidRPr="00046DA5">
        <w:t xml:space="preserve">he only major review since was in 2004 when the </w:t>
      </w:r>
      <w:r w:rsidR="001C5DC8" w:rsidRPr="00046DA5">
        <w:t>then Australian Communications Authority</w:t>
      </w:r>
      <w:r w:rsidRPr="00046DA5">
        <w:t xml:space="preserve"> introduced the </w:t>
      </w:r>
      <w:r w:rsidR="00B94ABF" w:rsidRPr="00046DA5">
        <w:t>r</w:t>
      </w:r>
      <w:r w:rsidRPr="00046DA5">
        <w:t xml:space="preserve">emote </w:t>
      </w:r>
      <w:r w:rsidR="00B94ABF" w:rsidRPr="00046DA5">
        <w:t>d</w:t>
      </w:r>
      <w:r w:rsidRPr="00046DA5">
        <w:t xml:space="preserve">ensity </w:t>
      </w:r>
      <w:r w:rsidR="00B94ABF" w:rsidRPr="00046DA5">
        <w:t>a</w:t>
      </w:r>
      <w:r w:rsidRPr="00046DA5">
        <w:t>rea. Most other changes to apparatus licence taxes can be characterised as incremental</w:t>
      </w:r>
      <w:r w:rsidR="007B657C" w:rsidRPr="00046DA5">
        <w:t>,</w:t>
      </w:r>
      <w:r w:rsidRPr="00046DA5">
        <w:t xml:space="preserve"> </w:t>
      </w:r>
      <w:r w:rsidR="007B657C" w:rsidRPr="00046DA5">
        <w:t>largely</w:t>
      </w:r>
      <w:r w:rsidRPr="00046DA5">
        <w:t xml:space="preserve"> account</w:t>
      </w:r>
      <w:r w:rsidR="007B657C" w:rsidRPr="00046DA5">
        <w:t>ing</w:t>
      </w:r>
      <w:r w:rsidRPr="00046DA5">
        <w:t xml:space="preserve"> for new licence types and some opportunity cost initiatives.</w:t>
      </w:r>
    </w:p>
    <w:p w14:paraId="48D65A04" w14:textId="4B284810" w:rsidR="001C5DC8" w:rsidRPr="00046DA5" w:rsidRDefault="00AA743A" w:rsidP="00A7444D">
      <w:r w:rsidRPr="00046DA5">
        <w:t>I</w:t>
      </w:r>
      <w:r w:rsidR="00A7444D" w:rsidRPr="00046DA5">
        <w:t xml:space="preserve">ndustry </w:t>
      </w:r>
      <w:r w:rsidR="001C5DC8" w:rsidRPr="00046DA5">
        <w:t xml:space="preserve">stakeholders have noted </w:t>
      </w:r>
      <w:r w:rsidR="00B94ABF" w:rsidRPr="00046DA5">
        <w:t xml:space="preserve">that </w:t>
      </w:r>
      <w:r w:rsidR="00391E12" w:rsidRPr="00046DA5">
        <w:t>developments</w:t>
      </w:r>
      <w:r w:rsidR="001C5DC8" w:rsidRPr="00046DA5">
        <w:t xml:space="preserve"> in spectral efficiency techniques and network and device deployment models</w:t>
      </w:r>
      <w:r w:rsidR="00B94ABF" w:rsidRPr="00046DA5">
        <w:t xml:space="preserve"> may </w:t>
      </w:r>
      <w:r w:rsidRPr="00046DA5">
        <w:t>resul</w:t>
      </w:r>
      <w:r w:rsidR="003E697A" w:rsidRPr="00046DA5">
        <w:t>t</w:t>
      </w:r>
      <w:r w:rsidRPr="00046DA5">
        <w:t xml:space="preserve"> in</w:t>
      </w:r>
      <w:r w:rsidR="001C5DC8" w:rsidRPr="00046DA5">
        <w:t xml:space="preserve"> some taxes </w:t>
      </w:r>
      <w:r w:rsidR="007B657C" w:rsidRPr="00046DA5">
        <w:t xml:space="preserve">not </w:t>
      </w:r>
      <w:r w:rsidR="00B94ABF" w:rsidRPr="00046DA5">
        <w:t xml:space="preserve">promoting </w:t>
      </w:r>
      <w:r w:rsidR="00A7444D" w:rsidRPr="00046DA5">
        <w:t>the efficient use of spectrum</w:t>
      </w:r>
      <w:r w:rsidR="00C53844" w:rsidRPr="00046DA5">
        <w:t xml:space="preserve">. </w:t>
      </w:r>
      <w:r w:rsidR="00A7444D" w:rsidRPr="00046DA5">
        <w:t>For example, the large bandwidths required for some technologies (</w:t>
      </w:r>
      <w:r w:rsidR="009275C5" w:rsidRPr="00046DA5">
        <w:t xml:space="preserve">such as </w:t>
      </w:r>
      <w:r w:rsidR="00A7444D" w:rsidRPr="00046DA5">
        <w:t xml:space="preserve">satellite, fixed and mobile services providing the equivalent of 4G and now 5G services) and the low interference potential of some </w:t>
      </w:r>
      <w:r w:rsidR="003E697A" w:rsidRPr="00046DA5">
        <w:t xml:space="preserve">present-day </w:t>
      </w:r>
      <w:r w:rsidR="00A7444D" w:rsidRPr="00046DA5">
        <w:lastRenderedPageBreak/>
        <w:t xml:space="preserve">services </w:t>
      </w:r>
      <w:r w:rsidR="003E697A" w:rsidRPr="00046DA5">
        <w:t>was</w:t>
      </w:r>
      <w:r w:rsidR="00A7444D" w:rsidRPr="00046DA5">
        <w:t xml:space="preserve"> </w:t>
      </w:r>
      <w:r w:rsidR="00B94ABF" w:rsidRPr="00046DA5">
        <w:t xml:space="preserve">not </w:t>
      </w:r>
      <w:r w:rsidR="00A7444D" w:rsidRPr="00046DA5">
        <w:t xml:space="preserve">factored into the original </w:t>
      </w:r>
      <w:r w:rsidR="00381934" w:rsidRPr="00046DA5">
        <w:t xml:space="preserve">tax </w:t>
      </w:r>
      <w:r w:rsidR="00A7444D" w:rsidRPr="00046DA5">
        <w:t>formula</w:t>
      </w:r>
      <w:r w:rsidR="0057794B" w:rsidRPr="00046DA5">
        <w:t xml:space="preserve">. </w:t>
      </w:r>
      <w:r w:rsidR="00DD58E1" w:rsidRPr="00046DA5">
        <w:t>With the use of larger amounts of spectru</w:t>
      </w:r>
      <w:r w:rsidR="00835C38" w:rsidRPr="00046DA5">
        <w:t>m</w:t>
      </w:r>
      <w:r w:rsidR="003E697A" w:rsidRPr="00046DA5">
        <w:t>,</w:t>
      </w:r>
      <w:r w:rsidR="00835C38" w:rsidRPr="00046DA5">
        <w:t xml:space="preserve"> this typically implies that taxes are similarly increasing</w:t>
      </w:r>
      <w:r w:rsidR="00E00D9C" w:rsidRPr="00046DA5">
        <w:t xml:space="preserve">. </w:t>
      </w:r>
      <w:r w:rsidR="005B2093" w:rsidRPr="00046DA5">
        <w:t>These</w:t>
      </w:r>
      <w:r w:rsidR="00A7444D" w:rsidRPr="00046DA5">
        <w:t xml:space="preserve"> </w:t>
      </w:r>
      <w:r w:rsidR="00224F9A" w:rsidRPr="00046DA5">
        <w:t xml:space="preserve">increasing </w:t>
      </w:r>
      <w:r w:rsidR="00A7444D" w:rsidRPr="00046DA5">
        <w:t xml:space="preserve">taxes </w:t>
      </w:r>
      <w:r w:rsidR="006202B0" w:rsidRPr="00046DA5">
        <w:t xml:space="preserve">may not </w:t>
      </w:r>
      <w:r w:rsidR="00626F45" w:rsidRPr="00046DA5">
        <w:t xml:space="preserve">always be </w:t>
      </w:r>
      <w:r w:rsidR="0033469A" w:rsidRPr="00046DA5">
        <w:t xml:space="preserve">providing </w:t>
      </w:r>
      <w:r w:rsidR="00B31C22" w:rsidRPr="00046DA5">
        <w:t>appropriate incentives</w:t>
      </w:r>
      <w:r w:rsidR="006202B0" w:rsidRPr="00046DA5">
        <w:t xml:space="preserve"> </w:t>
      </w:r>
      <w:r w:rsidR="00336357" w:rsidRPr="00046DA5">
        <w:t xml:space="preserve">for the </w:t>
      </w:r>
      <w:r w:rsidR="0011040A" w:rsidRPr="00046DA5">
        <w:t>efficient use of spectrum</w:t>
      </w:r>
      <w:r w:rsidR="001C5DC8" w:rsidRPr="00046DA5">
        <w:t>.</w:t>
      </w:r>
    </w:p>
    <w:p w14:paraId="45C64F9A" w14:textId="2CB6392E" w:rsidR="00D56A47" w:rsidRPr="00046DA5" w:rsidRDefault="00845243" w:rsidP="004651DD">
      <w:pPr>
        <w:pStyle w:val="Heading2"/>
      </w:pPr>
      <w:bookmarkStart w:id="2" w:name="_Toc33758185"/>
      <w:r w:rsidRPr="00046DA5">
        <w:t xml:space="preserve">Draft </w:t>
      </w:r>
      <w:r w:rsidR="003E697A" w:rsidRPr="00046DA5">
        <w:t>s</w:t>
      </w:r>
      <w:r w:rsidRPr="00046DA5">
        <w:t xml:space="preserve">pectrum </w:t>
      </w:r>
      <w:r w:rsidR="003E697A" w:rsidRPr="00046DA5">
        <w:t>p</w:t>
      </w:r>
      <w:r w:rsidRPr="00046DA5">
        <w:t xml:space="preserve">ricing </w:t>
      </w:r>
      <w:r w:rsidR="003E697A" w:rsidRPr="00046DA5">
        <w:t>d</w:t>
      </w:r>
      <w:r w:rsidRPr="00046DA5">
        <w:t xml:space="preserve">ecision </w:t>
      </w:r>
      <w:r w:rsidR="003E697A" w:rsidRPr="00046DA5">
        <w:t>g</w:t>
      </w:r>
      <w:r w:rsidRPr="00046DA5">
        <w:t xml:space="preserve">uidelines and </w:t>
      </w:r>
      <w:r w:rsidR="007879A6" w:rsidRPr="00046DA5">
        <w:t>f</w:t>
      </w:r>
      <w:r w:rsidR="00E01165" w:rsidRPr="00046DA5">
        <w:t>ocus</w:t>
      </w:r>
      <w:r w:rsidR="00046DA5">
        <w:t> </w:t>
      </w:r>
      <w:r w:rsidR="00E01165" w:rsidRPr="00046DA5">
        <w:t>areas</w:t>
      </w:r>
      <w:bookmarkEnd w:id="2"/>
    </w:p>
    <w:p w14:paraId="6275CB8A" w14:textId="27240C86" w:rsidR="00A7444D" w:rsidRPr="00046DA5" w:rsidRDefault="00B56AA4" w:rsidP="004651DD">
      <w:pPr>
        <w:spacing w:after="80"/>
      </w:pPr>
      <w:r w:rsidRPr="00046DA5">
        <w:t>T</w:t>
      </w:r>
      <w:r w:rsidR="003E6844" w:rsidRPr="00046DA5">
        <w:t xml:space="preserve">o </w:t>
      </w:r>
      <w:r w:rsidR="007B657C" w:rsidRPr="00046DA5">
        <w:t>help identify issues and developments relevant to the review of apparatus licence taxes and the tax formula</w:t>
      </w:r>
      <w:r w:rsidR="003E6844" w:rsidRPr="00046DA5">
        <w:t xml:space="preserve">, the ACMA is proposing the following focus areas: </w:t>
      </w:r>
    </w:p>
    <w:p w14:paraId="21CF0DE4" w14:textId="2D0125CE" w:rsidR="0003484D" w:rsidRPr="00046DA5" w:rsidRDefault="0072390A" w:rsidP="0045498D">
      <w:pPr>
        <w:pStyle w:val="ListBullet"/>
      </w:pPr>
      <w:r w:rsidRPr="00046DA5">
        <w:t xml:space="preserve">Focus </w:t>
      </w:r>
      <w:r w:rsidR="003E697A" w:rsidRPr="00046DA5">
        <w:t>a</w:t>
      </w:r>
      <w:r w:rsidRPr="00046DA5">
        <w:t xml:space="preserve">rea </w:t>
      </w:r>
      <w:r w:rsidR="00615307" w:rsidRPr="00046DA5">
        <w:t>1</w:t>
      </w:r>
      <w:r w:rsidRPr="00046DA5">
        <w:t xml:space="preserve">: </w:t>
      </w:r>
      <w:r w:rsidR="00FA7449" w:rsidRPr="00046DA5">
        <w:t>Large bandwidth and multiple (networked device</w:t>
      </w:r>
      <w:r w:rsidR="00615307" w:rsidRPr="00046DA5">
        <w:t>s</w:t>
      </w:r>
      <w:r w:rsidR="00FA7449" w:rsidRPr="00046DA5">
        <w:t>) requirements</w:t>
      </w:r>
      <w:r w:rsidR="00E61116" w:rsidRPr="00046DA5">
        <w:t>.</w:t>
      </w:r>
    </w:p>
    <w:p w14:paraId="1DDA9ACA" w14:textId="2014215C" w:rsidR="00CA1F51" w:rsidRPr="00046DA5" w:rsidRDefault="00CA1F51" w:rsidP="0045498D">
      <w:pPr>
        <w:pStyle w:val="ListBullet"/>
      </w:pPr>
      <w:r w:rsidRPr="00046DA5">
        <w:t xml:space="preserve">Focus </w:t>
      </w:r>
      <w:r w:rsidR="00E61116" w:rsidRPr="00046DA5">
        <w:t>a</w:t>
      </w:r>
      <w:r w:rsidRPr="00046DA5">
        <w:t xml:space="preserve">rea </w:t>
      </w:r>
      <w:r w:rsidR="00615307" w:rsidRPr="00046DA5">
        <w:t>2</w:t>
      </w:r>
      <w:r w:rsidRPr="00046DA5">
        <w:t>: Sharing and low interference</w:t>
      </w:r>
      <w:r w:rsidR="00615307" w:rsidRPr="00046DA5">
        <w:t xml:space="preserve"> potential devices</w:t>
      </w:r>
      <w:r w:rsidR="00E61116" w:rsidRPr="00046DA5">
        <w:t>.</w:t>
      </w:r>
    </w:p>
    <w:p w14:paraId="287F8A62" w14:textId="3F5091E0" w:rsidR="00615307" w:rsidRPr="00046DA5" w:rsidRDefault="00615307" w:rsidP="0045498D">
      <w:pPr>
        <w:pStyle w:val="ListBullet"/>
      </w:pPr>
      <w:r w:rsidRPr="00046DA5">
        <w:t xml:space="preserve">Focus </w:t>
      </w:r>
      <w:r w:rsidR="00E61116" w:rsidRPr="00046DA5">
        <w:t>a</w:t>
      </w:r>
      <w:r w:rsidRPr="00046DA5">
        <w:t>rea 3: Defined approach to considering changes in taxes and opportunity cost pricing</w:t>
      </w:r>
      <w:r w:rsidR="00E61116" w:rsidRPr="00046DA5">
        <w:t>.</w:t>
      </w:r>
    </w:p>
    <w:p w14:paraId="53DF6C88" w14:textId="10F914D8" w:rsidR="00CA1F51" w:rsidRPr="00046DA5" w:rsidRDefault="00CA1F51" w:rsidP="0045498D">
      <w:pPr>
        <w:pStyle w:val="ListBullet"/>
      </w:pPr>
      <w:r w:rsidRPr="00046DA5">
        <w:t xml:space="preserve">Focus </w:t>
      </w:r>
      <w:r w:rsidR="00E61116" w:rsidRPr="00046DA5">
        <w:t>a</w:t>
      </w:r>
      <w:r w:rsidRPr="00046DA5">
        <w:t>rea 4: Consistency of pricing approach across geographic areas and bands</w:t>
      </w:r>
      <w:r w:rsidR="00E61116" w:rsidRPr="00046DA5">
        <w:t>.</w:t>
      </w:r>
    </w:p>
    <w:p w14:paraId="157E98DE" w14:textId="3EA16D79" w:rsidR="00CA1F51" w:rsidRPr="00046DA5" w:rsidRDefault="00CA1F51" w:rsidP="0045498D">
      <w:pPr>
        <w:pStyle w:val="ListBullet"/>
      </w:pPr>
      <w:r w:rsidRPr="00046DA5">
        <w:t xml:space="preserve">Focus </w:t>
      </w:r>
      <w:r w:rsidR="00E61116" w:rsidRPr="00046DA5">
        <w:t>a</w:t>
      </w:r>
      <w:r w:rsidRPr="00046DA5">
        <w:t>rea 5: New technologies</w:t>
      </w:r>
      <w:r w:rsidR="00615307" w:rsidRPr="00046DA5">
        <w:t xml:space="preserve"> and trials</w:t>
      </w:r>
      <w:r w:rsidR="00E61116" w:rsidRPr="00046DA5">
        <w:t>.</w:t>
      </w:r>
    </w:p>
    <w:p w14:paraId="5969B49B" w14:textId="51F18DFA" w:rsidR="00615307" w:rsidRPr="00046DA5" w:rsidRDefault="00615307" w:rsidP="004651DD">
      <w:pPr>
        <w:pStyle w:val="ListBulletLast"/>
      </w:pPr>
      <w:r w:rsidRPr="00046DA5">
        <w:t xml:space="preserve">Focus </w:t>
      </w:r>
      <w:r w:rsidR="00E61116" w:rsidRPr="00046DA5">
        <w:t>a</w:t>
      </w:r>
      <w:r w:rsidRPr="00046DA5">
        <w:t>rea 6: Transparency and ease of calculating taxes</w:t>
      </w:r>
      <w:r w:rsidR="00E61116" w:rsidRPr="00046DA5">
        <w:t>.</w:t>
      </w:r>
    </w:p>
    <w:p w14:paraId="3CB0150A" w14:textId="5EB58FB7" w:rsidR="009F4FBB" w:rsidRPr="00046DA5" w:rsidRDefault="009F4FBB" w:rsidP="004651DD">
      <w:pPr>
        <w:pStyle w:val="Heading2"/>
      </w:pPr>
      <w:bookmarkStart w:id="3" w:name="_Toc33758186"/>
      <w:r w:rsidRPr="00046DA5">
        <w:t xml:space="preserve">Consultation </w:t>
      </w:r>
      <w:r w:rsidR="001C2B3F" w:rsidRPr="00046DA5">
        <w:t>p</w:t>
      </w:r>
      <w:r w:rsidRPr="00046DA5">
        <w:t>rocess and next steps</w:t>
      </w:r>
      <w:bookmarkEnd w:id="3"/>
    </w:p>
    <w:p w14:paraId="0D6D50FC" w14:textId="031CBE03" w:rsidR="00FF578D" w:rsidRPr="00046DA5" w:rsidRDefault="00FF578D" w:rsidP="004651DD">
      <w:pPr>
        <w:pStyle w:val="Paragraph"/>
      </w:pPr>
      <w:r w:rsidRPr="00046DA5">
        <w:t>In a more general sense</w:t>
      </w:r>
      <w:r w:rsidR="00E61116" w:rsidRPr="00046DA5">
        <w:t>,</w:t>
      </w:r>
      <w:r w:rsidRPr="00046DA5">
        <w:t xml:space="preserve"> this paper is provided to engage with stakeholders about the ACMA’s approach to spectrum pricing</w:t>
      </w:r>
      <w:r w:rsidR="00E61116" w:rsidRPr="00046DA5">
        <w:t>,</w:t>
      </w:r>
      <w:r w:rsidR="00EC34BA" w:rsidRPr="00046DA5">
        <w:t xml:space="preserve"> rather than consult </w:t>
      </w:r>
      <w:r w:rsidR="008D21A8" w:rsidRPr="00046DA5">
        <w:t>on specific price</w:t>
      </w:r>
      <w:r w:rsidR="001C2B3F" w:rsidRPr="00046DA5">
        <w:t>s</w:t>
      </w:r>
      <w:r w:rsidR="008D21A8" w:rsidRPr="00046DA5">
        <w:t>.</w:t>
      </w:r>
      <w:r w:rsidR="00C53844" w:rsidRPr="00046DA5">
        <w:t xml:space="preserve"> </w:t>
      </w:r>
      <w:r w:rsidR="001A4D12" w:rsidRPr="00046DA5">
        <w:t xml:space="preserve">Feedback </w:t>
      </w:r>
      <w:r w:rsidR="00E61116" w:rsidRPr="00046DA5">
        <w:t xml:space="preserve">on </w:t>
      </w:r>
      <w:r w:rsidR="009D47C5" w:rsidRPr="00046DA5">
        <w:t xml:space="preserve">the paper </w:t>
      </w:r>
      <w:r w:rsidR="00343180" w:rsidRPr="00046DA5">
        <w:t xml:space="preserve">will be </w:t>
      </w:r>
      <w:r w:rsidR="005A4C37" w:rsidRPr="00046DA5">
        <w:t xml:space="preserve">an important input into any pricing considerations and </w:t>
      </w:r>
      <w:r w:rsidRPr="00046DA5">
        <w:t xml:space="preserve">offers the opportunity to comment on </w:t>
      </w:r>
      <w:r w:rsidR="004F3649" w:rsidRPr="00046DA5">
        <w:t xml:space="preserve">the proposed spectrum pricing guidelines and </w:t>
      </w:r>
      <w:r w:rsidR="00533021" w:rsidRPr="00046DA5">
        <w:t xml:space="preserve">focus </w:t>
      </w:r>
      <w:r w:rsidRPr="00046DA5">
        <w:t xml:space="preserve">areas </w:t>
      </w:r>
      <w:r w:rsidR="00761B7F" w:rsidRPr="00046DA5">
        <w:t xml:space="preserve">for </w:t>
      </w:r>
      <w:r w:rsidR="0020411D" w:rsidRPr="00046DA5">
        <w:t>the</w:t>
      </w:r>
      <w:r w:rsidR="00761B7F" w:rsidRPr="00046DA5">
        <w:t xml:space="preserve"> ACMA’s work program to implement the recommendations of the Spectrum Pricing Review</w:t>
      </w:r>
      <w:r w:rsidRPr="00046DA5">
        <w:t xml:space="preserve">. The ACMA is encouraging stakeholders to provide relevant pricing information to </w:t>
      </w:r>
      <w:r w:rsidR="000161DF" w:rsidRPr="00046DA5">
        <w:t xml:space="preserve">support </w:t>
      </w:r>
      <w:r w:rsidRPr="00046DA5">
        <w:t>any claims made.</w:t>
      </w:r>
    </w:p>
    <w:p w14:paraId="511C9B26" w14:textId="529BABE6" w:rsidR="0020411D" w:rsidRPr="00046DA5" w:rsidRDefault="0020411D" w:rsidP="00D74D7E">
      <w:pPr>
        <w:spacing w:after="80"/>
      </w:pPr>
      <w:r w:rsidRPr="00046DA5">
        <w:t>To respond to the submissions to this consultation process</w:t>
      </w:r>
      <w:r w:rsidR="00282D8A" w:rsidRPr="00046DA5">
        <w:t>,</w:t>
      </w:r>
      <w:r w:rsidRPr="00046DA5">
        <w:t xml:space="preserve"> the ACMA will release a</w:t>
      </w:r>
      <w:r w:rsidR="003818A6" w:rsidRPr="00046DA5">
        <w:t>n outcomes</w:t>
      </w:r>
      <w:r w:rsidRPr="00046DA5">
        <w:t xml:space="preserve"> paper</w:t>
      </w:r>
      <w:r w:rsidR="004F3649" w:rsidRPr="00046DA5">
        <w:t xml:space="preserve">. In addition to responding to </w:t>
      </w:r>
      <w:r w:rsidR="00C235A3" w:rsidRPr="00046DA5">
        <w:t>issues</w:t>
      </w:r>
      <w:r w:rsidR="00561609" w:rsidRPr="00046DA5">
        <w:t xml:space="preserve"> identified through consultation feedback</w:t>
      </w:r>
      <w:r w:rsidR="004F3649" w:rsidRPr="00046DA5">
        <w:t>, the paper will</w:t>
      </w:r>
      <w:r w:rsidRPr="00046DA5">
        <w:t xml:space="preserve"> outlin</w:t>
      </w:r>
      <w:r w:rsidR="004F3649" w:rsidRPr="00046DA5">
        <w:t>e</w:t>
      </w:r>
      <w:r w:rsidRPr="00046DA5">
        <w:t>:</w:t>
      </w:r>
    </w:p>
    <w:p w14:paraId="2F3DD0E6" w14:textId="65E40689" w:rsidR="004F3649" w:rsidRPr="00046DA5" w:rsidRDefault="004F3649" w:rsidP="0045498D">
      <w:pPr>
        <w:pStyle w:val="ListBullet"/>
      </w:pPr>
      <w:r w:rsidRPr="00046DA5">
        <w:t xml:space="preserve">the spectrum pricing guidelines </w:t>
      </w:r>
    </w:p>
    <w:p w14:paraId="15BEBD9F" w14:textId="50322838" w:rsidR="00925EB0" w:rsidRPr="00046DA5" w:rsidRDefault="00925EB0" w:rsidP="0045498D">
      <w:pPr>
        <w:pStyle w:val="ListBullet"/>
      </w:pPr>
      <w:r w:rsidRPr="00046DA5">
        <w:t>confirmation of the focus areas to be considered as part of the implementation of the Spectrum Pricing Review</w:t>
      </w:r>
    </w:p>
    <w:p w14:paraId="6505058D" w14:textId="31F96BDB" w:rsidR="00925EB0" w:rsidRPr="00046DA5" w:rsidRDefault="00282D8A" w:rsidP="0045498D">
      <w:pPr>
        <w:pStyle w:val="ListBullet"/>
      </w:pPr>
      <w:r w:rsidRPr="00046DA5">
        <w:t>a</w:t>
      </w:r>
      <w:r w:rsidR="0020411D" w:rsidRPr="00046DA5">
        <w:t xml:space="preserve"> work program to </w:t>
      </w:r>
      <w:r w:rsidR="00925EB0" w:rsidRPr="00046DA5">
        <w:t xml:space="preserve">consider </w:t>
      </w:r>
      <w:r w:rsidR="0020411D" w:rsidRPr="00046DA5">
        <w:t xml:space="preserve">the </w:t>
      </w:r>
      <w:r w:rsidR="00925EB0" w:rsidRPr="00046DA5">
        <w:t>changes to the prices</w:t>
      </w:r>
      <w:r w:rsidR="004F3649" w:rsidRPr="00046DA5">
        <w:t xml:space="preserve"> relating to the focus areas</w:t>
      </w:r>
      <w:r w:rsidR="00925EB0" w:rsidRPr="00046DA5">
        <w:t xml:space="preserve">. This work program </w:t>
      </w:r>
      <w:r w:rsidR="004F3649" w:rsidRPr="00046DA5">
        <w:t>will</w:t>
      </w:r>
      <w:r w:rsidR="00FA0D01" w:rsidRPr="00046DA5">
        <w:t xml:space="preserve"> outline</w:t>
      </w:r>
      <w:r w:rsidR="00925EB0" w:rsidRPr="00046DA5">
        <w:t>:</w:t>
      </w:r>
    </w:p>
    <w:p w14:paraId="2520B557" w14:textId="4F5BBD3A" w:rsidR="0020411D" w:rsidRPr="00046DA5" w:rsidRDefault="00925EB0" w:rsidP="00D74D7E">
      <w:pPr>
        <w:pStyle w:val="ListBullet2"/>
      </w:pPr>
      <w:r w:rsidRPr="00046DA5">
        <w:t xml:space="preserve">the further analysis required to propose new </w:t>
      </w:r>
      <w:r w:rsidR="00B81371" w:rsidRPr="00046DA5">
        <w:t>taxes</w:t>
      </w:r>
    </w:p>
    <w:p w14:paraId="31FA8A8D" w14:textId="331192B3" w:rsidR="00B81371" w:rsidRPr="00046DA5" w:rsidRDefault="00282D8A" w:rsidP="00D74D7E">
      <w:pPr>
        <w:pStyle w:val="ListBullet2"/>
        <w:spacing w:after="240"/>
      </w:pPr>
      <w:r w:rsidRPr="00046DA5">
        <w:t>any future</w:t>
      </w:r>
      <w:r w:rsidR="00FA0D01" w:rsidRPr="00046DA5">
        <w:t xml:space="preserve"> consultation processes </w:t>
      </w:r>
      <w:r w:rsidRPr="00046DA5">
        <w:t>for</w:t>
      </w:r>
      <w:r w:rsidR="00FA0D01" w:rsidRPr="00046DA5">
        <w:t xml:space="preserve"> </w:t>
      </w:r>
      <w:r w:rsidR="004F3649" w:rsidRPr="00046DA5">
        <w:t>the proposed new taxes, including the timing of those consultation processes.</w:t>
      </w:r>
    </w:p>
    <w:p w14:paraId="20715BE6" w14:textId="1FD15069" w:rsidR="00FA7449" w:rsidRPr="00046DA5" w:rsidRDefault="009B7DF4" w:rsidP="00D74D7E">
      <w:pPr>
        <w:pStyle w:val="Paragraph"/>
      </w:pPr>
      <w:r w:rsidRPr="00046DA5">
        <w:t xml:space="preserve">This work program will also be included in the future editions of the </w:t>
      </w:r>
      <w:hyperlink r:id="rId25" w:history="1">
        <w:r w:rsidR="00282D8A" w:rsidRPr="00046DA5">
          <w:rPr>
            <w:rStyle w:val="Hyperlink"/>
          </w:rPr>
          <w:t>f</w:t>
        </w:r>
        <w:r w:rsidR="0064094B" w:rsidRPr="00046DA5">
          <w:rPr>
            <w:rStyle w:val="Hyperlink"/>
          </w:rPr>
          <w:t>ive</w:t>
        </w:r>
        <w:r w:rsidR="00282D8A" w:rsidRPr="00046DA5">
          <w:rPr>
            <w:rStyle w:val="Hyperlink"/>
          </w:rPr>
          <w:t>-y</w:t>
        </w:r>
        <w:r w:rsidR="0064094B" w:rsidRPr="00046DA5">
          <w:rPr>
            <w:rStyle w:val="Hyperlink"/>
          </w:rPr>
          <w:t xml:space="preserve">ear </w:t>
        </w:r>
        <w:r w:rsidR="00282D8A" w:rsidRPr="00046DA5">
          <w:rPr>
            <w:rStyle w:val="Hyperlink"/>
          </w:rPr>
          <w:t>s</w:t>
        </w:r>
        <w:r w:rsidR="0064094B" w:rsidRPr="00046DA5">
          <w:rPr>
            <w:rStyle w:val="Hyperlink"/>
          </w:rPr>
          <w:t xml:space="preserve">pectrum </w:t>
        </w:r>
        <w:r w:rsidR="00282D8A" w:rsidRPr="00046DA5">
          <w:rPr>
            <w:rStyle w:val="Hyperlink"/>
          </w:rPr>
          <w:t>o</w:t>
        </w:r>
        <w:r w:rsidR="0064094B" w:rsidRPr="00046DA5">
          <w:rPr>
            <w:rStyle w:val="Hyperlink"/>
          </w:rPr>
          <w:t>utlook</w:t>
        </w:r>
      </w:hyperlink>
      <w:r w:rsidR="0064094B" w:rsidRPr="00046DA5" w:rsidDel="004539D4">
        <w:t xml:space="preserve"> </w:t>
      </w:r>
      <w:r w:rsidR="0064094B" w:rsidRPr="00046DA5">
        <w:t>(the FYSO) to</w:t>
      </w:r>
      <w:r w:rsidRPr="00046DA5">
        <w:t xml:space="preserve"> </w:t>
      </w:r>
      <w:r w:rsidR="00282D8A" w:rsidRPr="00046DA5">
        <w:t xml:space="preserve">allow </w:t>
      </w:r>
      <w:r w:rsidRPr="00046DA5">
        <w:t>stakeholders to monitor the progress of its implementation and provide further comment.</w:t>
      </w:r>
      <w:r w:rsidR="0064094B" w:rsidRPr="00046DA5">
        <w:rPr>
          <w:rStyle w:val="FootnoteReference"/>
        </w:rPr>
        <w:footnoteReference w:id="3"/>
      </w:r>
    </w:p>
    <w:p w14:paraId="479D74BA" w14:textId="69ECB4BD" w:rsidR="00715722" w:rsidRPr="00046DA5" w:rsidRDefault="00715722" w:rsidP="00715722">
      <w:pPr>
        <w:pStyle w:val="Heading1"/>
      </w:pPr>
      <w:bookmarkStart w:id="4" w:name="_Toc433122125"/>
      <w:bookmarkStart w:id="5" w:name="_Toc33758187"/>
      <w:r w:rsidRPr="00046DA5">
        <w:lastRenderedPageBreak/>
        <w:t>Issues for comment</w:t>
      </w:r>
      <w:bookmarkEnd w:id="4"/>
      <w:bookmarkEnd w:id="5"/>
    </w:p>
    <w:p w14:paraId="618F3E50" w14:textId="0DAC14FA" w:rsidR="00715722" w:rsidRPr="00046DA5" w:rsidRDefault="00715722" w:rsidP="00D74D7E">
      <w:pPr>
        <w:pStyle w:val="Paragraph"/>
      </w:pPr>
      <w:r w:rsidRPr="00046DA5">
        <w:t xml:space="preserve">The ACMA invites comments on the issues set out in this </w:t>
      </w:r>
      <w:r w:rsidR="0064094B" w:rsidRPr="00046DA5">
        <w:t xml:space="preserve">consultation </w:t>
      </w:r>
      <w:r w:rsidRPr="00046DA5">
        <w:t>paper:</w:t>
      </w:r>
    </w:p>
    <w:p w14:paraId="5675F23F" w14:textId="13309FE5" w:rsidR="00490EAF" w:rsidRPr="00046DA5" w:rsidRDefault="00490EAF" w:rsidP="00D74D7E">
      <w:pPr>
        <w:pStyle w:val="Paragraph"/>
        <w:spacing w:after="0"/>
        <w:rPr>
          <w:b/>
        </w:rPr>
      </w:pPr>
      <w:r w:rsidRPr="00046DA5">
        <w:rPr>
          <w:b/>
        </w:rPr>
        <w:t xml:space="preserve">Question </w:t>
      </w:r>
      <w:r w:rsidR="002D2A55" w:rsidRPr="00046DA5">
        <w:rPr>
          <w:b/>
        </w:rPr>
        <w:t>1</w:t>
      </w:r>
    </w:p>
    <w:p w14:paraId="05DB4A75" w14:textId="3EC0975B" w:rsidR="00490EAF" w:rsidRPr="00046DA5" w:rsidRDefault="007938CF" w:rsidP="00381B31">
      <w:pPr>
        <w:pStyle w:val="Paragraph"/>
      </w:pPr>
      <w:r w:rsidRPr="00046DA5">
        <w:t>Do stakeholders have any views about the status of the ACMA’s role in implementing the recommendations of the Spectrum Pricing Review?</w:t>
      </w:r>
    </w:p>
    <w:p w14:paraId="1E676E0A" w14:textId="4B72D84D" w:rsidR="00490EAF" w:rsidRPr="00046DA5" w:rsidRDefault="00490EAF" w:rsidP="00D74D7E">
      <w:pPr>
        <w:pStyle w:val="Paragraph"/>
        <w:spacing w:after="0"/>
        <w:rPr>
          <w:b/>
        </w:rPr>
      </w:pPr>
      <w:r w:rsidRPr="00046DA5">
        <w:rPr>
          <w:b/>
        </w:rPr>
        <w:t xml:space="preserve">Question </w:t>
      </w:r>
      <w:r w:rsidR="002D2A55" w:rsidRPr="00046DA5">
        <w:rPr>
          <w:b/>
        </w:rPr>
        <w:t>2</w:t>
      </w:r>
    </w:p>
    <w:p w14:paraId="00F52990" w14:textId="77777777" w:rsidR="00490EAF" w:rsidRPr="00046DA5" w:rsidRDefault="00490EAF" w:rsidP="00381B31">
      <w:pPr>
        <w:pStyle w:val="Paragraph"/>
      </w:pPr>
      <w:r w:rsidRPr="00046DA5">
        <w:t>Do stakeholders have any views on the legislative and policy environment that may be relevant to the pricing issues outlined in this paper?</w:t>
      </w:r>
    </w:p>
    <w:p w14:paraId="0701FAFD" w14:textId="0FE0E016" w:rsidR="00490EAF" w:rsidRPr="00046DA5" w:rsidRDefault="00490EAF" w:rsidP="00D74D7E">
      <w:pPr>
        <w:pStyle w:val="Paragraph"/>
        <w:spacing w:after="0"/>
        <w:rPr>
          <w:b/>
        </w:rPr>
      </w:pPr>
      <w:r w:rsidRPr="00046DA5">
        <w:rPr>
          <w:b/>
        </w:rPr>
        <w:t xml:space="preserve">Question </w:t>
      </w:r>
      <w:r w:rsidR="002D2A55" w:rsidRPr="00046DA5">
        <w:rPr>
          <w:b/>
        </w:rPr>
        <w:t>3</w:t>
      </w:r>
    </w:p>
    <w:p w14:paraId="72066EA2" w14:textId="5D919D3A" w:rsidR="00490EAF" w:rsidRPr="00046DA5" w:rsidRDefault="00282D8A" w:rsidP="00381B31">
      <w:pPr>
        <w:pStyle w:val="Paragraph"/>
      </w:pPr>
      <w:r w:rsidRPr="00046DA5">
        <w:t>Do stakeholders have</w:t>
      </w:r>
      <w:r w:rsidR="009E15F8" w:rsidRPr="00046DA5">
        <w:t xml:space="preserve"> comments on </w:t>
      </w:r>
      <w:r w:rsidRPr="00046DA5">
        <w:t xml:space="preserve">the ACMA’s </w:t>
      </w:r>
      <w:r w:rsidR="009E15F8" w:rsidRPr="00046DA5">
        <w:t>draft spectrum pricing guideline</w:t>
      </w:r>
      <w:r w:rsidR="00423E39" w:rsidRPr="00046DA5">
        <w:t>s</w:t>
      </w:r>
      <w:r w:rsidR="009E15F8" w:rsidRPr="00046DA5">
        <w:t xml:space="preserve"> including the relevant spectrum pricing decisions, guiding principles and process for changing prices</w:t>
      </w:r>
      <w:r w:rsidR="00B6372E" w:rsidRPr="00046DA5">
        <w:t>?</w:t>
      </w:r>
    </w:p>
    <w:p w14:paraId="3EBAED87" w14:textId="77777777" w:rsidR="00190BB0" w:rsidRPr="00046DA5" w:rsidRDefault="00190BB0" w:rsidP="00D74D7E">
      <w:pPr>
        <w:pStyle w:val="Paragraph"/>
        <w:spacing w:after="0"/>
        <w:rPr>
          <w:b/>
        </w:rPr>
      </w:pPr>
      <w:r w:rsidRPr="00046DA5">
        <w:rPr>
          <w:b/>
        </w:rPr>
        <w:t>Question 4</w:t>
      </w:r>
    </w:p>
    <w:p w14:paraId="243728A4" w14:textId="1472EBBF" w:rsidR="00190BB0" w:rsidRPr="00046DA5" w:rsidRDefault="00282D8A" w:rsidP="00190BB0">
      <w:pPr>
        <w:pStyle w:val="Paragraph"/>
      </w:pPr>
      <w:r w:rsidRPr="00046DA5">
        <w:t>Does</w:t>
      </w:r>
      <w:r w:rsidR="00190BB0" w:rsidRPr="00046DA5">
        <w:t xml:space="preserve"> the tax formula generally provide a solid base for incentivising the efficient use of spectrum?</w:t>
      </w:r>
    </w:p>
    <w:p w14:paraId="555DD389" w14:textId="0EDD1C82" w:rsidR="00490EAF" w:rsidRPr="00046DA5" w:rsidRDefault="00490EAF" w:rsidP="00D74D7E">
      <w:pPr>
        <w:pStyle w:val="Paragraph"/>
        <w:spacing w:after="0"/>
        <w:rPr>
          <w:b/>
        </w:rPr>
      </w:pPr>
      <w:r w:rsidRPr="00046DA5">
        <w:rPr>
          <w:b/>
        </w:rPr>
        <w:t xml:space="preserve">Question </w:t>
      </w:r>
      <w:r w:rsidR="00190BB0" w:rsidRPr="00046DA5">
        <w:rPr>
          <w:b/>
        </w:rPr>
        <w:t>5</w:t>
      </w:r>
    </w:p>
    <w:p w14:paraId="0B890C82" w14:textId="17CAC978" w:rsidR="00490EAF" w:rsidRPr="00046DA5" w:rsidRDefault="00282D8A" w:rsidP="00D74D7E">
      <w:pPr>
        <w:pStyle w:val="Paragraph"/>
        <w:spacing w:after="80"/>
      </w:pPr>
      <w:r w:rsidRPr="00046DA5">
        <w:t>Do stakeholders have views on</w:t>
      </w:r>
      <w:r w:rsidR="008E1128" w:rsidRPr="00046DA5">
        <w:t xml:space="preserve">: </w:t>
      </w:r>
    </w:p>
    <w:p w14:paraId="23B1939F" w14:textId="2C250CCA" w:rsidR="00490EAF" w:rsidRPr="00046DA5" w:rsidRDefault="00490EAF">
      <w:pPr>
        <w:pStyle w:val="ListBullet"/>
      </w:pPr>
      <w:r w:rsidRPr="00046DA5">
        <w:t>prioritising the features of the tax formula and other taxes by considering different focus areas</w:t>
      </w:r>
    </w:p>
    <w:p w14:paraId="6E78FDAC" w14:textId="77777777" w:rsidR="00490EAF" w:rsidRPr="00046DA5" w:rsidRDefault="00490EAF">
      <w:pPr>
        <w:pStyle w:val="ListBullet"/>
      </w:pPr>
      <w:r w:rsidRPr="00046DA5">
        <w:t>the criteria for prioritising the focus areas</w:t>
      </w:r>
    </w:p>
    <w:p w14:paraId="32A89131" w14:textId="77777777" w:rsidR="00490EAF" w:rsidRPr="00046DA5" w:rsidRDefault="00490EAF" w:rsidP="00D74D7E">
      <w:pPr>
        <w:pStyle w:val="ListBulletLast"/>
      </w:pPr>
      <w:r w:rsidRPr="00046DA5">
        <w:t>other matters or focus areas that should be considered as part of the ACMA’s work program.</w:t>
      </w:r>
    </w:p>
    <w:p w14:paraId="54A09B2F" w14:textId="539B5BAD" w:rsidR="00490EAF" w:rsidRPr="00046DA5" w:rsidRDefault="00490EAF" w:rsidP="00D74D7E">
      <w:pPr>
        <w:pStyle w:val="Paragraph"/>
        <w:spacing w:after="0"/>
        <w:rPr>
          <w:b/>
        </w:rPr>
      </w:pPr>
      <w:r w:rsidRPr="00046DA5">
        <w:rPr>
          <w:b/>
        </w:rPr>
        <w:t xml:space="preserve">Question </w:t>
      </w:r>
      <w:r w:rsidR="00190BB0" w:rsidRPr="00046DA5">
        <w:rPr>
          <w:b/>
        </w:rPr>
        <w:t>6</w:t>
      </w:r>
    </w:p>
    <w:p w14:paraId="083D7991" w14:textId="0465FF58" w:rsidR="00904AD9" w:rsidRPr="00046DA5" w:rsidRDefault="007921A7" w:rsidP="00D74D7E">
      <w:pPr>
        <w:pStyle w:val="Paragraph"/>
        <w:spacing w:after="80"/>
      </w:pPr>
      <w:r w:rsidRPr="00046DA5">
        <w:t>W</w:t>
      </w:r>
      <w:r w:rsidR="00904AD9" w:rsidRPr="00046DA5">
        <w:t xml:space="preserve">hat </w:t>
      </w:r>
      <w:r w:rsidRPr="00046DA5">
        <w:t xml:space="preserve">are the </w:t>
      </w:r>
      <w:r w:rsidR="00904AD9" w:rsidRPr="00046DA5">
        <w:t>relevant price points to undertake an opportunity cost analysis of taxes for services above 5 GHz? Examples of relevant information may include:</w:t>
      </w:r>
    </w:p>
    <w:p w14:paraId="396D658D" w14:textId="6085E3A7" w:rsidR="00904AD9" w:rsidRPr="00046DA5" w:rsidRDefault="00904AD9">
      <w:pPr>
        <w:pStyle w:val="ListBullet"/>
      </w:pPr>
      <w:r w:rsidRPr="00046DA5">
        <w:t xml:space="preserve">how prices for products and services have changed over time </w:t>
      </w:r>
    </w:p>
    <w:p w14:paraId="34DD9CB4" w14:textId="194CD6C7" w:rsidR="00904AD9" w:rsidRPr="00046DA5" w:rsidRDefault="00904AD9">
      <w:pPr>
        <w:pStyle w:val="ListBullet"/>
      </w:pPr>
      <w:r w:rsidRPr="00046DA5">
        <w:t>how prices of radiocommunications equipment ha</w:t>
      </w:r>
      <w:r w:rsidR="00431D98" w:rsidRPr="00046DA5">
        <w:t>ve</w:t>
      </w:r>
      <w:r w:rsidRPr="00046DA5">
        <w:t xml:space="preserve"> changed over time relative to spectrum prices</w:t>
      </w:r>
    </w:p>
    <w:p w14:paraId="34D16DFF" w14:textId="0E8F417F" w:rsidR="00904AD9" w:rsidRPr="00046DA5" w:rsidRDefault="00904AD9" w:rsidP="00D74D7E">
      <w:pPr>
        <w:pStyle w:val="ListBulletLast"/>
      </w:pPr>
      <w:r w:rsidRPr="00046DA5">
        <w:t>comparisons with international auctions results or administrative spectrum prices.</w:t>
      </w:r>
    </w:p>
    <w:p w14:paraId="10FAF077" w14:textId="0A18DB63" w:rsidR="00490EAF" w:rsidRPr="00046DA5" w:rsidRDefault="00490EAF" w:rsidP="00D74D7E">
      <w:pPr>
        <w:pStyle w:val="Paragraph"/>
        <w:spacing w:after="0"/>
        <w:rPr>
          <w:b/>
        </w:rPr>
      </w:pPr>
      <w:r w:rsidRPr="00046DA5">
        <w:rPr>
          <w:b/>
        </w:rPr>
        <w:t xml:space="preserve">Question </w:t>
      </w:r>
      <w:r w:rsidR="00190BB0" w:rsidRPr="00046DA5">
        <w:rPr>
          <w:b/>
        </w:rPr>
        <w:t>7</w:t>
      </w:r>
    </w:p>
    <w:p w14:paraId="05E7BA49" w14:textId="2D3D3C47" w:rsidR="00490EAF" w:rsidRPr="00046DA5" w:rsidRDefault="007921A7" w:rsidP="00381B31">
      <w:pPr>
        <w:pStyle w:val="Paragraph"/>
      </w:pPr>
      <w:r w:rsidRPr="00046DA5">
        <w:t>How</w:t>
      </w:r>
      <w:r w:rsidR="00490EAF" w:rsidRPr="00046DA5">
        <w:t xml:space="preserve"> </w:t>
      </w:r>
      <w:r w:rsidRPr="00046DA5">
        <w:t>can</w:t>
      </w:r>
      <w:r w:rsidR="00490EAF" w:rsidRPr="00046DA5">
        <w:t xml:space="preserve"> taxes be designed to account for multiple devices</w:t>
      </w:r>
      <w:r w:rsidRPr="00046DA5">
        <w:t>?</w:t>
      </w:r>
      <w:r w:rsidR="00490EAF" w:rsidRPr="00046DA5">
        <w:t xml:space="preserve"> Under what circumstances do stakeholders believe that one tax should relate to many devices and/or there should be </w:t>
      </w:r>
      <w:r w:rsidR="00C77449" w:rsidRPr="00046DA5">
        <w:t>‘</w:t>
      </w:r>
      <w:r w:rsidR="00490EAF" w:rsidRPr="00046DA5">
        <w:t>discounts</w:t>
      </w:r>
      <w:r w:rsidR="00C77449" w:rsidRPr="00046DA5">
        <w:t>’</w:t>
      </w:r>
      <w:r w:rsidR="00490EAF" w:rsidRPr="00046DA5">
        <w:t xml:space="preserve"> for multiple devices </w:t>
      </w:r>
      <w:r w:rsidR="00C77449" w:rsidRPr="00046DA5">
        <w:t xml:space="preserve">authorised </w:t>
      </w:r>
      <w:r w:rsidR="00490EAF" w:rsidRPr="00046DA5">
        <w:t>under one licence?</w:t>
      </w:r>
    </w:p>
    <w:p w14:paraId="5417A795" w14:textId="76A508C7" w:rsidR="00490EAF" w:rsidRPr="00046DA5" w:rsidRDefault="00490EAF" w:rsidP="00D74D7E">
      <w:pPr>
        <w:pStyle w:val="Paragraph"/>
        <w:spacing w:after="0"/>
        <w:rPr>
          <w:b/>
        </w:rPr>
      </w:pPr>
      <w:r w:rsidRPr="00046DA5">
        <w:rPr>
          <w:b/>
        </w:rPr>
        <w:t xml:space="preserve">Question </w:t>
      </w:r>
      <w:r w:rsidR="00190BB0" w:rsidRPr="00046DA5">
        <w:rPr>
          <w:b/>
        </w:rPr>
        <w:t>8</w:t>
      </w:r>
    </w:p>
    <w:p w14:paraId="2A84DD51" w14:textId="213E2F8F" w:rsidR="00490EAF" w:rsidRPr="00046DA5" w:rsidRDefault="00490EAF" w:rsidP="00381B31">
      <w:pPr>
        <w:pStyle w:val="Paragraph"/>
        <w:spacing w:after="80"/>
      </w:pPr>
      <w:r w:rsidRPr="00046DA5">
        <w:t xml:space="preserve">While the current low power discount provides for a significant reduction in taxes of </w:t>
      </w:r>
      <w:r w:rsidR="00C77449" w:rsidRPr="00046DA5">
        <w:t>90 </w:t>
      </w:r>
      <w:r w:rsidRPr="00046DA5">
        <w:t>per cent, the ACMA is interested in considering further incentives to promote the greater sharing of spectrum.</w:t>
      </w:r>
    </w:p>
    <w:p w14:paraId="462B2C44" w14:textId="081BFA2F" w:rsidR="00490EAF" w:rsidRPr="00046DA5" w:rsidRDefault="00490EAF" w:rsidP="00381B31">
      <w:pPr>
        <w:pStyle w:val="Paragraph"/>
        <w:spacing w:after="80"/>
      </w:pPr>
      <w:r w:rsidRPr="00046DA5">
        <w:t>Do the lower potential denial areas of different services provide a case for considering different or additional low power discounts? In responding, please provide:</w:t>
      </w:r>
    </w:p>
    <w:p w14:paraId="014DFD41" w14:textId="77777777" w:rsidR="00490EAF" w:rsidRPr="00046DA5" w:rsidRDefault="00490EAF">
      <w:pPr>
        <w:pStyle w:val="ListBullet"/>
      </w:pPr>
      <w:r w:rsidRPr="00046DA5">
        <w:t xml:space="preserve">examples of these services and the denial characteristics of these services </w:t>
      </w:r>
    </w:p>
    <w:p w14:paraId="27F96435" w14:textId="77777777" w:rsidR="00490EAF" w:rsidRPr="00046DA5" w:rsidRDefault="00490EAF">
      <w:pPr>
        <w:pStyle w:val="ListBullet"/>
      </w:pPr>
      <w:r w:rsidRPr="00046DA5">
        <w:t>the information that may be required for the ACMA to be able to apply a discount</w:t>
      </w:r>
    </w:p>
    <w:p w14:paraId="25860492" w14:textId="77777777" w:rsidR="00490EAF" w:rsidRPr="00046DA5" w:rsidRDefault="00490EAF" w:rsidP="00D74D7E">
      <w:pPr>
        <w:pStyle w:val="ListBulletLast"/>
      </w:pPr>
      <w:r w:rsidRPr="00046DA5">
        <w:t xml:space="preserve">views on whether such approaches can be applied across different licence types and bands. </w:t>
      </w:r>
    </w:p>
    <w:p w14:paraId="6B9E163F" w14:textId="344EB3C1" w:rsidR="00490EAF" w:rsidRPr="00046DA5" w:rsidRDefault="00490EAF" w:rsidP="00D74D7E">
      <w:pPr>
        <w:pStyle w:val="Paragraph"/>
        <w:spacing w:after="0"/>
        <w:rPr>
          <w:b/>
        </w:rPr>
      </w:pPr>
      <w:r w:rsidRPr="00046DA5">
        <w:rPr>
          <w:b/>
        </w:rPr>
        <w:lastRenderedPageBreak/>
        <w:t xml:space="preserve">Question </w:t>
      </w:r>
      <w:r w:rsidR="00190BB0" w:rsidRPr="00046DA5">
        <w:rPr>
          <w:b/>
        </w:rPr>
        <w:t>9</w:t>
      </w:r>
    </w:p>
    <w:p w14:paraId="2AC859A9" w14:textId="112734F0" w:rsidR="00490EAF" w:rsidRPr="00046DA5" w:rsidRDefault="00C77449" w:rsidP="00381B31">
      <w:pPr>
        <w:pStyle w:val="Paragraph"/>
        <w:spacing w:after="80"/>
      </w:pPr>
      <w:r w:rsidRPr="00046DA5">
        <w:t>Do stakeholders have</w:t>
      </w:r>
      <w:r w:rsidR="00490EAF" w:rsidRPr="00046DA5">
        <w:t xml:space="preserve"> comments on:</w:t>
      </w:r>
    </w:p>
    <w:p w14:paraId="63247C16" w14:textId="7D6576D3" w:rsidR="00490EAF" w:rsidRPr="00046DA5" w:rsidRDefault="00526F3C">
      <w:pPr>
        <w:pStyle w:val="Bulletlevel1"/>
      </w:pPr>
      <w:r w:rsidRPr="00046DA5">
        <w:t xml:space="preserve">the proposal </w:t>
      </w:r>
      <w:r w:rsidR="00490EAF" w:rsidRPr="00046DA5">
        <w:t>to monitor bands for potential changes in taxes and the balance and precision required in monitoring and pricing spectrum</w:t>
      </w:r>
      <w:r w:rsidR="00302D57" w:rsidRPr="00046DA5">
        <w:t>?</w:t>
      </w:r>
    </w:p>
    <w:p w14:paraId="09B95414" w14:textId="7AE10F0D" w:rsidR="00490EAF" w:rsidRPr="00046DA5" w:rsidRDefault="00490EAF">
      <w:pPr>
        <w:pStyle w:val="Bulletlevel1"/>
      </w:pPr>
      <w:r w:rsidRPr="00046DA5">
        <w:t xml:space="preserve">the </w:t>
      </w:r>
      <w:r w:rsidR="002A4B85" w:rsidRPr="00046DA5">
        <w:t xml:space="preserve">use of inflation </w:t>
      </w:r>
      <w:r w:rsidR="00C751FD" w:rsidRPr="00046DA5">
        <w:t>to keep</w:t>
      </w:r>
      <w:r w:rsidR="009C2A3B" w:rsidRPr="00046DA5">
        <w:t xml:space="preserve"> </w:t>
      </w:r>
      <w:r w:rsidR="001929CF" w:rsidRPr="00046DA5">
        <w:t>apparatus licence taxes</w:t>
      </w:r>
      <w:r w:rsidR="009C2A3B" w:rsidRPr="00046DA5">
        <w:t xml:space="preserve"> contemporary</w:t>
      </w:r>
      <w:r w:rsidR="008A30BF" w:rsidRPr="00046DA5">
        <w:t xml:space="preserve"> and </w:t>
      </w:r>
      <w:r w:rsidR="00C45E74" w:rsidRPr="00046DA5">
        <w:t>whether there are alternative approaches</w:t>
      </w:r>
      <w:r w:rsidR="001C140F" w:rsidRPr="00046DA5">
        <w:t>?</w:t>
      </w:r>
    </w:p>
    <w:p w14:paraId="69720D10" w14:textId="4A52B786" w:rsidR="00490EAF" w:rsidRPr="00046DA5" w:rsidRDefault="00490EAF" w:rsidP="00D74D7E">
      <w:pPr>
        <w:pStyle w:val="Paragraph"/>
        <w:spacing w:after="0"/>
        <w:rPr>
          <w:b/>
        </w:rPr>
      </w:pPr>
      <w:r w:rsidRPr="00046DA5">
        <w:rPr>
          <w:b/>
        </w:rPr>
        <w:t xml:space="preserve">Question </w:t>
      </w:r>
      <w:r w:rsidR="00190BB0" w:rsidRPr="00046DA5">
        <w:rPr>
          <w:b/>
        </w:rPr>
        <w:t>10</w:t>
      </w:r>
    </w:p>
    <w:p w14:paraId="4D30E7AE" w14:textId="69B34A87" w:rsidR="004F4894" w:rsidRPr="00046DA5" w:rsidRDefault="00C77449" w:rsidP="00317F13">
      <w:pPr>
        <w:pStyle w:val="Paragraph"/>
      </w:pPr>
      <w:r w:rsidRPr="00046DA5">
        <w:t>Do</w:t>
      </w:r>
      <w:r w:rsidR="00490EAF" w:rsidRPr="00046DA5">
        <w:t xml:space="preserve"> current spectrum locations or frequency ranges remain appropriate?</w:t>
      </w:r>
      <w:r w:rsidR="004F4894" w:rsidRPr="00046DA5">
        <w:t xml:space="preserve"> If not</w:t>
      </w:r>
      <w:r w:rsidRPr="00046DA5">
        <w:t>,</w:t>
      </w:r>
      <w:r w:rsidR="004F4894" w:rsidRPr="00046DA5">
        <w:t xml:space="preserve"> what changes should be made and why</w:t>
      </w:r>
      <w:r w:rsidR="00317F13" w:rsidRPr="00046DA5">
        <w:t>?</w:t>
      </w:r>
    </w:p>
    <w:p w14:paraId="70CD8240" w14:textId="6257634C" w:rsidR="00490EAF" w:rsidRPr="00046DA5" w:rsidRDefault="00490EAF" w:rsidP="00D74D7E">
      <w:pPr>
        <w:pStyle w:val="Paragraph"/>
        <w:spacing w:after="0"/>
        <w:rPr>
          <w:b/>
        </w:rPr>
      </w:pPr>
      <w:r w:rsidRPr="00046DA5">
        <w:rPr>
          <w:b/>
        </w:rPr>
        <w:t xml:space="preserve">Question </w:t>
      </w:r>
      <w:r w:rsidR="002D2A55" w:rsidRPr="00046DA5">
        <w:rPr>
          <w:b/>
        </w:rPr>
        <w:t>1</w:t>
      </w:r>
      <w:r w:rsidR="00190BB0" w:rsidRPr="00046DA5">
        <w:rPr>
          <w:b/>
        </w:rPr>
        <w:t>1</w:t>
      </w:r>
    </w:p>
    <w:p w14:paraId="664E37E5" w14:textId="77777777" w:rsidR="00490EAF" w:rsidRPr="00046DA5" w:rsidRDefault="00490EAF" w:rsidP="00381B31">
      <w:pPr>
        <w:pStyle w:val="Paragraph"/>
      </w:pPr>
      <w:r w:rsidRPr="00046DA5">
        <w:t>What factors should the ACMA consider in determining new spectrum locations or frequency ranges?</w:t>
      </w:r>
    </w:p>
    <w:p w14:paraId="170AB548" w14:textId="4D894FB9" w:rsidR="00490EAF" w:rsidRPr="00046DA5" w:rsidRDefault="00490EAF" w:rsidP="00D74D7E">
      <w:pPr>
        <w:pStyle w:val="Paragraph"/>
        <w:spacing w:after="0"/>
        <w:rPr>
          <w:b/>
        </w:rPr>
      </w:pPr>
      <w:r w:rsidRPr="00046DA5">
        <w:rPr>
          <w:b/>
        </w:rPr>
        <w:t xml:space="preserve">Question </w:t>
      </w:r>
      <w:r w:rsidR="002D2A55" w:rsidRPr="00046DA5">
        <w:rPr>
          <w:b/>
        </w:rPr>
        <w:t>1</w:t>
      </w:r>
      <w:r w:rsidR="00190BB0" w:rsidRPr="00046DA5">
        <w:rPr>
          <w:b/>
        </w:rPr>
        <w:t>2</w:t>
      </w:r>
    </w:p>
    <w:p w14:paraId="61C34054" w14:textId="1E3F051F" w:rsidR="00490EAF" w:rsidRPr="00046DA5" w:rsidRDefault="00490EAF" w:rsidP="00381B31">
      <w:pPr>
        <w:pStyle w:val="Paragraph"/>
      </w:pPr>
      <w:r w:rsidRPr="00046DA5">
        <w:t xml:space="preserve">Do the different tax rates associated with different spectrum locations or frequency ranges influence decisions about deploying radiocommunications equipment? </w:t>
      </w:r>
    </w:p>
    <w:p w14:paraId="694A21BC" w14:textId="27C44260" w:rsidR="00490EAF" w:rsidRPr="00046DA5" w:rsidRDefault="00490EAF" w:rsidP="00D74D7E">
      <w:pPr>
        <w:pStyle w:val="Paragraph"/>
        <w:spacing w:after="0"/>
        <w:rPr>
          <w:b/>
        </w:rPr>
      </w:pPr>
      <w:r w:rsidRPr="00046DA5">
        <w:rPr>
          <w:b/>
        </w:rPr>
        <w:t xml:space="preserve">Question </w:t>
      </w:r>
      <w:r w:rsidR="002D2A55" w:rsidRPr="00046DA5">
        <w:rPr>
          <w:b/>
        </w:rPr>
        <w:t>1</w:t>
      </w:r>
      <w:r w:rsidR="00190BB0" w:rsidRPr="00046DA5">
        <w:rPr>
          <w:b/>
        </w:rPr>
        <w:t>3</w:t>
      </w:r>
    </w:p>
    <w:p w14:paraId="5BFD0BD4" w14:textId="0FB38330" w:rsidR="00490EAF" w:rsidRPr="00046DA5" w:rsidRDefault="00C77449" w:rsidP="00381B31">
      <w:pPr>
        <w:pStyle w:val="Paragraph"/>
        <w:rPr>
          <w:rFonts w:cs="Times New Roman"/>
        </w:rPr>
      </w:pPr>
      <w:r w:rsidRPr="00046DA5">
        <w:rPr>
          <w:rFonts w:cs="Times New Roman"/>
        </w:rPr>
        <w:t>H</w:t>
      </w:r>
      <w:r w:rsidR="00490EAF" w:rsidRPr="00046DA5">
        <w:rPr>
          <w:rFonts w:cs="Times New Roman"/>
        </w:rPr>
        <w:t>ow</w:t>
      </w:r>
      <w:r w:rsidRPr="00046DA5">
        <w:rPr>
          <w:rFonts w:cs="Times New Roman"/>
        </w:rPr>
        <w:t xml:space="preserve"> does</w:t>
      </w:r>
      <w:r w:rsidR="00490EAF" w:rsidRPr="00046DA5">
        <w:rPr>
          <w:rFonts w:cs="Times New Roman"/>
        </w:rPr>
        <w:t xml:space="preserve"> the value of spectrum change across geographic locations? </w:t>
      </w:r>
    </w:p>
    <w:p w14:paraId="15BB9863" w14:textId="2F33325F" w:rsidR="00490EAF" w:rsidRPr="00046DA5" w:rsidRDefault="00490EAF" w:rsidP="00D74D7E">
      <w:pPr>
        <w:pStyle w:val="Paragraph"/>
        <w:spacing w:after="0"/>
        <w:rPr>
          <w:b/>
        </w:rPr>
      </w:pPr>
      <w:r w:rsidRPr="00046DA5">
        <w:rPr>
          <w:b/>
        </w:rPr>
        <w:t xml:space="preserve">Question </w:t>
      </w:r>
      <w:r w:rsidR="002D2A55" w:rsidRPr="00046DA5">
        <w:rPr>
          <w:b/>
        </w:rPr>
        <w:t>1</w:t>
      </w:r>
      <w:r w:rsidR="00190BB0" w:rsidRPr="00046DA5">
        <w:rPr>
          <w:b/>
        </w:rPr>
        <w:t>4</w:t>
      </w:r>
    </w:p>
    <w:p w14:paraId="58D1D5AC" w14:textId="77777777" w:rsidR="00490EAF" w:rsidRPr="00046DA5" w:rsidRDefault="00490EAF" w:rsidP="00D74D7E">
      <w:pPr>
        <w:pStyle w:val="Paragraph"/>
        <w:spacing w:after="80"/>
        <w:rPr>
          <w:rFonts w:cs="Times New Roman"/>
        </w:rPr>
      </w:pPr>
      <w:r w:rsidRPr="00046DA5">
        <w:rPr>
          <w:rFonts w:cs="Times New Roman"/>
        </w:rPr>
        <w:t>The ACMA also seeks views from stakeholders about:</w:t>
      </w:r>
    </w:p>
    <w:p w14:paraId="04FEFACF" w14:textId="00ADB1DF" w:rsidR="00490EAF" w:rsidRPr="00046DA5" w:rsidRDefault="007065AA">
      <w:pPr>
        <w:pStyle w:val="ListBullet"/>
      </w:pPr>
      <w:r w:rsidRPr="00046DA5">
        <w:t>s</w:t>
      </w:r>
      <w:r w:rsidR="00C77449" w:rsidRPr="00046DA5">
        <w:t xml:space="preserve">hould </w:t>
      </w:r>
      <w:r w:rsidR="00490EAF" w:rsidRPr="00046DA5">
        <w:t>density areas</w:t>
      </w:r>
      <w:r w:rsidR="00C77449" w:rsidRPr="00046DA5">
        <w:t xml:space="preserve"> be refined</w:t>
      </w:r>
      <w:r w:rsidR="00490EAF" w:rsidRPr="00046DA5">
        <w:t xml:space="preserve"> for different services/bands</w:t>
      </w:r>
      <w:r w:rsidR="00C77449" w:rsidRPr="00046DA5">
        <w:t>?</w:t>
      </w:r>
      <w:r w:rsidR="00490EAF" w:rsidRPr="00046DA5">
        <w:t xml:space="preserve"> </w:t>
      </w:r>
    </w:p>
    <w:p w14:paraId="5C2A28E1" w14:textId="74A4664F" w:rsidR="00D36F87" w:rsidRPr="00046DA5" w:rsidRDefault="00490EAF" w:rsidP="00D36F87">
      <w:pPr>
        <w:pStyle w:val="ListBullet"/>
      </w:pPr>
      <w:r w:rsidRPr="00046DA5">
        <w:t>rather than having density areas</w:t>
      </w:r>
      <w:r w:rsidR="00C77449" w:rsidRPr="00046DA5">
        <w:t>,</w:t>
      </w:r>
      <w:r w:rsidRPr="00046DA5">
        <w:t xml:space="preserve"> </w:t>
      </w:r>
      <w:r w:rsidR="00C77449" w:rsidRPr="00046DA5">
        <w:t xml:space="preserve">do </w:t>
      </w:r>
      <w:r w:rsidR="00D36F87" w:rsidRPr="00046DA5">
        <w:t>models of congestion (like that used in the 400 MHz work) potentially better reflect demand for services and the value of spectrum? If so, what features would such a model have?</w:t>
      </w:r>
    </w:p>
    <w:p w14:paraId="2805E18E" w14:textId="61F5CFCF" w:rsidR="00490EAF" w:rsidRPr="00046DA5" w:rsidRDefault="007065AA">
      <w:pPr>
        <w:pStyle w:val="ListBullet"/>
      </w:pPr>
      <w:r w:rsidRPr="00046DA5">
        <w:t xml:space="preserve">whether </w:t>
      </w:r>
      <w:r w:rsidR="00490EAF" w:rsidRPr="00046DA5">
        <w:t>different pricing constructs</w:t>
      </w:r>
      <w:r w:rsidR="00C77449" w:rsidRPr="00046DA5">
        <w:t>,</w:t>
      </w:r>
      <w:r w:rsidR="00490EAF" w:rsidRPr="00046DA5">
        <w:t xml:space="preserve"> such as $/MHz/Pop for different licence types</w:t>
      </w:r>
      <w:r w:rsidR="00C77449" w:rsidRPr="00046DA5">
        <w:t xml:space="preserve"> </w:t>
      </w:r>
      <w:r w:rsidRPr="00046DA5">
        <w:t xml:space="preserve">should </w:t>
      </w:r>
      <w:r w:rsidR="00C77449" w:rsidRPr="00046DA5">
        <w:t>be considered</w:t>
      </w:r>
      <w:r w:rsidR="00490EAF" w:rsidRPr="00046DA5">
        <w:t>?</w:t>
      </w:r>
    </w:p>
    <w:p w14:paraId="04AAD896" w14:textId="2FED2FFB" w:rsidR="00490EAF" w:rsidRPr="00046DA5" w:rsidRDefault="007065AA">
      <w:pPr>
        <w:pStyle w:val="ListBullet"/>
      </w:pPr>
      <w:r w:rsidRPr="00046DA5">
        <w:t>whether</w:t>
      </w:r>
      <w:r w:rsidR="00490EAF" w:rsidRPr="00046DA5">
        <w:t xml:space="preserve"> </w:t>
      </w:r>
      <w:r w:rsidR="00C77449" w:rsidRPr="00046DA5">
        <w:t xml:space="preserve">there </w:t>
      </w:r>
      <w:r w:rsidRPr="00046DA5">
        <w:t xml:space="preserve">should </w:t>
      </w:r>
      <w:r w:rsidR="00490EAF" w:rsidRPr="00046DA5">
        <w:t>be parity in pricing arrangements between services like commercial broadcasting taxes and open narrowcasting taxes?</w:t>
      </w:r>
    </w:p>
    <w:p w14:paraId="516AFEDC" w14:textId="44FA5C62" w:rsidR="00C8093C" w:rsidRPr="00046DA5" w:rsidRDefault="007065AA" w:rsidP="00D74D7E">
      <w:pPr>
        <w:pStyle w:val="ListBulletLast"/>
      </w:pPr>
      <w:r w:rsidRPr="00046DA5">
        <w:t xml:space="preserve">whether </w:t>
      </w:r>
      <w:r w:rsidR="00C8093C" w:rsidRPr="00046DA5">
        <w:t>there</w:t>
      </w:r>
      <w:r w:rsidRPr="00046DA5">
        <w:t xml:space="preserve"> are</w:t>
      </w:r>
      <w:r w:rsidR="00C8093C" w:rsidRPr="00046DA5">
        <w:t xml:space="preserve"> other services where the ACMA should be considering providing greater parity in pricing</w:t>
      </w:r>
      <w:r w:rsidR="009352B2" w:rsidRPr="00046DA5">
        <w:t>?</w:t>
      </w:r>
    </w:p>
    <w:p w14:paraId="5F89C4D7" w14:textId="5A2023A7" w:rsidR="00490EAF" w:rsidRPr="00046DA5" w:rsidRDefault="00490EAF" w:rsidP="00D74D7E">
      <w:pPr>
        <w:pStyle w:val="Paragraph"/>
        <w:spacing w:after="0"/>
        <w:rPr>
          <w:rFonts w:cs="Times New Roman"/>
        </w:rPr>
      </w:pPr>
      <w:r w:rsidRPr="00046DA5">
        <w:rPr>
          <w:b/>
        </w:rPr>
        <w:t xml:space="preserve">Question </w:t>
      </w:r>
      <w:r w:rsidR="002D2A55" w:rsidRPr="00046DA5">
        <w:rPr>
          <w:b/>
        </w:rPr>
        <w:t>1</w:t>
      </w:r>
      <w:r w:rsidR="00190BB0" w:rsidRPr="00046DA5">
        <w:rPr>
          <w:b/>
        </w:rPr>
        <w:t>5</w:t>
      </w:r>
    </w:p>
    <w:p w14:paraId="43515F6C" w14:textId="53B6E8C7" w:rsidR="00490EAF" w:rsidRPr="00046DA5" w:rsidRDefault="00ED1550" w:rsidP="00D74D7E">
      <w:pPr>
        <w:pStyle w:val="Paragraph"/>
        <w:spacing w:after="80"/>
        <w:rPr>
          <w:rFonts w:cs="Times New Roman"/>
        </w:rPr>
      </w:pPr>
      <w:r w:rsidRPr="00046DA5">
        <w:t>Do stakeholders have views on</w:t>
      </w:r>
      <w:r w:rsidR="00490EAF" w:rsidRPr="00046DA5">
        <w:rPr>
          <w:rFonts w:cs="Times New Roman"/>
        </w:rPr>
        <w:t>:</w:t>
      </w:r>
    </w:p>
    <w:p w14:paraId="23C67A9E" w14:textId="7247FF6D" w:rsidR="00490EAF" w:rsidRPr="00046DA5" w:rsidRDefault="00490EAF">
      <w:pPr>
        <w:pStyle w:val="Bulletlevel1"/>
      </w:pPr>
      <w:r w:rsidRPr="00046DA5">
        <w:t>the current pricing arrangements for scientific</w:t>
      </w:r>
      <w:r w:rsidR="00C77449" w:rsidRPr="00046DA5">
        <w:t>-</w:t>
      </w:r>
      <w:r w:rsidRPr="00046DA5">
        <w:t>assigned licences for new technologies</w:t>
      </w:r>
      <w:r w:rsidR="00ED1550" w:rsidRPr="00046DA5">
        <w:t>?</w:t>
      </w:r>
      <w:r w:rsidRPr="00046DA5">
        <w:t xml:space="preserve"> </w:t>
      </w:r>
    </w:p>
    <w:p w14:paraId="105AC4B6" w14:textId="6127C4A8" w:rsidR="00490EAF" w:rsidRPr="00046DA5" w:rsidRDefault="00ED1550" w:rsidP="00D74D7E">
      <w:pPr>
        <w:pStyle w:val="Bulletlevel1last"/>
      </w:pPr>
      <w:r w:rsidRPr="00046DA5">
        <w:t>the</w:t>
      </w:r>
      <w:r w:rsidR="00490EAF" w:rsidRPr="00046DA5">
        <w:t xml:space="preserve"> proposal for new short-term scientific</w:t>
      </w:r>
      <w:r w:rsidRPr="00046DA5">
        <w:t>-</w:t>
      </w:r>
      <w:r w:rsidR="00490EAF" w:rsidRPr="00046DA5">
        <w:t>assigned licence trials and alternative pricing proposals</w:t>
      </w:r>
      <w:r w:rsidRPr="00046DA5">
        <w:t>?</w:t>
      </w:r>
    </w:p>
    <w:p w14:paraId="6DE0B18B" w14:textId="1E049FE7" w:rsidR="00490EAF" w:rsidRPr="00046DA5" w:rsidRDefault="00490EAF" w:rsidP="002153C2">
      <w:pPr>
        <w:pStyle w:val="Paragraph"/>
        <w:keepNext/>
        <w:spacing w:after="0"/>
        <w:rPr>
          <w:b/>
        </w:rPr>
      </w:pPr>
      <w:r w:rsidRPr="00046DA5">
        <w:rPr>
          <w:b/>
        </w:rPr>
        <w:t xml:space="preserve">Question </w:t>
      </w:r>
      <w:r w:rsidR="002D2A55" w:rsidRPr="00046DA5">
        <w:rPr>
          <w:b/>
        </w:rPr>
        <w:t>1</w:t>
      </w:r>
      <w:r w:rsidR="00190BB0" w:rsidRPr="00046DA5">
        <w:rPr>
          <w:b/>
        </w:rPr>
        <w:t>6</w:t>
      </w:r>
    </w:p>
    <w:p w14:paraId="600801DB" w14:textId="7AA684D8" w:rsidR="00490EAF" w:rsidRPr="00046DA5" w:rsidRDefault="00C77449" w:rsidP="00381B31">
      <w:pPr>
        <w:pStyle w:val="Paragraph"/>
      </w:pPr>
      <w:r w:rsidRPr="00046DA5">
        <w:t xml:space="preserve">Do </w:t>
      </w:r>
      <w:r w:rsidR="00490EAF" w:rsidRPr="00046DA5">
        <w:t>these proposals promote transparency and ease in calculating taxes</w:t>
      </w:r>
      <w:r w:rsidRPr="00046DA5">
        <w:t>?</w:t>
      </w:r>
    </w:p>
    <w:p w14:paraId="14FE16A8" w14:textId="27CF30AA" w:rsidR="009970E8" w:rsidRPr="00046DA5" w:rsidRDefault="006E73FE" w:rsidP="000B4664">
      <w:pPr>
        <w:pStyle w:val="Heading1"/>
      </w:pPr>
      <w:bookmarkStart w:id="6" w:name="_Toc33758188"/>
      <w:r w:rsidRPr="00046DA5">
        <w:lastRenderedPageBreak/>
        <w:t>Introduction</w:t>
      </w:r>
      <w:bookmarkEnd w:id="6"/>
    </w:p>
    <w:p w14:paraId="2D70B96F" w14:textId="57483931" w:rsidR="00C22B15" w:rsidRPr="00046DA5" w:rsidRDefault="00C22B15" w:rsidP="00D74D7E">
      <w:pPr>
        <w:spacing w:after="80"/>
      </w:pPr>
      <w:r w:rsidRPr="00046DA5">
        <w:t xml:space="preserve">In </w:t>
      </w:r>
      <w:r w:rsidR="006B6AE2" w:rsidRPr="00046DA5">
        <w:t xml:space="preserve">February </w:t>
      </w:r>
      <w:r w:rsidRPr="00046DA5">
        <w:t>2018</w:t>
      </w:r>
      <w:r w:rsidR="00ED1550" w:rsidRPr="00046DA5">
        <w:t>,</w:t>
      </w:r>
      <w:r w:rsidRPr="00046DA5">
        <w:t xml:space="preserve"> the </w:t>
      </w:r>
      <w:r w:rsidR="00ED1550" w:rsidRPr="00046DA5">
        <w:t xml:space="preserve">Australian </w:t>
      </w:r>
      <w:r w:rsidRPr="00046DA5">
        <w:t>Government endorsed the recommendations of the Spectrum Pricing Review</w:t>
      </w:r>
      <w:r w:rsidR="00C53844" w:rsidRPr="00046DA5">
        <w:t xml:space="preserve">. </w:t>
      </w:r>
      <w:r w:rsidR="00ED1550" w:rsidRPr="00046DA5">
        <w:t>T</w:t>
      </w:r>
      <w:r w:rsidRPr="00046DA5">
        <w:t xml:space="preserve">his paper focuses on the implementation of three of </w:t>
      </w:r>
      <w:r w:rsidR="00ED1550" w:rsidRPr="00046DA5">
        <w:t xml:space="preserve">the 11 </w:t>
      </w:r>
      <w:r w:rsidRPr="00046DA5">
        <w:t>recommendations:</w:t>
      </w:r>
    </w:p>
    <w:p w14:paraId="588692BE" w14:textId="77777777" w:rsidR="00C22B15" w:rsidRPr="00046DA5" w:rsidRDefault="00C22B15">
      <w:pPr>
        <w:pStyle w:val="ListBullet"/>
      </w:pPr>
      <w:r w:rsidRPr="00046DA5">
        <w:rPr>
          <w:b/>
          <w:bCs/>
        </w:rPr>
        <w:t>Recommendation 1</w:t>
      </w:r>
      <w:r w:rsidRPr="00046DA5">
        <w:t>: The ACMA should publish guidelines on how it approaches its spectrum pricing decisions.</w:t>
      </w:r>
    </w:p>
    <w:p w14:paraId="3DB85E70" w14:textId="77777777" w:rsidR="00C22B15" w:rsidRPr="00046DA5" w:rsidRDefault="00C22B15">
      <w:pPr>
        <w:pStyle w:val="ListBullet"/>
      </w:pPr>
      <w:r w:rsidRPr="00046DA5">
        <w:rPr>
          <w:b/>
          <w:bCs/>
        </w:rPr>
        <w:t>Recommendation 7</w:t>
      </w:r>
      <w:r w:rsidRPr="00046DA5">
        <w:t>: The ACMA should undertake a detailed review of the administrative pricing formula’s parameters, including density areas, the number of pricing bands, and the number of power categories. The ACMA should implement regular updates to the location and band weightings to reflect changes in density, demography and demand.</w:t>
      </w:r>
    </w:p>
    <w:p w14:paraId="650BB93D" w14:textId="08C6F0AF" w:rsidR="00C22B15" w:rsidRPr="00046DA5" w:rsidRDefault="00C22B15">
      <w:pPr>
        <w:pStyle w:val="ListBulletLast"/>
      </w:pPr>
      <w:r w:rsidRPr="00046DA5">
        <w:rPr>
          <w:b/>
          <w:bCs/>
        </w:rPr>
        <w:t>Recommendation 8</w:t>
      </w:r>
      <w:r w:rsidRPr="00046DA5">
        <w:t>: The ACMA should apply opportunity cost pricing to a greater number of spectrum bands, especially where it is impractical to competitively allocate spectrum. This work should be identified in the ACMA’s annual work program. The ACMA should consider more time</w:t>
      </w:r>
      <w:r w:rsidR="00ED1550" w:rsidRPr="00046DA5">
        <w:t>-</w:t>
      </w:r>
      <w:r w:rsidRPr="00046DA5">
        <w:t>effective approaches to implement these, and review fees as market conditions change over time.</w:t>
      </w:r>
    </w:p>
    <w:p w14:paraId="6F3B8BAA" w14:textId="12B562F6" w:rsidR="00934859" w:rsidRPr="00046DA5" w:rsidRDefault="00385068" w:rsidP="00D74D7E">
      <w:pPr>
        <w:pStyle w:val="Paragraph"/>
      </w:pPr>
      <w:r w:rsidRPr="00046DA5">
        <w:t>T</w:t>
      </w:r>
      <w:r w:rsidR="00C22B15" w:rsidRPr="00046DA5">
        <w:t xml:space="preserve">hese three recommendations </w:t>
      </w:r>
      <w:r w:rsidRPr="00046DA5">
        <w:t xml:space="preserve">are </w:t>
      </w:r>
      <w:r w:rsidR="00BC7D12" w:rsidRPr="00046DA5">
        <w:t xml:space="preserve">most </w:t>
      </w:r>
      <w:r w:rsidRPr="00046DA5">
        <w:t xml:space="preserve">relevant to </w:t>
      </w:r>
      <w:r w:rsidR="00C22B15" w:rsidRPr="00046DA5">
        <w:t>administrative pricing for apparatus licence taxes</w:t>
      </w:r>
      <w:r w:rsidR="00255F98" w:rsidRPr="00046DA5">
        <w:t xml:space="preserve"> as</w:t>
      </w:r>
      <w:r w:rsidR="00BC7D12" w:rsidRPr="00046DA5">
        <w:t xml:space="preserve"> most </w:t>
      </w:r>
      <w:r w:rsidR="00255F98" w:rsidRPr="00046DA5">
        <w:t xml:space="preserve">pricing </w:t>
      </w:r>
      <w:r w:rsidR="00BC7D12" w:rsidRPr="00046DA5">
        <w:t xml:space="preserve">aspects </w:t>
      </w:r>
      <w:r w:rsidR="003360C7" w:rsidRPr="00046DA5">
        <w:t xml:space="preserve">are administratively determined by the ACMA. </w:t>
      </w:r>
      <w:r w:rsidR="003C5AD0" w:rsidRPr="00046DA5">
        <w:t>However, the draft guidelines also apply to administrative pricing aspects of the ACMA’s fees for services relating to its spectrum management activities and some aspects of the spectrum licensing regime. In practice</w:t>
      </w:r>
      <w:r w:rsidR="00255F98" w:rsidRPr="00046DA5">
        <w:t>,</w:t>
      </w:r>
      <w:r w:rsidR="003C5AD0" w:rsidRPr="00046DA5">
        <w:t xml:space="preserve"> given these </w:t>
      </w:r>
      <w:r w:rsidR="001C2B3F" w:rsidRPr="00046DA5">
        <w:t xml:space="preserve">latter </w:t>
      </w:r>
      <w:r w:rsidR="003C5AD0" w:rsidRPr="00046DA5">
        <w:t xml:space="preserve">matters largely relate to recovery of the costs of spectrum management, the ACMA’s approach is guided by Australian Government Charging Framework. </w:t>
      </w:r>
    </w:p>
    <w:p w14:paraId="0C408E02" w14:textId="3D475A76" w:rsidR="00BC7D12" w:rsidRPr="00046DA5" w:rsidRDefault="003360C7" w:rsidP="00D74D7E">
      <w:pPr>
        <w:pStyle w:val="Paragraph"/>
      </w:pPr>
      <w:r w:rsidRPr="00046DA5">
        <w:t xml:space="preserve">More details about the radiocommunications licensing regime and how the pricing guidelines apply can be found in the </w:t>
      </w:r>
      <w:r w:rsidRPr="00046DA5">
        <w:rPr>
          <w:i/>
        </w:rPr>
        <w:t xml:space="preserve">Draft </w:t>
      </w:r>
      <w:r w:rsidR="00255F98" w:rsidRPr="00046DA5">
        <w:rPr>
          <w:i/>
        </w:rPr>
        <w:t>s</w:t>
      </w:r>
      <w:r w:rsidR="0014275B" w:rsidRPr="00046DA5">
        <w:rPr>
          <w:i/>
        </w:rPr>
        <w:t xml:space="preserve">pectrum </w:t>
      </w:r>
      <w:r w:rsidR="00255F98" w:rsidRPr="00046DA5">
        <w:rPr>
          <w:i/>
        </w:rPr>
        <w:t>p</w:t>
      </w:r>
      <w:r w:rsidR="0014275B" w:rsidRPr="00046DA5">
        <w:rPr>
          <w:i/>
        </w:rPr>
        <w:t xml:space="preserve">ricing </w:t>
      </w:r>
      <w:r w:rsidR="00255F98" w:rsidRPr="00046DA5">
        <w:rPr>
          <w:i/>
        </w:rPr>
        <w:t>g</w:t>
      </w:r>
      <w:r w:rsidRPr="00046DA5">
        <w:rPr>
          <w:i/>
        </w:rPr>
        <w:t>uidelines</w:t>
      </w:r>
      <w:r w:rsidRPr="00046DA5">
        <w:t xml:space="preserve"> section of this consultation paper</w:t>
      </w:r>
      <w:r w:rsidR="00A9010F" w:rsidRPr="00046DA5">
        <w:t>. The ACMA’s</w:t>
      </w:r>
      <w:r w:rsidR="00BC7D12" w:rsidRPr="00046DA5">
        <w:t xml:space="preserve"> role in implementing the other recommendations </w:t>
      </w:r>
      <w:r w:rsidR="009F4FBB" w:rsidRPr="00046DA5">
        <w:t xml:space="preserve">is </w:t>
      </w:r>
      <w:r w:rsidR="00BC7D12" w:rsidRPr="00046DA5">
        <w:t xml:space="preserve">outlined in </w:t>
      </w:r>
      <w:r w:rsidR="007B657C" w:rsidRPr="00046DA5">
        <w:t xml:space="preserve">the </w:t>
      </w:r>
      <w:r w:rsidR="00A9010F" w:rsidRPr="00046DA5">
        <w:rPr>
          <w:i/>
        </w:rPr>
        <w:t>Recommendations of the Spectrum Pricing Review</w:t>
      </w:r>
      <w:r w:rsidR="00A9010F" w:rsidRPr="00046DA5">
        <w:t xml:space="preserve"> section of this </w:t>
      </w:r>
      <w:r w:rsidR="00BC7D12" w:rsidRPr="00046DA5">
        <w:t>consultation paper.</w:t>
      </w:r>
    </w:p>
    <w:p w14:paraId="145881F6" w14:textId="7E26D13F" w:rsidR="009970E8" w:rsidRPr="00046DA5" w:rsidRDefault="0090227C" w:rsidP="00D74D7E">
      <w:pPr>
        <w:pStyle w:val="Paragraph"/>
      </w:pPr>
      <w:r w:rsidRPr="00046DA5">
        <w:t xml:space="preserve">The tax formula was developed in the </w:t>
      </w:r>
      <w:r w:rsidR="0096575F" w:rsidRPr="00046DA5">
        <w:t>19</w:t>
      </w:r>
      <w:r w:rsidRPr="00046DA5">
        <w:t>90</w:t>
      </w:r>
      <w:r w:rsidR="00533F3C" w:rsidRPr="00046DA5">
        <w:t>s</w:t>
      </w:r>
      <w:r w:rsidR="00964F23" w:rsidRPr="00046DA5">
        <w:t xml:space="preserve"> and has generally provided</w:t>
      </w:r>
      <w:r w:rsidR="002D22AA" w:rsidRPr="00046DA5">
        <w:t xml:space="preserve"> a solid base for </w:t>
      </w:r>
      <w:r w:rsidR="00087366" w:rsidRPr="00046DA5">
        <w:t>incentiv</w:t>
      </w:r>
      <w:r w:rsidR="002D0A51" w:rsidRPr="00046DA5">
        <w:t>ising</w:t>
      </w:r>
      <w:r w:rsidR="00087366" w:rsidRPr="00046DA5">
        <w:t xml:space="preserve"> the efficient use of spectrum</w:t>
      </w:r>
      <w:r w:rsidR="00C53844" w:rsidRPr="00046DA5">
        <w:t xml:space="preserve">. </w:t>
      </w:r>
      <w:r w:rsidR="00950684" w:rsidRPr="00046DA5">
        <w:t xml:space="preserve">However, industry stakeholders have noted </w:t>
      </w:r>
      <w:r w:rsidR="00391E12" w:rsidRPr="00046DA5">
        <w:t>developments</w:t>
      </w:r>
      <w:r w:rsidR="00950684" w:rsidRPr="00046DA5">
        <w:t xml:space="preserve"> in spectral efficiency techniques and network and device deployment models </w:t>
      </w:r>
      <w:r w:rsidR="00255F98" w:rsidRPr="00046DA5">
        <w:t>have resulted in</w:t>
      </w:r>
      <w:r w:rsidR="00950684" w:rsidRPr="00046DA5">
        <w:t xml:space="preserve"> some current taxes </w:t>
      </w:r>
      <w:r w:rsidR="007B657C" w:rsidRPr="00046DA5">
        <w:t xml:space="preserve">not </w:t>
      </w:r>
      <w:r w:rsidR="00255F98" w:rsidRPr="00046DA5">
        <w:t xml:space="preserve">promoting </w:t>
      </w:r>
      <w:r w:rsidR="00950684" w:rsidRPr="00046DA5">
        <w:t>the efficient use of spectrum</w:t>
      </w:r>
      <w:r w:rsidR="00C53844" w:rsidRPr="00046DA5">
        <w:t xml:space="preserve">. </w:t>
      </w:r>
      <w:r w:rsidR="00950684" w:rsidRPr="00046DA5">
        <w:t>For example, the large bandwidths required for some technologies (</w:t>
      </w:r>
      <w:r w:rsidR="00255F98" w:rsidRPr="00046DA5">
        <w:t>for example,</w:t>
      </w:r>
      <w:r w:rsidR="00950684" w:rsidRPr="00046DA5">
        <w:t xml:space="preserve"> satellite, fixed and mobile services providing the equivalent of 4G and now 5G services) and the low interference potential of some </w:t>
      </w:r>
      <w:r w:rsidR="00255F98" w:rsidRPr="00046DA5">
        <w:t xml:space="preserve">current </w:t>
      </w:r>
      <w:r w:rsidR="00950684" w:rsidRPr="00046DA5">
        <w:t xml:space="preserve">services had not been factored into the original </w:t>
      </w:r>
      <w:r w:rsidR="00381934" w:rsidRPr="00046DA5">
        <w:t xml:space="preserve">tax </w:t>
      </w:r>
      <w:r w:rsidR="00950684" w:rsidRPr="00046DA5">
        <w:t xml:space="preserve">formula and imply </w:t>
      </w:r>
      <w:r w:rsidR="007B657C" w:rsidRPr="00046DA5">
        <w:t xml:space="preserve">higher </w:t>
      </w:r>
      <w:r w:rsidR="00950684" w:rsidRPr="00046DA5">
        <w:t>taxes than might otherwise be supported by contemporary technology uses.</w:t>
      </w:r>
      <w:r w:rsidR="00504010" w:rsidRPr="00046DA5">
        <w:t xml:space="preserve"> At the same time, some of these services have the potential to significantly deny spectrum to other users and </w:t>
      </w:r>
      <w:r w:rsidR="00BA049E" w:rsidRPr="00046DA5">
        <w:t xml:space="preserve">the </w:t>
      </w:r>
      <w:r w:rsidR="007B657C" w:rsidRPr="00046DA5">
        <w:t xml:space="preserve">associated </w:t>
      </w:r>
      <w:r w:rsidR="00504010" w:rsidRPr="00046DA5">
        <w:t>opportunity costs can be significant.</w:t>
      </w:r>
    </w:p>
    <w:p w14:paraId="32F6A17C" w14:textId="3110D488" w:rsidR="00950684" w:rsidRPr="00046DA5" w:rsidRDefault="00950684" w:rsidP="00950684">
      <w:r w:rsidRPr="00046DA5">
        <w:t xml:space="preserve">To promote the efficient allocation and use of spectrum, the ACMA must balance </w:t>
      </w:r>
      <w:r w:rsidRPr="00046DA5">
        <w:rPr>
          <w:rFonts w:cs="Arial"/>
          <w:szCs w:val="20"/>
        </w:rPr>
        <w:t xml:space="preserve">the value of spectrum </w:t>
      </w:r>
      <w:r w:rsidR="00B37482" w:rsidRPr="00046DA5">
        <w:rPr>
          <w:rFonts w:cs="Arial"/>
          <w:szCs w:val="20"/>
        </w:rPr>
        <w:t xml:space="preserve">with </w:t>
      </w:r>
      <w:r w:rsidR="00F1643B" w:rsidRPr="00046DA5">
        <w:rPr>
          <w:rFonts w:cs="Arial"/>
          <w:szCs w:val="20"/>
        </w:rPr>
        <w:t xml:space="preserve">incentives for </w:t>
      </w:r>
      <w:r w:rsidRPr="00046DA5">
        <w:rPr>
          <w:rFonts w:cs="Arial"/>
          <w:szCs w:val="20"/>
        </w:rPr>
        <w:t xml:space="preserve">efficient use </w:t>
      </w:r>
      <w:r w:rsidR="00B37482" w:rsidRPr="00046DA5">
        <w:rPr>
          <w:rFonts w:cs="Arial"/>
          <w:szCs w:val="20"/>
        </w:rPr>
        <w:t xml:space="preserve">by </w:t>
      </w:r>
      <w:r w:rsidRPr="00046DA5">
        <w:rPr>
          <w:rFonts w:cs="Arial"/>
          <w:szCs w:val="20"/>
        </w:rPr>
        <w:t>a wide range of users and spectrum uses</w:t>
      </w:r>
      <w:r w:rsidR="00C53844" w:rsidRPr="00046DA5">
        <w:t xml:space="preserve">. </w:t>
      </w:r>
      <w:r w:rsidR="00BA049E" w:rsidRPr="00046DA5">
        <w:t xml:space="preserve">In some cases, there are competing uses of spectrum and competition among users of the spectrum. </w:t>
      </w:r>
      <w:r w:rsidRPr="00046DA5">
        <w:t>Pricing</w:t>
      </w:r>
      <w:r w:rsidR="00BA049E" w:rsidRPr="00046DA5">
        <w:t>, along with allocating spectrum, licensing and planning,</w:t>
      </w:r>
      <w:r w:rsidRPr="00046DA5">
        <w:t xml:space="preserve"> is one of the ACMA’s tools to manage spectrum to balance those requirements.</w:t>
      </w:r>
    </w:p>
    <w:p w14:paraId="7BA9F6E9" w14:textId="0D2F4EF3" w:rsidR="009A7332" w:rsidRPr="00046DA5" w:rsidRDefault="00B37482" w:rsidP="00AA6981">
      <w:pPr>
        <w:pStyle w:val="Paragraph"/>
      </w:pPr>
      <w:r w:rsidRPr="00046DA5">
        <w:t xml:space="preserve">Feedback </w:t>
      </w:r>
      <w:r w:rsidR="00C061F8" w:rsidRPr="00046DA5">
        <w:t>on</w:t>
      </w:r>
      <w:r w:rsidRPr="00046DA5">
        <w:t xml:space="preserve"> the </w:t>
      </w:r>
      <w:r w:rsidR="002D0A51" w:rsidRPr="00046DA5">
        <w:t>draft guidelines for the pricing of spectrum</w:t>
      </w:r>
      <w:r w:rsidRPr="00046DA5">
        <w:t xml:space="preserve"> </w:t>
      </w:r>
      <w:r w:rsidR="002D0A51" w:rsidRPr="00046DA5">
        <w:t>and</w:t>
      </w:r>
      <w:r w:rsidRPr="00046DA5">
        <w:t xml:space="preserve"> the proposed </w:t>
      </w:r>
      <w:r w:rsidR="002D0A51" w:rsidRPr="00046DA5">
        <w:t xml:space="preserve">list of focus areas </w:t>
      </w:r>
      <w:r w:rsidRPr="00046DA5">
        <w:t>will enable the ACMA to</w:t>
      </w:r>
      <w:r w:rsidR="007B49EA" w:rsidRPr="00046DA5">
        <w:t xml:space="preserve"> develop a work program </w:t>
      </w:r>
      <w:r w:rsidR="003C76A6" w:rsidRPr="00046DA5">
        <w:t>to under</w:t>
      </w:r>
      <w:r w:rsidR="009A7332" w:rsidRPr="00046DA5">
        <w:t>take</w:t>
      </w:r>
      <w:r w:rsidR="003C76A6" w:rsidRPr="00046DA5">
        <w:t xml:space="preserve"> further analysis and then consult on</w:t>
      </w:r>
      <w:r w:rsidR="007B49EA" w:rsidRPr="00046DA5">
        <w:t xml:space="preserve"> amendments to the apparatus licence tax arrangements</w:t>
      </w:r>
      <w:r w:rsidR="003C76A6" w:rsidRPr="00046DA5">
        <w:t>.</w:t>
      </w:r>
      <w:r w:rsidR="007B49EA" w:rsidRPr="00046DA5">
        <w:t xml:space="preserve"> </w:t>
      </w:r>
    </w:p>
    <w:p w14:paraId="31B7AC45" w14:textId="6F630BEE" w:rsidR="007B49EA" w:rsidRPr="00046DA5" w:rsidRDefault="0009257D" w:rsidP="009A7332">
      <w:pPr>
        <w:pStyle w:val="Paragraph"/>
      </w:pPr>
      <w:r w:rsidRPr="00046DA5">
        <w:lastRenderedPageBreak/>
        <w:t xml:space="preserve">The </w:t>
      </w:r>
      <w:r w:rsidR="009A7332" w:rsidRPr="00046DA5">
        <w:rPr>
          <w:i/>
        </w:rPr>
        <w:t>N</w:t>
      </w:r>
      <w:r w:rsidRPr="00046DA5">
        <w:rPr>
          <w:i/>
        </w:rPr>
        <w:t>ext steps</w:t>
      </w:r>
      <w:r w:rsidRPr="00046DA5">
        <w:t xml:space="preserve"> section of this paper outlines the approach to finalising the implementation of the Spectrum Pricing Review.</w:t>
      </w:r>
    </w:p>
    <w:p w14:paraId="04CE1164" w14:textId="77777777" w:rsidR="007B49EA" w:rsidRPr="00046DA5" w:rsidRDefault="007B49EA" w:rsidP="007B49EA">
      <w:pPr>
        <w:pStyle w:val="ListBullet"/>
        <w:numPr>
          <w:ilvl w:val="0"/>
          <w:numId w:val="0"/>
        </w:numPr>
      </w:pPr>
    </w:p>
    <w:p w14:paraId="577B96D2" w14:textId="77777777" w:rsidR="00B030DB" w:rsidRPr="00046DA5" w:rsidRDefault="00B030DB" w:rsidP="00B030DB">
      <w:pPr>
        <w:pStyle w:val="Heading1"/>
      </w:pPr>
      <w:bookmarkStart w:id="7" w:name="_Toc33758189"/>
      <w:bookmarkStart w:id="8" w:name="_Toc525132230"/>
      <w:bookmarkStart w:id="9" w:name="_Toc521585768"/>
      <w:bookmarkStart w:id="10" w:name="_Toc519765102"/>
      <w:bookmarkStart w:id="11" w:name="_Ref498436813"/>
      <w:bookmarkStart w:id="12" w:name="_Ref498078173"/>
      <w:bookmarkStart w:id="13" w:name="_Toc468705310"/>
      <w:bookmarkStart w:id="14" w:name="_Toc468438955"/>
      <w:bookmarkStart w:id="15" w:name="_Toc466017060"/>
      <w:bookmarkStart w:id="16" w:name="_Ref461109606"/>
      <w:bookmarkStart w:id="17" w:name="_Toc457809930"/>
      <w:bookmarkStart w:id="18" w:name="_Toc6923095"/>
      <w:r w:rsidRPr="00046DA5">
        <w:lastRenderedPageBreak/>
        <w:t>Recommendations of the Spectrum Pricing Review</w:t>
      </w:r>
      <w:bookmarkEnd w:id="7"/>
    </w:p>
    <w:p w14:paraId="4FF3AA18" w14:textId="1DC0C096" w:rsidR="00CA62F3" w:rsidRPr="00046DA5" w:rsidRDefault="00B030DB" w:rsidP="00DC45E4">
      <w:r w:rsidRPr="00046DA5">
        <w:t xml:space="preserve">In </w:t>
      </w:r>
      <w:r w:rsidR="00927FF2" w:rsidRPr="00046DA5">
        <w:t xml:space="preserve">February </w:t>
      </w:r>
      <w:r w:rsidRPr="00046DA5">
        <w:t xml:space="preserve">2018 the Government endorsed the recommendations of the </w:t>
      </w:r>
      <w:hyperlink r:id="rId26" w:history="1">
        <w:r w:rsidRPr="00046DA5">
          <w:t>Spectrum Pricing Review</w:t>
        </w:r>
      </w:hyperlink>
      <w:r w:rsidR="00C53844" w:rsidRPr="00046DA5">
        <w:t>.</w:t>
      </w:r>
      <w:r w:rsidR="00A05D28" w:rsidRPr="00046DA5">
        <w:t xml:space="preserve"> </w:t>
      </w:r>
      <w:r w:rsidR="009A7332" w:rsidRPr="00046DA5">
        <w:t>S</w:t>
      </w:r>
      <w:r w:rsidR="008436D9" w:rsidRPr="00046DA5">
        <w:t>ome of the recommendation</w:t>
      </w:r>
      <w:r w:rsidR="00662604" w:rsidRPr="00046DA5">
        <w:t>s</w:t>
      </w:r>
      <w:r w:rsidR="008436D9" w:rsidRPr="00046DA5">
        <w:t xml:space="preserve"> </w:t>
      </w:r>
      <w:r w:rsidR="009A7332" w:rsidRPr="00046DA5">
        <w:t xml:space="preserve">of the </w:t>
      </w:r>
      <w:hyperlink r:id="rId27" w:history="1">
        <w:r w:rsidR="009A7332" w:rsidRPr="00046DA5">
          <w:t>Spectrum Pricing Review</w:t>
        </w:r>
      </w:hyperlink>
      <w:r w:rsidR="009A7332" w:rsidRPr="00046DA5">
        <w:t xml:space="preserve"> </w:t>
      </w:r>
      <w:r w:rsidR="008436D9" w:rsidRPr="00046DA5">
        <w:t>require change of primary legislation</w:t>
      </w:r>
      <w:r w:rsidR="00377963" w:rsidRPr="00046DA5">
        <w:t xml:space="preserve"> and/or relate to the actions of </w:t>
      </w:r>
      <w:r w:rsidR="009A7332" w:rsidRPr="00046DA5">
        <w:t>g</w:t>
      </w:r>
      <w:r w:rsidR="00377963" w:rsidRPr="00046DA5">
        <w:t>overnment</w:t>
      </w:r>
      <w:r w:rsidR="009A7332" w:rsidRPr="00046DA5">
        <w:t xml:space="preserve"> and, as such, are </w:t>
      </w:r>
      <w:r w:rsidR="008436D9" w:rsidRPr="00046DA5">
        <w:t xml:space="preserve">matters for </w:t>
      </w:r>
      <w:r w:rsidR="009A7332" w:rsidRPr="00046DA5">
        <w:t>g</w:t>
      </w:r>
      <w:r w:rsidR="008436D9" w:rsidRPr="00046DA5">
        <w:t>overnment. However, as stated in the FYSO</w:t>
      </w:r>
      <w:r w:rsidR="009A7332" w:rsidRPr="00046DA5">
        <w:t>,</w:t>
      </w:r>
      <w:r w:rsidR="008436D9" w:rsidRPr="00046DA5">
        <w:t xml:space="preserve"> the ACMA considers that it can implement or has implemented the intent of many of these recommendations under the current legislation.</w:t>
      </w:r>
    </w:p>
    <w:p w14:paraId="44A061A8" w14:textId="3CF70B56" w:rsidR="00DC45E4" w:rsidRPr="00046DA5" w:rsidRDefault="00701B64" w:rsidP="00822A31">
      <w:r w:rsidRPr="00046DA5">
        <w:t xml:space="preserve">In its outcomes paper, the </w:t>
      </w:r>
      <w:r w:rsidR="00DC45E4" w:rsidRPr="00046DA5">
        <w:t>ACMA will include statements about how it has or expects to implement the recommendations of the Spectrum Pricing Review.</w:t>
      </w:r>
      <w:r w:rsidR="009A7332" w:rsidRPr="00046DA5">
        <w:t xml:space="preserve"> The status of the ACMA</w:t>
      </w:r>
      <w:r w:rsidRPr="00046DA5">
        <w:t>’s</w:t>
      </w:r>
      <w:r w:rsidR="009A7332" w:rsidRPr="00046DA5">
        <w:t xml:space="preserve"> role in implementing the recommendations is below.</w:t>
      </w:r>
    </w:p>
    <w:p w14:paraId="70C0DCCB" w14:textId="51D1318F" w:rsidR="00B030DB" w:rsidRPr="00046DA5" w:rsidRDefault="00B030DB" w:rsidP="00D74D7E">
      <w:pPr>
        <w:pStyle w:val="Heading2"/>
      </w:pPr>
      <w:bookmarkStart w:id="19" w:name="_Toc33758190"/>
      <w:r w:rsidRPr="00046DA5">
        <w:t>Summary of Spectrum Pricing Review recommendations</w:t>
      </w:r>
      <w:bookmarkEnd w:id="19"/>
    </w:p>
    <w:p w14:paraId="04C20FFA" w14:textId="77777777" w:rsidR="00B030DB" w:rsidRPr="00046DA5" w:rsidRDefault="00B030DB" w:rsidP="00046DA5">
      <w:pPr>
        <w:pStyle w:val="Heading3"/>
        <w:spacing w:before="240" w:after="240"/>
      </w:pPr>
      <w:r w:rsidRPr="00046DA5">
        <w:t>Allocation decisions</w:t>
      </w:r>
    </w:p>
    <w:p w14:paraId="23EBA7A3" w14:textId="77777777" w:rsidR="00B030DB" w:rsidRPr="00046DA5" w:rsidRDefault="00B030DB" w:rsidP="001E116E">
      <w:pPr>
        <w:pStyle w:val="ListParagraph"/>
        <w:numPr>
          <w:ilvl w:val="0"/>
          <w:numId w:val="11"/>
        </w:numPr>
        <w:spacing w:after="120" w:line="240" w:lineRule="auto"/>
        <w:ind w:left="567" w:hanging="567"/>
        <w:rPr>
          <w:b/>
        </w:rPr>
      </w:pPr>
      <w:r w:rsidRPr="00046DA5">
        <w:rPr>
          <w:b/>
        </w:rPr>
        <w:t>The ACMA should publish guidelines on how it approaches its spectrum pricing decisions.</w:t>
      </w:r>
    </w:p>
    <w:p w14:paraId="228AEC70" w14:textId="4BCD8279" w:rsidR="00B030DB" w:rsidRPr="00046DA5" w:rsidRDefault="00524BD0" w:rsidP="002A3829">
      <w:pPr>
        <w:ind w:left="567"/>
      </w:pPr>
      <w:r w:rsidRPr="00046DA5">
        <w:rPr>
          <w:i/>
        </w:rPr>
        <w:t>Status</w:t>
      </w:r>
      <w:r w:rsidR="00B900DB" w:rsidRPr="00046DA5">
        <w:rPr>
          <w:i/>
        </w:rPr>
        <w:t>:</w:t>
      </w:r>
      <w:r w:rsidR="00B900DB" w:rsidRPr="00046DA5">
        <w:t xml:space="preserve"> </w:t>
      </w:r>
      <w:r w:rsidR="004105E1" w:rsidRPr="00046DA5">
        <w:t xml:space="preserve">The guidelines will provide an opportunity to state the legislative context and the ACMA’s approach to </w:t>
      </w:r>
      <w:r w:rsidR="00951DD7" w:rsidRPr="00046DA5">
        <w:t xml:space="preserve">considering future </w:t>
      </w:r>
      <w:r w:rsidR="004105E1" w:rsidRPr="00046DA5">
        <w:t>pricing</w:t>
      </w:r>
      <w:r w:rsidR="00951DD7" w:rsidRPr="00046DA5">
        <w:t xml:space="preserve"> matters</w:t>
      </w:r>
      <w:r w:rsidR="004105E1" w:rsidRPr="00046DA5">
        <w:t>. The guidelines will complement</w:t>
      </w:r>
      <w:r w:rsidR="008436D9" w:rsidRPr="00046DA5">
        <w:t xml:space="preserve"> the ACMA’s</w:t>
      </w:r>
      <w:r w:rsidR="00B030DB" w:rsidRPr="00046DA5">
        <w:t xml:space="preserve"> explanatory material supporting its reasoning for pricing decisions in its consultation papers and explanatory statements</w:t>
      </w:r>
      <w:r w:rsidR="004105E1" w:rsidRPr="00046DA5">
        <w:t xml:space="preserve"> to amending legislative instruments</w:t>
      </w:r>
      <w:r w:rsidR="00B030DB" w:rsidRPr="00046DA5">
        <w:t>.</w:t>
      </w:r>
      <w:r w:rsidR="00431460" w:rsidRPr="00046DA5">
        <w:t xml:space="preserve"> The draft guidelines are outlined in this paper.</w:t>
      </w:r>
      <w:r w:rsidR="00F85DCF" w:rsidRPr="00046DA5">
        <w:t xml:space="preserve"> Feedback from stakeholders </w:t>
      </w:r>
      <w:r w:rsidR="00EA4A9A" w:rsidRPr="00046DA5">
        <w:t>about increasing the transparency of the ACMA’s pricing information (</w:t>
      </w:r>
      <w:r w:rsidR="00F85DCF" w:rsidRPr="00046DA5">
        <w:t xml:space="preserve">focus area </w:t>
      </w:r>
      <w:r w:rsidR="00EA4A9A" w:rsidRPr="00046DA5">
        <w:t xml:space="preserve">6) </w:t>
      </w:r>
      <w:r w:rsidR="00F85DCF" w:rsidRPr="00046DA5">
        <w:t>will also inform development of the guidelines.</w:t>
      </w:r>
    </w:p>
    <w:p w14:paraId="3A4B94BA" w14:textId="5779C49E" w:rsidR="00EA4A9A" w:rsidRPr="00046DA5" w:rsidRDefault="00EA4A9A" w:rsidP="002A3829">
      <w:pPr>
        <w:ind w:left="567"/>
      </w:pPr>
      <w:r w:rsidRPr="00046DA5">
        <w:t xml:space="preserve">After </w:t>
      </w:r>
      <w:r w:rsidR="002316A5" w:rsidRPr="00046DA5">
        <w:t>considering</w:t>
      </w:r>
      <w:r w:rsidRPr="00046DA5">
        <w:t xml:space="preserve"> the feedback received as part of this consultation, the ACMA expects to publish a final version of the guidelines in its </w:t>
      </w:r>
      <w:r w:rsidR="002316A5" w:rsidRPr="00046DA5">
        <w:t>o</w:t>
      </w:r>
      <w:r w:rsidRPr="00046DA5">
        <w:t>utcomes paper.</w:t>
      </w:r>
    </w:p>
    <w:p w14:paraId="469D3E75" w14:textId="6122C392" w:rsidR="00B030DB" w:rsidRPr="00046DA5" w:rsidRDefault="00B030DB" w:rsidP="001E116E">
      <w:pPr>
        <w:pStyle w:val="ListParagraph"/>
        <w:numPr>
          <w:ilvl w:val="0"/>
          <w:numId w:val="11"/>
        </w:numPr>
        <w:spacing w:after="120" w:line="240" w:lineRule="auto"/>
        <w:ind w:left="567" w:hanging="567"/>
        <w:rPr>
          <w:b/>
        </w:rPr>
      </w:pPr>
      <w:r w:rsidRPr="00046DA5">
        <w:rPr>
          <w:b/>
        </w:rPr>
        <w:t xml:space="preserve">To ensure efficient use of spectrum, the </w:t>
      </w:r>
      <w:r w:rsidR="00526982" w:rsidRPr="00046DA5">
        <w:rPr>
          <w:b/>
        </w:rPr>
        <w:t>G</w:t>
      </w:r>
      <w:r w:rsidRPr="00046DA5">
        <w:rPr>
          <w:b/>
        </w:rPr>
        <w:t xml:space="preserve">overnment and the ACMA should endeavour to charge users of similar spectrum at the same rate. </w:t>
      </w:r>
    </w:p>
    <w:p w14:paraId="1971EA12" w14:textId="2AA52987" w:rsidR="00B030DB" w:rsidRPr="00046DA5" w:rsidRDefault="00F919A8" w:rsidP="00A441B7">
      <w:pPr>
        <w:ind w:left="567"/>
      </w:pPr>
      <w:r w:rsidRPr="00046DA5">
        <w:rPr>
          <w:i/>
        </w:rPr>
        <w:t>Status</w:t>
      </w:r>
      <w:r w:rsidR="00B900DB" w:rsidRPr="00046DA5">
        <w:t xml:space="preserve">: </w:t>
      </w:r>
      <w:r w:rsidR="00B030DB" w:rsidRPr="00046DA5">
        <w:t xml:space="preserve">The </w:t>
      </w:r>
      <w:r w:rsidR="009A2D21" w:rsidRPr="00046DA5">
        <w:t xml:space="preserve">calculation of </w:t>
      </w:r>
      <w:r w:rsidR="00FC71FE" w:rsidRPr="00046DA5">
        <w:t>apparatus licence</w:t>
      </w:r>
      <w:r w:rsidR="00B030DB" w:rsidRPr="00046DA5">
        <w:t xml:space="preserve"> taxes </w:t>
      </w:r>
      <w:r w:rsidR="00A27651" w:rsidRPr="00046DA5">
        <w:t>typically</w:t>
      </w:r>
      <w:r w:rsidR="00017970" w:rsidRPr="00046DA5">
        <w:t xml:space="preserve"> does not take into account</w:t>
      </w:r>
      <w:r w:rsidR="00B030DB" w:rsidRPr="00046DA5">
        <w:t xml:space="preserve"> the uses of spectrum</w:t>
      </w:r>
      <w:r w:rsidR="00C53844" w:rsidRPr="00046DA5">
        <w:t xml:space="preserve">. </w:t>
      </w:r>
      <w:r w:rsidR="00391E12" w:rsidRPr="00046DA5">
        <w:t>However,</w:t>
      </w:r>
      <w:r w:rsidR="00B030DB" w:rsidRPr="00046DA5">
        <w:t xml:space="preserve"> the ACMA acknowledges that there are different pricing constructs for different licence types</w:t>
      </w:r>
      <w:r w:rsidR="00C53844" w:rsidRPr="00046DA5">
        <w:t xml:space="preserve">. </w:t>
      </w:r>
      <w:r w:rsidR="00B030DB" w:rsidRPr="00046DA5">
        <w:t>In some circumstances, similar services can be provided under different licence types</w:t>
      </w:r>
      <w:r w:rsidR="00C53844" w:rsidRPr="00046DA5">
        <w:t xml:space="preserve">. </w:t>
      </w:r>
      <w:r w:rsidR="00B030DB" w:rsidRPr="00046DA5">
        <w:t>The proposed review will provide an opportunity to consider such anomalies.</w:t>
      </w:r>
      <w:r w:rsidR="00F85DCF" w:rsidRPr="00046DA5">
        <w:t xml:space="preserve"> Feedback from stakeholders on focus area </w:t>
      </w:r>
      <w:r w:rsidR="00EA4A9A" w:rsidRPr="00046DA5">
        <w:t xml:space="preserve">4 </w:t>
      </w:r>
      <w:r w:rsidR="00F85DCF" w:rsidRPr="00046DA5">
        <w:t>will inform the further consideration of stakeholders’ perceptions of the different rates that may apply to different users.</w:t>
      </w:r>
    </w:p>
    <w:p w14:paraId="422D66AB" w14:textId="0B6202A0" w:rsidR="00B030DB" w:rsidRPr="00046DA5" w:rsidRDefault="00B030DB" w:rsidP="00701B64">
      <w:pPr>
        <w:pStyle w:val="ListParagraph"/>
        <w:numPr>
          <w:ilvl w:val="0"/>
          <w:numId w:val="11"/>
        </w:numPr>
        <w:spacing w:after="120" w:line="240" w:lineRule="auto"/>
        <w:ind w:left="567" w:hanging="567"/>
        <w:rPr>
          <w:b/>
        </w:rPr>
      </w:pPr>
      <w:r w:rsidRPr="00046DA5">
        <w:rPr>
          <w:b/>
        </w:rPr>
        <w:t xml:space="preserve">Bespoke pricing arrangements will sometimes be necessary. Where spectrum fees are determined other than by auction or by the administered pricing formula, the ACMA, or the </w:t>
      </w:r>
      <w:r w:rsidR="00526982" w:rsidRPr="00046DA5">
        <w:rPr>
          <w:b/>
        </w:rPr>
        <w:t>G</w:t>
      </w:r>
      <w:r w:rsidRPr="00046DA5">
        <w:rPr>
          <w:b/>
        </w:rPr>
        <w:t>overnment where it directs the ACMA on pricing, should publish the reasons for this decision.</w:t>
      </w:r>
    </w:p>
    <w:p w14:paraId="7FFF8A0B" w14:textId="22575669" w:rsidR="00B900DB" w:rsidRPr="00046DA5" w:rsidRDefault="005208AD" w:rsidP="00701B64">
      <w:pPr>
        <w:ind w:left="567"/>
      </w:pPr>
      <w:r w:rsidRPr="00046DA5">
        <w:rPr>
          <w:i/>
        </w:rPr>
        <w:t>Status</w:t>
      </w:r>
      <w:r w:rsidR="00B900DB" w:rsidRPr="00046DA5">
        <w:t xml:space="preserve">: </w:t>
      </w:r>
      <w:r w:rsidR="00B9402F" w:rsidRPr="00046DA5">
        <w:t>In implementing this recommendatio</w:t>
      </w:r>
      <w:r w:rsidR="00B548E3" w:rsidRPr="00046DA5">
        <w:t>n</w:t>
      </w:r>
      <w:r w:rsidR="002C1390" w:rsidRPr="00046DA5">
        <w:t>,</w:t>
      </w:r>
      <w:r w:rsidR="00162B17" w:rsidRPr="00046DA5">
        <w:t xml:space="preserve"> the ACMA sees an opportunity </w:t>
      </w:r>
      <w:r w:rsidR="00C022F2" w:rsidRPr="00046DA5">
        <w:t>to improve the transparency</w:t>
      </w:r>
      <w:r w:rsidR="007127FD" w:rsidRPr="00046DA5">
        <w:t xml:space="preserve"> of </w:t>
      </w:r>
      <w:r w:rsidR="002C1390" w:rsidRPr="00046DA5">
        <w:t>its</w:t>
      </w:r>
      <w:r w:rsidR="00180E76" w:rsidRPr="00046DA5">
        <w:t xml:space="preserve"> pricing decisions</w:t>
      </w:r>
      <w:r w:rsidR="00287733" w:rsidRPr="00046DA5">
        <w:t xml:space="preserve">. </w:t>
      </w:r>
      <w:r w:rsidR="00EB6677" w:rsidRPr="00046DA5">
        <w:t>T</w:t>
      </w:r>
      <w:r w:rsidR="00B030DB" w:rsidRPr="00046DA5">
        <w:t xml:space="preserve">he ACMA provides extensive explanatory material supporting its reasoning for pricing decisions in its consultation papers and explanatory statements. In addition, </w:t>
      </w:r>
      <w:r w:rsidR="007B657C" w:rsidRPr="00046DA5">
        <w:t xml:space="preserve">the </w:t>
      </w:r>
      <w:r w:rsidR="00B030DB" w:rsidRPr="00046DA5">
        <w:t xml:space="preserve">ACMA </w:t>
      </w:r>
      <w:r w:rsidR="007B657C" w:rsidRPr="00046DA5">
        <w:t xml:space="preserve">is </w:t>
      </w:r>
      <w:r w:rsidR="00B030DB" w:rsidRPr="00046DA5">
        <w:t xml:space="preserve">proposing to provide more material detailing </w:t>
      </w:r>
      <w:r w:rsidR="008436D9" w:rsidRPr="00046DA5">
        <w:t xml:space="preserve">its previous </w:t>
      </w:r>
      <w:r w:rsidR="00B030DB" w:rsidRPr="00046DA5">
        <w:t xml:space="preserve">pricing decisions to </w:t>
      </w:r>
      <w:r w:rsidR="00B030DB" w:rsidRPr="00046DA5">
        <w:lastRenderedPageBreak/>
        <w:t xml:space="preserve">complement the </w:t>
      </w:r>
      <w:r w:rsidR="00690F55" w:rsidRPr="00046DA5">
        <w:t xml:space="preserve">existing information in the </w:t>
      </w:r>
      <w:r w:rsidR="00B030DB" w:rsidRPr="00046DA5">
        <w:t>Apparatus Licence Fee Schedule.</w:t>
      </w:r>
      <w:r w:rsidR="005377C1" w:rsidRPr="00046DA5">
        <w:rPr>
          <w:rStyle w:val="FootnoteReference"/>
        </w:rPr>
        <w:footnoteReference w:id="4"/>
      </w:r>
      <w:r w:rsidR="00431460" w:rsidRPr="00046DA5">
        <w:t xml:space="preserve"> </w:t>
      </w:r>
      <w:r w:rsidR="00EA4A9A" w:rsidRPr="00046DA5">
        <w:t xml:space="preserve">More details about providing greater transparency of the taxation arrangements can be found in </w:t>
      </w:r>
      <w:r w:rsidR="002C1390" w:rsidRPr="00046DA5">
        <w:t>f</w:t>
      </w:r>
      <w:r w:rsidR="00431460" w:rsidRPr="00046DA5">
        <w:t xml:space="preserve">ocus </w:t>
      </w:r>
      <w:r w:rsidR="002C1390" w:rsidRPr="00046DA5">
        <w:t>a</w:t>
      </w:r>
      <w:r w:rsidR="00431460" w:rsidRPr="00046DA5">
        <w:t xml:space="preserve">rea </w:t>
      </w:r>
      <w:r w:rsidR="008436D9" w:rsidRPr="00046DA5">
        <w:t>6</w:t>
      </w:r>
      <w:r w:rsidR="000F2CB6" w:rsidRPr="00046DA5">
        <w:t>.</w:t>
      </w:r>
    </w:p>
    <w:p w14:paraId="3F4EB9FC" w14:textId="77777777" w:rsidR="00B030DB" w:rsidRPr="00046DA5" w:rsidRDefault="00B030DB" w:rsidP="001E116E">
      <w:pPr>
        <w:pStyle w:val="Heading3"/>
        <w:spacing w:before="0" w:after="240"/>
      </w:pPr>
      <w:r w:rsidRPr="00046DA5">
        <w:t>Market-based allocations</w:t>
      </w:r>
    </w:p>
    <w:p w14:paraId="4A41C007" w14:textId="77777777" w:rsidR="00B030DB" w:rsidRPr="00046DA5" w:rsidRDefault="00B030DB" w:rsidP="001E116E">
      <w:pPr>
        <w:pStyle w:val="ListParagraph"/>
        <w:numPr>
          <w:ilvl w:val="0"/>
          <w:numId w:val="11"/>
        </w:numPr>
        <w:spacing w:after="120" w:line="240" w:lineRule="auto"/>
        <w:ind w:left="567" w:hanging="567"/>
        <w:rPr>
          <w:b/>
        </w:rPr>
      </w:pPr>
      <w:r w:rsidRPr="00046DA5">
        <w:rPr>
          <w:b/>
        </w:rPr>
        <w:t>The ACMA should further identify bands to transition from administratively set fees to competitive market-based allocations in its annual work program.</w:t>
      </w:r>
    </w:p>
    <w:p w14:paraId="5770B152" w14:textId="183CE875" w:rsidR="00B030DB" w:rsidRPr="00046DA5" w:rsidRDefault="00287733" w:rsidP="00B900DB">
      <w:pPr>
        <w:spacing w:after="0"/>
        <w:ind w:left="567"/>
      </w:pPr>
      <w:r w:rsidRPr="00046DA5">
        <w:rPr>
          <w:i/>
        </w:rPr>
        <w:t>Status</w:t>
      </w:r>
      <w:r w:rsidR="00B900DB" w:rsidRPr="00046DA5">
        <w:t xml:space="preserve">: </w:t>
      </w:r>
      <w:r w:rsidR="002C1390" w:rsidRPr="00046DA5">
        <w:t xml:space="preserve">This </w:t>
      </w:r>
      <w:r w:rsidR="00181176" w:rsidRPr="00046DA5">
        <w:t>recommendation</w:t>
      </w:r>
      <w:r w:rsidR="002C1390" w:rsidRPr="00046DA5">
        <w:t xml:space="preserve"> has been implemented with the extensive forward work program of allocations published in the </w:t>
      </w:r>
      <w:hyperlink r:id="rId28" w:history="1">
        <w:r w:rsidR="002C1390" w:rsidRPr="00046DA5">
          <w:rPr>
            <w:rStyle w:val="Hyperlink"/>
            <w:i/>
          </w:rPr>
          <w:t>F</w:t>
        </w:r>
        <w:r w:rsidR="004539D4" w:rsidRPr="00046DA5">
          <w:rPr>
            <w:rStyle w:val="Hyperlink"/>
            <w:i/>
          </w:rPr>
          <w:t>ive</w:t>
        </w:r>
        <w:r w:rsidR="002C1390" w:rsidRPr="00046DA5">
          <w:rPr>
            <w:rStyle w:val="Hyperlink"/>
            <w:i/>
          </w:rPr>
          <w:t>-y</w:t>
        </w:r>
        <w:r w:rsidR="004539D4" w:rsidRPr="00046DA5">
          <w:rPr>
            <w:rStyle w:val="Hyperlink"/>
            <w:i/>
          </w:rPr>
          <w:t xml:space="preserve">ear </w:t>
        </w:r>
        <w:r w:rsidR="002C1390" w:rsidRPr="00046DA5">
          <w:rPr>
            <w:rStyle w:val="Hyperlink"/>
            <w:i/>
          </w:rPr>
          <w:t>s</w:t>
        </w:r>
        <w:r w:rsidR="004539D4" w:rsidRPr="00046DA5">
          <w:rPr>
            <w:rStyle w:val="Hyperlink"/>
            <w:i/>
          </w:rPr>
          <w:t xml:space="preserve">pectrum </w:t>
        </w:r>
        <w:r w:rsidR="002C1390" w:rsidRPr="00046DA5">
          <w:rPr>
            <w:rStyle w:val="Hyperlink"/>
            <w:i/>
          </w:rPr>
          <w:t>o</w:t>
        </w:r>
        <w:r w:rsidR="004539D4" w:rsidRPr="00046DA5">
          <w:rPr>
            <w:rStyle w:val="Hyperlink"/>
            <w:i/>
          </w:rPr>
          <w:t>utlook 2019</w:t>
        </w:r>
        <w:r w:rsidR="002C1390" w:rsidRPr="00046DA5">
          <w:rPr>
            <w:rStyle w:val="Hyperlink"/>
            <w:i/>
          </w:rPr>
          <w:t>–</w:t>
        </w:r>
        <w:r w:rsidR="004539D4" w:rsidRPr="00046DA5">
          <w:rPr>
            <w:rStyle w:val="Hyperlink"/>
            <w:i/>
          </w:rPr>
          <w:t>23</w:t>
        </w:r>
      </w:hyperlink>
      <w:r w:rsidR="002C1390" w:rsidRPr="00046DA5">
        <w:t>.</w:t>
      </w:r>
      <w:r w:rsidR="004539D4" w:rsidRPr="00046DA5" w:rsidDel="004539D4">
        <w:t xml:space="preserve"> </w:t>
      </w:r>
      <w:r w:rsidR="00935220" w:rsidRPr="00046DA5">
        <w:t>There are ongoing opportunities for stakeholders to comment on work program of allocations</w:t>
      </w:r>
      <w:r w:rsidR="00380037" w:rsidRPr="00046DA5">
        <w:t xml:space="preserve"> as part of the consultation undertaken each year for the FYSO</w:t>
      </w:r>
      <w:r w:rsidR="00935220" w:rsidRPr="00046DA5">
        <w:t>.</w:t>
      </w:r>
    </w:p>
    <w:p w14:paraId="38E6B16A" w14:textId="77777777" w:rsidR="00B900DB" w:rsidRPr="00046DA5" w:rsidRDefault="00B900DB" w:rsidP="00B875A1">
      <w:pPr>
        <w:spacing w:after="0"/>
        <w:ind w:left="567"/>
      </w:pPr>
    </w:p>
    <w:p w14:paraId="194F7C65" w14:textId="35BFCC05" w:rsidR="00B030DB" w:rsidRPr="00046DA5" w:rsidRDefault="00B030DB" w:rsidP="001E116E">
      <w:pPr>
        <w:pStyle w:val="ListParagraph"/>
        <w:numPr>
          <w:ilvl w:val="0"/>
          <w:numId w:val="11"/>
        </w:numPr>
        <w:spacing w:after="240" w:line="240" w:lineRule="auto"/>
        <w:ind w:left="567" w:hanging="567"/>
        <w:contextualSpacing w:val="0"/>
        <w:rPr>
          <w:b/>
        </w:rPr>
      </w:pPr>
      <w:r w:rsidRPr="00046DA5">
        <w:rPr>
          <w:b/>
        </w:rPr>
        <w:t xml:space="preserve">In setting reserve prices, the ACMA and the </w:t>
      </w:r>
      <w:r w:rsidR="00526982" w:rsidRPr="00046DA5">
        <w:rPr>
          <w:b/>
        </w:rPr>
        <w:t>G</w:t>
      </w:r>
      <w:r w:rsidRPr="00046DA5">
        <w:rPr>
          <w:b/>
        </w:rPr>
        <w:t>overnment should consider the influence of the reserve price on competitive behaviour, and the scope for price discovery through upward movement toward the market value of the spectrum.</w:t>
      </w:r>
    </w:p>
    <w:p w14:paraId="1963EDDC" w14:textId="77777777" w:rsidR="00B030DB" w:rsidRPr="00046DA5" w:rsidRDefault="00B030DB" w:rsidP="001E116E">
      <w:pPr>
        <w:pStyle w:val="ListParagraph"/>
        <w:numPr>
          <w:ilvl w:val="0"/>
          <w:numId w:val="11"/>
        </w:numPr>
        <w:spacing w:after="120" w:line="240" w:lineRule="auto"/>
        <w:ind w:left="567" w:hanging="567"/>
        <w:rPr>
          <w:b/>
        </w:rPr>
      </w:pPr>
      <w:r w:rsidRPr="00046DA5">
        <w:rPr>
          <w:b/>
        </w:rPr>
        <w:t>For spectrum access charges determined by auction, the ACMA should generally require upfront lump-sum payments. There may be circumstances where instalment payments are warranted shortly after the beginning of a licence term. In considering use of instalments, the ACMA should assess the risks to the state of default and the potential impact on competition.</w:t>
      </w:r>
    </w:p>
    <w:p w14:paraId="45A5087A" w14:textId="3794D981" w:rsidR="00B900DB" w:rsidRPr="00046DA5" w:rsidRDefault="00874E69" w:rsidP="001E116E">
      <w:pPr>
        <w:spacing w:line="240" w:lineRule="auto"/>
        <w:ind w:left="567"/>
      </w:pPr>
      <w:r w:rsidRPr="00046DA5">
        <w:rPr>
          <w:i/>
        </w:rPr>
        <w:t>Status</w:t>
      </w:r>
      <w:r w:rsidR="00274D50" w:rsidRPr="00046DA5">
        <w:rPr>
          <w:i/>
        </w:rPr>
        <w:t>—</w:t>
      </w:r>
      <w:r w:rsidR="00E36293" w:rsidRPr="00046DA5">
        <w:rPr>
          <w:i/>
        </w:rPr>
        <w:t>recommendations</w:t>
      </w:r>
      <w:r w:rsidR="003B1495" w:rsidRPr="00046DA5">
        <w:rPr>
          <w:i/>
        </w:rPr>
        <w:t xml:space="preserve"> 5 and 6</w:t>
      </w:r>
      <w:r w:rsidRPr="00046DA5">
        <w:rPr>
          <w:i/>
        </w:rPr>
        <w:t>:</w:t>
      </w:r>
      <w:r w:rsidRPr="00046DA5">
        <w:t xml:space="preserve"> The ACMA accepts this recommendation.</w:t>
      </w:r>
      <w:r w:rsidR="00274D50" w:rsidRPr="00046DA5">
        <w:t xml:space="preserve"> </w:t>
      </w:r>
      <w:r w:rsidRPr="00046DA5">
        <w:t>The ACMA is mindful that each auction should consider the circumstances of the market.</w:t>
      </w:r>
    </w:p>
    <w:p w14:paraId="4B386694" w14:textId="77777777" w:rsidR="00B030DB" w:rsidRPr="00046DA5" w:rsidRDefault="00B030DB" w:rsidP="001E116E">
      <w:pPr>
        <w:pStyle w:val="Heading3"/>
        <w:spacing w:after="240"/>
      </w:pPr>
      <w:r w:rsidRPr="00046DA5">
        <w:t>Administered allocations</w:t>
      </w:r>
    </w:p>
    <w:p w14:paraId="4DC41E12" w14:textId="77777777" w:rsidR="00B030DB" w:rsidRPr="00046DA5" w:rsidRDefault="00B030DB" w:rsidP="001E116E">
      <w:pPr>
        <w:pStyle w:val="ListParagraph"/>
        <w:numPr>
          <w:ilvl w:val="0"/>
          <w:numId w:val="11"/>
        </w:numPr>
        <w:spacing w:after="240" w:line="240" w:lineRule="auto"/>
        <w:ind w:left="567" w:hanging="567"/>
        <w:contextualSpacing w:val="0"/>
        <w:rPr>
          <w:b/>
        </w:rPr>
      </w:pPr>
      <w:r w:rsidRPr="00046DA5">
        <w:rPr>
          <w:b/>
        </w:rPr>
        <w:t>The ACMA should undertake a detailed review of the administrative pricing formula’s parameters, including density areas, the number of pricing bands, and the number of power categories. The ACMA should implement regular updates to the location and band weightings to reflect changes in density, demography and demand.</w:t>
      </w:r>
    </w:p>
    <w:p w14:paraId="7E6347BD" w14:textId="06E2D16B" w:rsidR="00B900DB" w:rsidRPr="00046DA5" w:rsidRDefault="00B030DB" w:rsidP="001E116E">
      <w:pPr>
        <w:pStyle w:val="ListParagraph"/>
        <w:numPr>
          <w:ilvl w:val="0"/>
          <w:numId w:val="11"/>
        </w:numPr>
        <w:spacing w:after="120" w:line="240" w:lineRule="auto"/>
        <w:ind w:left="567" w:hanging="567"/>
        <w:contextualSpacing w:val="0"/>
        <w:rPr>
          <w:b/>
        </w:rPr>
      </w:pPr>
      <w:r w:rsidRPr="00046DA5">
        <w:rPr>
          <w:b/>
        </w:rPr>
        <w:t>The ACMA should apply opportunity cost pricing to a greater number of spectrum bands, especially where it is impractical to competitively allocate spectrum. This work should be identified in the ACMA’s annual work program. The ACMA should consider more time effective approaches to implement these, and review fees as market conditions change over time.</w:t>
      </w:r>
    </w:p>
    <w:p w14:paraId="7B76B037" w14:textId="1E328EBA" w:rsidR="00B030DB" w:rsidRPr="00046DA5" w:rsidRDefault="002F705C" w:rsidP="001E116E">
      <w:pPr>
        <w:pStyle w:val="ListParagraph"/>
        <w:spacing w:after="240" w:line="240" w:lineRule="auto"/>
        <w:ind w:left="567"/>
        <w:rPr>
          <w:rFonts w:cs="Arial"/>
          <w:bCs/>
          <w:szCs w:val="20"/>
        </w:rPr>
      </w:pPr>
      <w:r w:rsidRPr="00046DA5">
        <w:rPr>
          <w:rFonts w:cs="Arial"/>
          <w:bCs/>
          <w:i/>
          <w:szCs w:val="20"/>
        </w:rPr>
        <w:t>Status</w:t>
      </w:r>
      <w:r w:rsidR="00274D50" w:rsidRPr="00046DA5">
        <w:rPr>
          <w:rFonts w:cs="Arial"/>
          <w:i/>
          <w:szCs w:val="20"/>
        </w:rPr>
        <w:t>—r</w:t>
      </w:r>
      <w:r w:rsidR="004105E1" w:rsidRPr="00046DA5">
        <w:rPr>
          <w:rFonts w:cs="Arial"/>
          <w:i/>
          <w:szCs w:val="20"/>
        </w:rPr>
        <w:t>ecommendations 7 and 8</w:t>
      </w:r>
      <w:r w:rsidR="00B900DB" w:rsidRPr="00046DA5">
        <w:rPr>
          <w:rFonts w:cs="Arial"/>
          <w:bCs/>
          <w:i/>
          <w:szCs w:val="20"/>
        </w:rPr>
        <w:t>:</w:t>
      </w:r>
      <w:r w:rsidR="00B900DB" w:rsidRPr="00046DA5">
        <w:rPr>
          <w:rFonts w:cs="Arial"/>
          <w:bCs/>
          <w:szCs w:val="20"/>
        </w:rPr>
        <w:t xml:space="preserve"> </w:t>
      </w:r>
      <w:r w:rsidR="00B030DB" w:rsidRPr="00046DA5">
        <w:rPr>
          <w:rFonts w:cs="Arial"/>
          <w:bCs/>
          <w:szCs w:val="20"/>
        </w:rPr>
        <w:t>These recommendations are at the centre of the proposed review</w:t>
      </w:r>
      <w:r w:rsidR="0096575F" w:rsidRPr="00046DA5">
        <w:rPr>
          <w:rFonts w:cs="Arial"/>
          <w:bCs/>
          <w:szCs w:val="20"/>
        </w:rPr>
        <w:t xml:space="preserve"> and this consultation paper</w:t>
      </w:r>
      <w:r w:rsidR="00C53844" w:rsidRPr="00046DA5">
        <w:rPr>
          <w:rFonts w:cs="Arial"/>
          <w:bCs/>
          <w:szCs w:val="20"/>
        </w:rPr>
        <w:t xml:space="preserve">. </w:t>
      </w:r>
      <w:r w:rsidR="0026762F" w:rsidRPr="00046DA5">
        <w:rPr>
          <w:rFonts w:cs="Arial"/>
          <w:bCs/>
          <w:szCs w:val="20"/>
        </w:rPr>
        <w:t>This consultation paper and t</w:t>
      </w:r>
      <w:r w:rsidR="0096575F" w:rsidRPr="00046DA5">
        <w:rPr>
          <w:rFonts w:cs="Arial"/>
          <w:bCs/>
          <w:szCs w:val="20"/>
        </w:rPr>
        <w:t xml:space="preserve">he focus areas </w:t>
      </w:r>
      <w:r w:rsidR="0005206F" w:rsidRPr="00046DA5">
        <w:rPr>
          <w:rFonts w:cs="Arial"/>
          <w:bCs/>
          <w:szCs w:val="20"/>
        </w:rPr>
        <w:t xml:space="preserve">are designed </w:t>
      </w:r>
      <w:r w:rsidR="0026762F" w:rsidRPr="00046DA5">
        <w:rPr>
          <w:rFonts w:cs="Arial"/>
          <w:bCs/>
          <w:szCs w:val="20"/>
        </w:rPr>
        <w:t xml:space="preserve">to solicit feedback about </w:t>
      </w:r>
      <w:r w:rsidR="00274D50" w:rsidRPr="00046DA5">
        <w:rPr>
          <w:rFonts w:cs="Arial"/>
          <w:bCs/>
          <w:szCs w:val="20"/>
        </w:rPr>
        <w:t xml:space="preserve">stakeholder </w:t>
      </w:r>
      <w:r w:rsidR="0026762F" w:rsidRPr="00046DA5">
        <w:rPr>
          <w:rFonts w:cs="Arial"/>
          <w:bCs/>
          <w:szCs w:val="20"/>
        </w:rPr>
        <w:t>priorit</w:t>
      </w:r>
      <w:r w:rsidR="00274D50" w:rsidRPr="00046DA5">
        <w:rPr>
          <w:rFonts w:cs="Arial"/>
          <w:bCs/>
          <w:szCs w:val="20"/>
        </w:rPr>
        <w:t>ies</w:t>
      </w:r>
      <w:r w:rsidR="0026762F" w:rsidRPr="00046DA5">
        <w:rPr>
          <w:rFonts w:cs="Arial"/>
          <w:bCs/>
          <w:szCs w:val="20"/>
        </w:rPr>
        <w:t xml:space="preserve"> and the design of the tax arrangements. From this feedback</w:t>
      </w:r>
      <w:r w:rsidR="00274D50" w:rsidRPr="00046DA5">
        <w:rPr>
          <w:rFonts w:cs="Arial"/>
          <w:bCs/>
          <w:szCs w:val="20"/>
        </w:rPr>
        <w:t>,</w:t>
      </w:r>
      <w:r w:rsidR="0026762F" w:rsidRPr="00046DA5">
        <w:rPr>
          <w:rFonts w:cs="Arial"/>
          <w:bCs/>
          <w:szCs w:val="20"/>
        </w:rPr>
        <w:t xml:space="preserve"> the ACMA will </w:t>
      </w:r>
      <w:r w:rsidR="0005206F" w:rsidRPr="00046DA5">
        <w:rPr>
          <w:rFonts w:cs="Arial"/>
          <w:bCs/>
          <w:szCs w:val="20"/>
        </w:rPr>
        <w:t xml:space="preserve">develop a work program </w:t>
      </w:r>
      <w:r w:rsidR="00274D50" w:rsidRPr="00046DA5">
        <w:rPr>
          <w:rFonts w:cs="Arial"/>
          <w:bCs/>
          <w:szCs w:val="20"/>
        </w:rPr>
        <w:t xml:space="preserve">that </w:t>
      </w:r>
      <w:r w:rsidR="0026762F" w:rsidRPr="00046DA5">
        <w:rPr>
          <w:rFonts w:cs="Arial"/>
          <w:bCs/>
          <w:szCs w:val="20"/>
        </w:rPr>
        <w:t>provide</w:t>
      </w:r>
      <w:r w:rsidR="00274D50" w:rsidRPr="00046DA5">
        <w:rPr>
          <w:rFonts w:cs="Arial"/>
          <w:bCs/>
          <w:szCs w:val="20"/>
        </w:rPr>
        <w:t>s</w:t>
      </w:r>
      <w:r w:rsidR="0026762F" w:rsidRPr="00046DA5">
        <w:rPr>
          <w:rFonts w:cs="Arial"/>
          <w:bCs/>
          <w:szCs w:val="20"/>
        </w:rPr>
        <w:t xml:space="preserve"> a new approach to taxes </w:t>
      </w:r>
      <w:r w:rsidR="0005206F" w:rsidRPr="00046DA5">
        <w:rPr>
          <w:rFonts w:cs="Arial"/>
          <w:bCs/>
          <w:szCs w:val="20"/>
        </w:rPr>
        <w:t>consistent with the recommendations.</w:t>
      </w:r>
    </w:p>
    <w:p w14:paraId="135326B1" w14:textId="77777777" w:rsidR="00B030DB" w:rsidRPr="00046DA5" w:rsidRDefault="00B030DB" w:rsidP="001E116E">
      <w:pPr>
        <w:pStyle w:val="Heading3"/>
        <w:spacing w:after="240"/>
      </w:pPr>
      <w:r w:rsidRPr="00046DA5">
        <w:lastRenderedPageBreak/>
        <w:t>Legislative and cost recovery framework</w:t>
      </w:r>
    </w:p>
    <w:p w14:paraId="78001FC0" w14:textId="72A13AFD" w:rsidR="00B030DB" w:rsidRPr="00046DA5" w:rsidRDefault="00B030DB" w:rsidP="001E116E">
      <w:pPr>
        <w:pStyle w:val="ListParagraph"/>
        <w:numPr>
          <w:ilvl w:val="0"/>
          <w:numId w:val="11"/>
        </w:numPr>
        <w:spacing w:after="240" w:line="240" w:lineRule="auto"/>
        <w:ind w:left="567" w:hanging="567"/>
        <w:contextualSpacing w:val="0"/>
        <w:rPr>
          <w:b/>
        </w:rPr>
      </w:pPr>
      <w:r w:rsidRPr="00046DA5">
        <w:rPr>
          <w:b/>
        </w:rPr>
        <w:t xml:space="preserve">The </w:t>
      </w:r>
      <w:r w:rsidR="00526982" w:rsidRPr="00046DA5">
        <w:rPr>
          <w:b/>
        </w:rPr>
        <w:t>G</w:t>
      </w:r>
      <w:r w:rsidRPr="00046DA5">
        <w:rPr>
          <w:b/>
        </w:rPr>
        <w:t xml:space="preserve">overnment should consolidate the three existing spectrum tax Acts into one tax Act. The ACMA should continue to have the power to make determinations on the amount of tax under this Act. There should be no changes to the direct charges framework. In addition to the consolidation of the tax Acts, provisions of the separate </w:t>
      </w:r>
      <w:r w:rsidRPr="00046DA5">
        <w:rPr>
          <w:b/>
          <w:i/>
        </w:rPr>
        <w:t>Radiocommunications Taxes Collection Act 1983</w:t>
      </w:r>
      <w:r w:rsidRPr="00046DA5">
        <w:rPr>
          <w:b/>
        </w:rPr>
        <w:t xml:space="preserve"> and the Radiocommunications Taxes Collection Regulations 1985 should be consolidated with the remaining legislation.</w:t>
      </w:r>
    </w:p>
    <w:p w14:paraId="37CF0595" w14:textId="77777777" w:rsidR="00B030DB" w:rsidRPr="00046DA5" w:rsidRDefault="00B030DB" w:rsidP="001E116E">
      <w:pPr>
        <w:pStyle w:val="ListParagraph"/>
        <w:numPr>
          <w:ilvl w:val="0"/>
          <w:numId w:val="11"/>
        </w:numPr>
        <w:spacing w:after="240" w:line="240" w:lineRule="auto"/>
        <w:ind w:left="567" w:hanging="567"/>
        <w:contextualSpacing w:val="0"/>
        <w:rPr>
          <w:b/>
        </w:rPr>
      </w:pPr>
      <w:r w:rsidRPr="00046DA5">
        <w:rPr>
          <w:b/>
        </w:rPr>
        <w:t>The apparatus licence taxes and spectrum access charges for spectrum licences should be combined into a single spectrum access charge. This existing apparatus licence tax formula should become the administered incentive pricing formula and should dictate the price paid for administered prices under the spectrum access charge. This formula would be adjusted to remove the minimum tax constraint.</w:t>
      </w:r>
    </w:p>
    <w:p w14:paraId="249ECD26" w14:textId="6E4D5BA0" w:rsidR="00B900DB" w:rsidRPr="00046DA5" w:rsidRDefault="00B030DB" w:rsidP="001E116E">
      <w:pPr>
        <w:pStyle w:val="ListParagraph"/>
        <w:numPr>
          <w:ilvl w:val="0"/>
          <w:numId w:val="11"/>
        </w:numPr>
        <w:spacing w:after="120" w:line="240" w:lineRule="auto"/>
        <w:ind w:left="567" w:hanging="567"/>
        <w:contextualSpacing w:val="0"/>
        <w:rPr>
          <w:b/>
        </w:rPr>
      </w:pPr>
      <w:r w:rsidRPr="00046DA5">
        <w:rPr>
          <w:b/>
        </w:rPr>
        <w:t>The spectrum licence tax and the minimum tax constraint of the apparatus licence taxes should be subsumed into one radiocommunications licence tax. The ACMA should continue to recover direct costs through charges. The ACMA should explore if there are any additional costs that should be recovered through the direct cost mechanisms. The use of charges should be consistent with the Australian Government Charging Framework.</w:t>
      </w:r>
    </w:p>
    <w:p w14:paraId="1208CE2B" w14:textId="05FFBDC3" w:rsidR="006D737C" w:rsidRPr="00046DA5" w:rsidRDefault="008B4B35" w:rsidP="001E116E">
      <w:pPr>
        <w:pStyle w:val="ListParagraph"/>
        <w:spacing w:after="240" w:line="240" w:lineRule="auto"/>
        <w:ind w:left="567"/>
        <w:contextualSpacing w:val="0"/>
        <w:rPr>
          <w:rFonts w:cs="Arial"/>
          <w:bCs/>
          <w:szCs w:val="20"/>
        </w:rPr>
      </w:pPr>
      <w:r w:rsidRPr="00046DA5">
        <w:rPr>
          <w:rFonts w:cs="Arial"/>
          <w:bCs/>
          <w:i/>
          <w:szCs w:val="20"/>
        </w:rPr>
        <w:t>Status</w:t>
      </w:r>
      <w:r w:rsidR="00274D50" w:rsidRPr="00046DA5">
        <w:rPr>
          <w:rFonts w:cs="Arial"/>
          <w:i/>
          <w:szCs w:val="20"/>
        </w:rPr>
        <w:t>—r</w:t>
      </w:r>
      <w:r w:rsidR="004105E1" w:rsidRPr="00046DA5">
        <w:rPr>
          <w:rFonts w:cs="Arial"/>
          <w:i/>
          <w:szCs w:val="20"/>
        </w:rPr>
        <w:t>ecommendations 9, 10 and 11</w:t>
      </w:r>
      <w:r w:rsidR="00B900DB" w:rsidRPr="00046DA5">
        <w:rPr>
          <w:rFonts w:cs="Arial"/>
          <w:bCs/>
          <w:i/>
          <w:szCs w:val="20"/>
        </w:rPr>
        <w:t>:</w:t>
      </w:r>
      <w:r w:rsidR="00B900DB" w:rsidRPr="00046DA5">
        <w:rPr>
          <w:rFonts w:cs="Arial"/>
          <w:bCs/>
          <w:szCs w:val="20"/>
        </w:rPr>
        <w:t xml:space="preserve"> </w:t>
      </w:r>
      <w:r w:rsidR="004105E1" w:rsidRPr="00046DA5">
        <w:rPr>
          <w:rFonts w:cs="Arial"/>
          <w:bCs/>
          <w:szCs w:val="20"/>
        </w:rPr>
        <w:t>The l</w:t>
      </w:r>
      <w:r w:rsidR="00B030DB" w:rsidRPr="00046DA5">
        <w:rPr>
          <w:rFonts w:cs="Arial"/>
          <w:bCs/>
          <w:szCs w:val="20"/>
        </w:rPr>
        <w:t xml:space="preserve">egislative changes </w:t>
      </w:r>
      <w:r w:rsidR="004105E1" w:rsidRPr="00046DA5">
        <w:rPr>
          <w:rFonts w:cs="Arial"/>
          <w:bCs/>
          <w:szCs w:val="20"/>
        </w:rPr>
        <w:t xml:space="preserve">mentioned in these recommendations </w:t>
      </w:r>
      <w:r w:rsidR="00B030DB" w:rsidRPr="00046DA5">
        <w:rPr>
          <w:rFonts w:cs="Arial"/>
          <w:bCs/>
          <w:szCs w:val="20"/>
        </w:rPr>
        <w:t xml:space="preserve">are matters for </w:t>
      </w:r>
      <w:r w:rsidR="00274D50" w:rsidRPr="00046DA5">
        <w:rPr>
          <w:rFonts w:cs="Arial"/>
          <w:bCs/>
          <w:szCs w:val="20"/>
        </w:rPr>
        <w:t>g</w:t>
      </w:r>
      <w:r w:rsidR="00B030DB" w:rsidRPr="00046DA5">
        <w:rPr>
          <w:rFonts w:cs="Arial"/>
          <w:bCs/>
          <w:szCs w:val="20"/>
        </w:rPr>
        <w:t xml:space="preserve">overnment. </w:t>
      </w:r>
      <w:r w:rsidR="004105E1" w:rsidRPr="00046DA5">
        <w:rPr>
          <w:rFonts w:cs="Arial"/>
          <w:bCs/>
          <w:szCs w:val="20"/>
        </w:rPr>
        <w:t>However, a</w:t>
      </w:r>
      <w:r w:rsidR="00B030DB" w:rsidRPr="00046DA5">
        <w:rPr>
          <w:rFonts w:cs="Arial"/>
          <w:bCs/>
          <w:szCs w:val="20"/>
        </w:rPr>
        <w:t xml:space="preserve">s stated </w:t>
      </w:r>
      <w:r w:rsidR="000F2A21" w:rsidRPr="00046DA5">
        <w:rPr>
          <w:rFonts w:cs="Arial"/>
          <w:bCs/>
          <w:szCs w:val="20"/>
        </w:rPr>
        <w:t>in the FYSO</w:t>
      </w:r>
      <w:r w:rsidR="009630CA" w:rsidRPr="00046DA5">
        <w:rPr>
          <w:rFonts w:cs="Arial"/>
          <w:bCs/>
          <w:szCs w:val="20"/>
        </w:rPr>
        <w:t>,</w:t>
      </w:r>
      <w:r w:rsidR="000F2A21" w:rsidRPr="00046DA5">
        <w:rPr>
          <w:rFonts w:cs="Arial"/>
          <w:bCs/>
          <w:szCs w:val="20"/>
        </w:rPr>
        <w:t xml:space="preserve"> </w:t>
      </w:r>
      <w:r w:rsidR="00B030DB" w:rsidRPr="00046DA5">
        <w:rPr>
          <w:rFonts w:cs="Arial"/>
          <w:bCs/>
          <w:szCs w:val="20"/>
        </w:rPr>
        <w:t xml:space="preserve">the ACMA considers that it can implement </w:t>
      </w:r>
      <w:r w:rsidR="003E4A36" w:rsidRPr="00046DA5">
        <w:rPr>
          <w:rFonts w:cs="Arial"/>
          <w:bCs/>
          <w:szCs w:val="20"/>
        </w:rPr>
        <w:t xml:space="preserve">the intent of </w:t>
      </w:r>
      <w:r w:rsidR="00B030DB" w:rsidRPr="00046DA5">
        <w:rPr>
          <w:rFonts w:cs="Arial"/>
          <w:bCs/>
          <w:szCs w:val="20"/>
        </w:rPr>
        <w:t>many of the</w:t>
      </w:r>
      <w:r w:rsidR="003E4A36" w:rsidRPr="00046DA5">
        <w:rPr>
          <w:rFonts w:cs="Arial"/>
          <w:bCs/>
          <w:szCs w:val="20"/>
        </w:rPr>
        <w:t>se</w:t>
      </w:r>
      <w:r w:rsidR="00B030DB" w:rsidRPr="00046DA5">
        <w:rPr>
          <w:rFonts w:cs="Arial"/>
          <w:bCs/>
          <w:szCs w:val="20"/>
        </w:rPr>
        <w:t xml:space="preserve"> recommendations under the current legislation.</w:t>
      </w:r>
    </w:p>
    <w:p w14:paraId="30FF2179" w14:textId="608FC182" w:rsidR="006D737C" w:rsidRPr="00046DA5" w:rsidRDefault="006D737C" w:rsidP="001E116E">
      <w:pPr>
        <w:pStyle w:val="Heading3"/>
        <w:shd w:val="clear" w:color="auto" w:fill="F2F2F2" w:themeFill="background1" w:themeFillShade="F2"/>
      </w:pPr>
      <w:r w:rsidRPr="00046DA5">
        <w:t xml:space="preserve">Question </w:t>
      </w:r>
      <w:r w:rsidR="00105A33" w:rsidRPr="00046DA5">
        <w:t>1</w:t>
      </w:r>
    </w:p>
    <w:p w14:paraId="26993C31" w14:textId="0A10EA3A" w:rsidR="006D737C" w:rsidRPr="00046DA5" w:rsidRDefault="006D737C" w:rsidP="001E116E">
      <w:pPr>
        <w:pStyle w:val="Paragraph"/>
        <w:shd w:val="clear" w:color="auto" w:fill="F2F2F2" w:themeFill="background1" w:themeFillShade="F2"/>
      </w:pPr>
      <w:r w:rsidRPr="00046DA5">
        <w:t xml:space="preserve">Do stakeholders have any views </w:t>
      </w:r>
      <w:r w:rsidR="00F1756D" w:rsidRPr="00046DA5">
        <w:t xml:space="preserve">about </w:t>
      </w:r>
      <w:r w:rsidR="00C668CD" w:rsidRPr="00046DA5">
        <w:t xml:space="preserve">the status of the ACMA’s role in implementing </w:t>
      </w:r>
      <w:r w:rsidR="00F1756D" w:rsidRPr="00046DA5">
        <w:t>the recommendations of the Spectrum Pricing Review?</w:t>
      </w:r>
    </w:p>
    <w:p w14:paraId="77E7305D" w14:textId="65C33F07" w:rsidR="008C33D2" w:rsidRPr="00046DA5" w:rsidRDefault="00B030DB" w:rsidP="008C33D2">
      <w:pPr>
        <w:pStyle w:val="Heading1"/>
      </w:pPr>
      <w:bookmarkStart w:id="20" w:name="_Toc33758191"/>
      <w:r w:rsidRPr="00046DA5">
        <w:lastRenderedPageBreak/>
        <w:t>Legislative and policy environment</w:t>
      </w:r>
      <w:bookmarkEnd w:id="20"/>
      <w:r w:rsidRPr="00046DA5">
        <w:t xml:space="preserve"> </w:t>
      </w:r>
    </w:p>
    <w:bookmarkEnd w:id="8"/>
    <w:bookmarkEnd w:id="9"/>
    <w:bookmarkEnd w:id="10"/>
    <w:bookmarkEnd w:id="11"/>
    <w:bookmarkEnd w:id="12"/>
    <w:bookmarkEnd w:id="13"/>
    <w:bookmarkEnd w:id="14"/>
    <w:bookmarkEnd w:id="15"/>
    <w:bookmarkEnd w:id="16"/>
    <w:bookmarkEnd w:id="17"/>
    <w:bookmarkEnd w:id="18"/>
    <w:p w14:paraId="5800D359" w14:textId="386E2495" w:rsidR="00241092" w:rsidRPr="00046DA5" w:rsidRDefault="00EB6677" w:rsidP="00241092">
      <w:r w:rsidRPr="00046DA5">
        <w:t>M</w:t>
      </w:r>
      <w:r w:rsidR="00241092" w:rsidRPr="00046DA5">
        <w:t>anaging spectrum efficiently and effectively for the benefit of all Australians is a key priority for the ACMA</w:t>
      </w:r>
      <w:r w:rsidRPr="00046DA5">
        <w:t xml:space="preserve">, as outlined in our </w:t>
      </w:r>
      <w:r w:rsidR="00C7778C" w:rsidRPr="00046DA5">
        <w:t>c</w:t>
      </w:r>
      <w:r w:rsidRPr="00046DA5">
        <w:t xml:space="preserve">orporate </w:t>
      </w:r>
      <w:r w:rsidR="00C7778C" w:rsidRPr="00046DA5">
        <w:t>p</w:t>
      </w:r>
      <w:r w:rsidRPr="00046DA5">
        <w:t>lan</w:t>
      </w:r>
      <w:r w:rsidR="00241092" w:rsidRPr="00046DA5">
        <w:rPr>
          <w:vertAlign w:val="superscript"/>
        </w:rPr>
        <w:footnoteReference w:id="5"/>
      </w:r>
      <w:r w:rsidR="00241092" w:rsidRPr="00046DA5">
        <w:t xml:space="preserve">. The ACMA draws on a range of legislative and administrative tools in executing these functions. </w:t>
      </w:r>
    </w:p>
    <w:p w14:paraId="32B8DA9E" w14:textId="36377946" w:rsidR="00241092" w:rsidRPr="00046DA5" w:rsidDel="00D36F87" w:rsidRDefault="00241092" w:rsidP="001E116E">
      <w:pPr>
        <w:pStyle w:val="Heading2"/>
      </w:pPr>
      <w:bookmarkStart w:id="21" w:name="_Toc6923096"/>
      <w:bookmarkStart w:id="22" w:name="_Toc33758192"/>
      <w:r w:rsidRPr="00046DA5" w:rsidDel="00D36F87">
        <w:t>Guiding legislation</w:t>
      </w:r>
      <w:bookmarkEnd w:id="21"/>
      <w:bookmarkEnd w:id="22"/>
    </w:p>
    <w:p w14:paraId="78A7BEB4" w14:textId="133D28EB" w:rsidR="00241092" w:rsidRPr="00046DA5" w:rsidDel="00D36F87" w:rsidRDefault="00241092" w:rsidP="00241092">
      <w:pPr>
        <w:spacing w:after="80"/>
      </w:pPr>
      <w:r w:rsidRPr="00046DA5" w:rsidDel="00D36F87">
        <w:t xml:space="preserve">Section 9 of the </w:t>
      </w:r>
      <w:r w:rsidRPr="00046DA5" w:rsidDel="00D36F87">
        <w:rPr>
          <w:i/>
        </w:rPr>
        <w:t>Australian Communications and Media Authority Act 2005</w:t>
      </w:r>
      <w:r w:rsidRPr="00046DA5" w:rsidDel="00D36F87">
        <w:t xml:space="preserve"> (ACMA Act) sets out the spectrum management functions of the ACMA, including to:</w:t>
      </w:r>
    </w:p>
    <w:p w14:paraId="564C0164" w14:textId="20CECD40" w:rsidR="00241092" w:rsidRPr="00046DA5" w:rsidDel="00D36F87" w:rsidRDefault="00241092">
      <w:pPr>
        <w:pStyle w:val="ListBullet"/>
        <w:spacing w:line="240" w:lineRule="auto"/>
      </w:pPr>
      <w:r w:rsidRPr="00046DA5" w:rsidDel="00D36F87">
        <w:t xml:space="preserve">manage the radiofrequency spectrum in accordance with the </w:t>
      </w:r>
      <w:r w:rsidRPr="00046DA5" w:rsidDel="00D36F87">
        <w:rPr>
          <w:i/>
        </w:rPr>
        <w:t>Radiocommunications Act 1992</w:t>
      </w:r>
      <w:r w:rsidRPr="00046DA5" w:rsidDel="00D36F87">
        <w:t xml:space="preserve"> (the Act)</w:t>
      </w:r>
    </w:p>
    <w:p w14:paraId="3CDE38DD" w14:textId="2831377D" w:rsidR="00241092" w:rsidRPr="00046DA5" w:rsidDel="00D36F87" w:rsidRDefault="00241092" w:rsidP="001E116E">
      <w:pPr>
        <w:pStyle w:val="ListBulletLast"/>
      </w:pPr>
      <w:r w:rsidRPr="00046DA5" w:rsidDel="00D36F87">
        <w:t>advise and assist the radiocommunications community.</w:t>
      </w:r>
    </w:p>
    <w:p w14:paraId="4A267F52" w14:textId="30B519AA" w:rsidR="001814C3" w:rsidRPr="00046DA5" w:rsidDel="00D36F87" w:rsidRDefault="001814C3" w:rsidP="001E116E">
      <w:pPr>
        <w:pStyle w:val="Paragraph"/>
        <w:spacing w:after="80"/>
      </w:pPr>
      <w:r w:rsidRPr="00046DA5" w:rsidDel="00D36F87">
        <w:t>Consistent with the spectrum management functions set out in the ACMA Act, the object of the Act is to provide for management of the radiofrequency spectrum in order to (among other goals):</w:t>
      </w:r>
    </w:p>
    <w:p w14:paraId="41EF3E89" w14:textId="4761461B" w:rsidR="001814C3" w:rsidRPr="00046DA5" w:rsidDel="00D36F87" w:rsidRDefault="001814C3">
      <w:pPr>
        <w:pStyle w:val="ListBullet"/>
        <w:spacing w:line="240" w:lineRule="auto"/>
      </w:pPr>
      <w:r w:rsidRPr="00046DA5" w:rsidDel="00D36F87">
        <w:t>maximise, by ensuring the efficient allocation and use of the spectrum, the overall public benefit derived from using the radiofrequency spectrum</w:t>
      </w:r>
    </w:p>
    <w:p w14:paraId="123EEE21" w14:textId="0AD8BC03" w:rsidR="001814C3" w:rsidRPr="00046DA5" w:rsidDel="00D36F87" w:rsidRDefault="001814C3">
      <w:pPr>
        <w:pStyle w:val="ListBullet"/>
        <w:spacing w:line="240" w:lineRule="auto"/>
      </w:pPr>
      <w:r w:rsidRPr="00046DA5" w:rsidDel="00D36F87">
        <w:t>provide a responsive and flexible approach to meeting the needs of users of the spectrum</w:t>
      </w:r>
    </w:p>
    <w:p w14:paraId="13423218" w14:textId="2D1D7B01" w:rsidR="001814C3" w:rsidRPr="00046DA5" w:rsidDel="00D36F87" w:rsidRDefault="001814C3">
      <w:pPr>
        <w:pStyle w:val="ListBulletLast"/>
        <w:spacing w:after="120" w:line="240" w:lineRule="auto"/>
      </w:pPr>
      <w:r w:rsidRPr="00046DA5" w:rsidDel="00D36F87">
        <w:t>encourage the use of efficient radiocommunication technologies so that a wide range of services of an adequate quality can be provided</w:t>
      </w:r>
    </w:p>
    <w:p w14:paraId="6D888ED8" w14:textId="414CE4CB" w:rsidR="001814C3" w:rsidRPr="00046DA5" w:rsidDel="00D36F87" w:rsidRDefault="001814C3">
      <w:pPr>
        <w:pStyle w:val="ListBullet"/>
        <w:spacing w:line="240" w:lineRule="auto"/>
      </w:pPr>
      <w:r w:rsidRPr="00046DA5" w:rsidDel="00D36F87">
        <w:rPr>
          <w:rFonts w:ascii="Helvetica Neue" w:hAnsi="Helvetica Neue"/>
          <w:sz w:val="19"/>
          <w:szCs w:val="19"/>
        </w:rPr>
        <w:t>provide an efficient, equitable and transparent system of charging for the use of spectrum, taking account of the value of both commercial and non</w:t>
      </w:r>
      <w:r w:rsidRPr="00046DA5" w:rsidDel="00D36F87">
        <w:rPr>
          <w:rFonts w:ascii="Helvetica Neue" w:hAnsi="Helvetica Neue"/>
          <w:sz w:val="19"/>
          <w:szCs w:val="19"/>
        </w:rPr>
        <w:noBreakHyphen/>
        <w:t>commercial use of spectrum</w:t>
      </w:r>
    </w:p>
    <w:p w14:paraId="2ADCE34A" w14:textId="0BA702D9" w:rsidR="001814C3" w:rsidRPr="00046DA5" w:rsidDel="00D36F87" w:rsidRDefault="001814C3" w:rsidP="001E116E">
      <w:pPr>
        <w:pStyle w:val="ListBulletLast"/>
      </w:pPr>
      <w:r w:rsidRPr="00046DA5" w:rsidDel="00D36F87">
        <w:t>support the communications policy objectives of the Commonwealth Government.</w:t>
      </w:r>
    </w:p>
    <w:p w14:paraId="2B1BFB17" w14:textId="22B5CAA2" w:rsidR="00241092" w:rsidRPr="00046DA5" w:rsidRDefault="00241092" w:rsidP="001E116E">
      <w:pPr>
        <w:pStyle w:val="Heading2"/>
      </w:pPr>
      <w:bookmarkStart w:id="23" w:name="_Ref517344978"/>
      <w:bookmarkStart w:id="24" w:name="_Toc6923097"/>
      <w:bookmarkStart w:id="25" w:name="_Toc33758193"/>
      <w:r w:rsidRPr="00046DA5">
        <w:t>Principles for spectrum management</w:t>
      </w:r>
      <w:bookmarkEnd w:id="23"/>
      <w:bookmarkEnd w:id="24"/>
      <w:bookmarkEnd w:id="25"/>
    </w:p>
    <w:p w14:paraId="6B7C731A" w14:textId="7B25F3DD" w:rsidR="00241092" w:rsidRPr="00046DA5" w:rsidRDefault="00241092" w:rsidP="001E116E">
      <w:pPr>
        <w:pStyle w:val="Paragraph"/>
        <w:spacing w:after="80"/>
      </w:pPr>
      <w:r w:rsidRPr="00046DA5">
        <w:t xml:space="preserve">The ACMA is also guided by the </w:t>
      </w:r>
      <w:hyperlink r:id="rId29" w:history="1">
        <w:r w:rsidR="005D61AB" w:rsidRPr="00046DA5">
          <w:rPr>
            <w:rStyle w:val="Hyperlink"/>
          </w:rPr>
          <w:t>Principles for Spectrum Management</w:t>
        </w:r>
      </w:hyperlink>
      <w:r w:rsidRPr="00046DA5">
        <w:t xml:space="preserve"> (the Principles), which are:</w:t>
      </w:r>
    </w:p>
    <w:p w14:paraId="20588CCE" w14:textId="77777777" w:rsidR="00241092" w:rsidRPr="00046DA5" w:rsidRDefault="00241092" w:rsidP="001E116E">
      <w:pPr>
        <w:pStyle w:val="Numberlistlevel1"/>
      </w:pPr>
      <w:r w:rsidRPr="00046DA5">
        <w:t>Allocate spectrum to the highest value use (HVU) or uses.</w:t>
      </w:r>
    </w:p>
    <w:p w14:paraId="001E8518" w14:textId="77777777" w:rsidR="00241092" w:rsidRPr="00046DA5" w:rsidRDefault="00241092" w:rsidP="001E116E">
      <w:pPr>
        <w:pStyle w:val="Numberlistlevel1"/>
      </w:pPr>
      <w:r w:rsidRPr="00046DA5">
        <w:t>Enable and encourage spectrum to move to its HVU.</w:t>
      </w:r>
    </w:p>
    <w:p w14:paraId="2DE49D6C" w14:textId="77777777" w:rsidR="00241092" w:rsidRPr="00046DA5" w:rsidRDefault="00241092" w:rsidP="001E116E">
      <w:pPr>
        <w:pStyle w:val="Numberlistlevel1"/>
      </w:pPr>
      <w:r w:rsidRPr="00046DA5">
        <w:t>Use the least cost and least restrictive approach to achieving policy objectives.</w:t>
      </w:r>
    </w:p>
    <w:p w14:paraId="3677F873" w14:textId="77777777" w:rsidR="00241092" w:rsidRPr="00046DA5" w:rsidRDefault="00241092" w:rsidP="001E116E">
      <w:pPr>
        <w:pStyle w:val="Numberlistlevel1"/>
      </w:pPr>
      <w:r w:rsidRPr="00046DA5">
        <w:t>To the extent possible, promote both certainty and flexibility.</w:t>
      </w:r>
    </w:p>
    <w:p w14:paraId="33832F31" w14:textId="3BFD3D24" w:rsidR="00241092" w:rsidRPr="00046DA5" w:rsidRDefault="00241092" w:rsidP="001E116E">
      <w:pPr>
        <w:pStyle w:val="Numberlistlast"/>
      </w:pPr>
      <w:r w:rsidRPr="00046DA5">
        <w:t>Balance the cost of interference and the benefits of greater spectrum utilisation.</w:t>
      </w:r>
    </w:p>
    <w:p w14:paraId="7D1F51E3" w14:textId="70D134D9" w:rsidR="00D6268D" w:rsidRPr="00046DA5" w:rsidRDefault="005B1F06" w:rsidP="00046DA5">
      <w:pPr>
        <w:pStyle w:val="Heading2"/>
        <w:keepLines/>
      </w:pPr>
      <w:bookmarkStart w:id="26" w:name="_Toc33758194"/>
      <w:r w:rsidRPr="00046DA5">
        <w:lastRenderedPageBreak/>
        <w:t>Taxation regime</w:t>
      </w:r>
      <w:bookmarkEnd w:id="26"/>
    </w:p>
    <w:p w14:paraId="3206BF94" w14:textId="4A1A4527" w:rsidR="00D6268D" w:rsidRPr="00046DA5" w:rsidRDefault="00F626C3" w:rsidP="00046DA5">
      <w:pPr>
        <w:pStyle w:val="Paragraph"/>
        <w:keepNext/>
        <w:keepLines/>
      </w:pPr>
      <w:r w:rsidRPr="00046DA5">
        <w:t xml:space="preserve">Under the </w:t>
      </w:r>
      <w:r w:rsidRPr="00046DA5">
        <w:rPr>
          <w:i/>
          <w:iCs/>
        </w:rPr>
        <w:t xml:space="preserve">Radiocommunications (Transmitter Licence Tax) Act 1983 </w:t>
      </w:r>
      <w:r w:rsidRPr="00046DA5">
        <w:t xml:space="preserve">and the </w:t>
      </w:r>
      <w:r w:rsidRPr="00046DA5">
        <w:rPr>
          <w:i/>
          <w:iCs/>
        </w:rPr>
        <w:t>Radiocommunications (Receiver Licence Tax) Act 1983</w:t>
      </w:r>
      <w:r w:rsidRPr="00046DA5">
        <w:t xml:space="preserve">, the ACMA is responsible for determining the amount of tax imposed </w:t>
      </w:r>
      <w:r w:rsidR="00C7778C" w:rsidRPr="00046DA5">
        <w:t>for</w:t>
      </w:r>
      <w:r w:rsidRPr="00046DA5">
        <w:t xml:space="preserve"> transmitter and receiver licences issued under the </w:t>
      </w:r>
      <w:r w:rsidRPr="00046DA5">
        <w:rPr>
          <w:iCs/>
        </w:rPr>
        <w:t>Act</w:t>
      </w:r>
      <w:r w:rsidRPr="00046DA5">
        <w:t xml:space="preserve"> (apparatus licence taxes). The ACMA does </w:t>
      </w:r>
      <w:r w:rsidR="00C7778C" w:rsidRPr="00046DA5">
        <w:t xml:space="preserve">this via </w:t>
      </w:r>
      <w:r w:rsidRPr="00046DA5">
        <w:t>legislative instruments</w:t>
      </w:r>
      <w:r w:rsidR="00C7778C" w:rsidRPr="00046DA5">
        <w:t>,</w:t>
      </w:r>
      <w:r w:rsidRPr="00046DA5">
        <w:t xml:space="preserve"> which set out methods for determining amounts of tax for different classes of transmitter and receiver licences. Many of these methods are based on a single ‘tax formula’. </w:t>
      </w:r>
    </w:p>
    <w:p w14:paraId="72A0FAB5" w14:textId="0EA3BC58" w:rsidR="00F05E71" w:rsidRPr="00046DA5" w:rsidRDefault="001271BA" w:rsidP="00D6268D">
      <w:pPr>
        <w:spacing w:after="80"/>
      </w:pPr>
      <w:r w:rsidRPr="00046DA5">
        <w:t>A</w:t>
      </w:r>
      <w:r w:rsidR="001814C3" w:rsidRPr="00046DA5">
        <w:t>mounts of a</w:t>
      </w:r>
      <w:r w:rsidRPr="00046DA5">
        <w:t>pparatus licence taxes</w:t>
      </w:r>
      <w:r w:rsidR="005A15B7" w:rsidRPr="00046DA5">
        <w:t xml:space="preserve"> are determined by the ACMA in the:</w:t>
      </w:r>
    </w:p>
    <w:p w14:paraId="599E3D88" w14:textId="77AE23EE" w:rsidR="005A15B7" w:rsidRPr="00046DA5" w:rsidRDefault="00C47DEC" w:rsidP="001E116E">
      <w:pPr>
        <w:pStyle w:val="ListBullet"/>
      </w:pPr>
      <w:r w:rsidRPr="00046DA5">
        <w:t>Radiocommunications (Receiver Licence Tax) Determination 2015</w:t>
      </w:r>
    </w:p>
    <w:p w14:paraId="6EA55FB6" w14:textId="16EC8714" w:rsidR="00C47DEC" w:rsidRPr="00046DA5" w:rsidRDefault="00C47DEC" w:rsidP="001E116E">
      <w:pPr>
        <w:pStyle w:val="ListBulletLast"/>
      </w:pPr>
      <w:r w:rsidRPr="00046DA5">
        <w:t>Radiocommunications (Transmitter Licence Tax) Determination 2015</w:t>
      </w:r>
      <w:r w:rsidR="00C7778C" w:rsidRPr="00046DA5">
        <w:t>.</w:t>
      </w:r>
    </w:p>
    <w:p w14:paraId="14D55420" w14:textId="242F547C" w:rsidR="00023E7E" w:rsidRPr="00046DA5" w:rsidRDefault="00A67372" w:rsidP="001E116E">
      <w:pPr>
        <w:pStyle w:val="Paragraph"/>
      </w:pPr>
      <w:r w:rsidRPr="00046DA5">
        <w:t xml:space="preserve">Under the </w:t>
      </w:r>
      <w:r w:rsidRPr="00046DA5">
        <w:rPr>
          <w:i/>
          <w:iCs/>
        </w:rPr>
        <w:t>Radiocommunications (Spectrum Licence Tax) Act 1997</w:t>
      </w:r>
      <w:r w:rsidRPr="00046DA5">
        <w:t xml:space="preserve">, the ACMA is responsible for the determining the amount of tax imposed </w:t>
      </w:r>
      <w:r w:rsidR="00C7778C" w:rsidRPr="00046DA5">
        <w:t>for</w:t>
      </w:r>
      <w:r w:rsidRPr="00046DA5">
        <w:t xml:space="preserve"> spectrum licences issued under the </w:t>
      </w:r>
      <w:r w:rsidRPr="00046DA5">
        <w:rPr>
          <w:iCs/>
        </w:rPr>
        <w:t>Act</w:t>
      </w:r>
      <w:r w:rsidRPr="00046DA5">
        <w:rPr>
          <w:i/>
          <w:iCs/>
        </w:rPr>
        <w:t xml:space="preserve"> </w:t>
      </w:r>
      <w:r w:rsidRPr="00046DA5">
        <w:t>(spectrum licence tax).</w:t>
      </w:r>
    </w:p>
    <w:p w14:paraId="41432041" w14:textId="0C0463B8" w:rsidR="00E23ED9" w:rsidRPr="00046DA5" w:rsidRDefault="00E23ED9" w:rsidP="001E116E">
      <w:pPr>
        <w:pStyle w:val="Paragraph"/>
      </w:pPr>
      <w:r w:rsidRPr="00046DA5">
        <w:t>Amounts of spectrum licence taxes are determined by the ACMA in the Radiocommunications (Spectrum Licence Tax) Determination 2014.</w:t>
      </w:r>
    </w:p>
    <w:p w14:paraId="67AD8BB9" w14:textId="07D633EB" w:rsidR="007B657C" w:rsidRPr="00046DA5" w:rsidRDefault="007B657C" w:rsidP="001E116E">
      <w:pPr>
        <w:pStyle w:val="Paragraph"/>
      </w:pPr>
      <w:r w:rsidRPr="00046DA5">
        <w:t>Figure 1 describes the ACMA’s general approach to spectrum management decision-making.</w:t>
      </w:r>
    </w:p>
    <w:p w14:paraId="14F62055" w14:textId="00E2BBC8" w:rsidR="007F2C55" w:rsidRPr="00046DA5" w:rsidRDefault="007F2C55" w:rsidP="001E116E">
      <w:pPr>
        <w:pStyle w:val="Heading2"/>
      </w:pPr>
      <w:bookmarkStart w:id="27" w:name="_Toc33758195"/>
      <w:r w:rsidRPr="00046DA5">
        <w:t xml:space="preserve">Observation: </w:t>
      </w:r>
      <w:r w:rsidR="00C7778C" w:rsidRPr="00046DA5">
        <w:t>t</w:t>
      </w:r>
      <w:r w:rsidRPr="00046DA5">
        <w:t>he role of spectrum</w:t>
      </w:r>
      <w:r w:rsidR="001814C3" w:rsidRPr="00046DA5">
        <w:t xml:space="preserve"> pricing</w:t>
      </w:r>
      <w:bookmarkEnd w:id="27"/>
    </w:p>
    <w:p w14:paraId="4481089C" w14:textId="50E3FA0F" w:rsidR="007F2C55" w:rsidRPr="00046DA5" w:rsidRDefault="00C7778C" w:rsidP="001E116E">
      <w:pPr>
        <w:pStyle w:val="Paragraph"/>
      </w:pPr>
      <w:r w:rsidRPr="00046DA5">
        <w:t>S</w:t>
      </w:r>
      <w:r w:rsidR="007F2C55" w:rsidRPr="00046DA5">
        <w:t>pectrum</w:t>
      </w:r>
      <w:r w:rsidRPr="00046DA5">
        <w:t xml:space="preserve"> pricing</w:t>
      </w:r>
      <w:r w:rsidR="007F2C55" w:rsidRPr="00046DA5">
        <w:t>, along with licensing</w:t>
      </w:r>
      <w:r w:rsidRPr="00046DA5">
        <w:t xml:space="preserve">, </w:t>
      </w:r>
      <w:r w:rsidR="007F2C55" w:rsidRPr="00046DA5">
        <w:t>planning and technical regulation, provides a tool to manage spectrum efficiently and effectively for the benefit of all Australians.</w:t>
      </w:r>
    </w:p>
    <w:p w14:paraId="62E8B860" w14:textId="67BC15DA" w:rsidR="007F2C55" w:rsidRPr="00046DA5" w:rsidRDefault="007F2C55" w:rsidP="001E116E">
      <w:pPr>
        <w:pStyle w:val="Paragraph"/>
      </w:pPr>
      <w:r w:rsidRPr="00046DA5">
        <w:t xml:space="preserve">There is no single method </w:t>
      </w:r>
      <w:r w:rsidR="00C7778C" w:rsidRPr="00046DA5">
        <w:t xml:space="preserve">to </w:t>
      </w:r>
      <w:r w:rsidR="009C468C" w:rsidRPr="00046DA5">
        <w:t xml:space="preserve">determine </w:t>
      </w:r>
      <w:r w:rsidRPr="00046DA5">
        <w:t xml:space="preserve">the appropriate tool or combination of tools </w:t>
      </w:r>
      <w:r w:rsidR="00B57ABD" w:rsidRPr="00046DA5">
        <w:t xml:space="preserve">that </w:t>
      </w:r>
      <w:r w:rsidRPr="00046DA5">
        <w:t xml:space="preserve">provide the most benefits </w:t>
      </w:r>
      <w:r w:rsidR="006B13E8" w:rsidRPr="00046DA5">
        <w:t>when</w:t>
      </w:r>
      <w:r w:rsidRPr="00046DA5">
        <w:t xml:space="preserve"> managing spectrum</w:t>
      </w:r>
      <w:r w:rsidR="00C53844" w:rsidRPr="00046DA5">
        <w:t xml:space="preserve">. </w:t>
      </w:r>
      <w:r w:rsidRPr="00046DA5">
        <w:t>Like all spectrum allocation decisions</w:t>
      </w:r>
      <w:r w:rsidR="00EB6677" w:rsidRPr="00046DA5">
        <w:t>,</w:t>
      </w:r>
      <w:r w:rsidRPr="00046DA5">
        <w:t xml:space="preserve"> the ACMA </w:t>
      </w:r>
      <w:r w:rsidR="00EB6677" w:rsidRPr="00046DA5">
        <w:t>assesses the relevant pricing method that best meets the</w:t>
      </w:r>
      <w:r w:rsidRPr="00046DA5">
        <w:t xml:space="preserve"> objects of the Act and the principles of spectrum management to determine the best outcome.</w:t>
      </w:r>
    </w:p>
    <w:p w14:paraId="030B5E9D" w14:textId="3277196A" w:rsidR="00E47684" w:rsidRPr="00046DA5" w:rsidRDefault="00E47684" w:rsidP="001E116E">
      <w:pPr>
        <w:pStyle w:val="Heading3"/>
        <w:shd w:val="clear" w:color="auto" w:fill="F2F2F2" w:themeFill="background1" w:themeFillShade="F2"/>
      </w:pPr>
      <w:r w:rsidRPr="00046DA5">
        <w:t xml:space="preserve">Question </w:t>
      </w:r>
      <w:r w:rsidR="00190BB0" w:rsidRPr="00046DA5">
        <w:t>2</w:t>
      </w:r>
    </w:p>
    <w:p w14:paraId="647F4F20" w14:textId="70ABD681" w:rsidR="00E47684" w:rsidRPr="00046DA5" w:rsidRDefault="00E47684" w:rsidP="001E116E">
      <w:pPr>
        <w:pStyle w:val="Paragraph"/>
        <w:shd w:val="clear" w:color="auto" w:fill="F2F2F2" w:themeFill="background1" w:themeFillShade="F2"/>
      </w:pPr>
      <w:r w:rsidRPr="00046DA5">
        <w:t>Do stakeholders have any views on the legislative and policy environment that may be relevant to the pricing issues outlined in this paper?</w:t>
      </w:r>
    </w:p>
    <w:p w14:paraId="4AB6355B" w14:textId="77777777" w:rsidR="00241092" w:rsidRPr="00046DA5" w:rsidRDefault="00241092" w:rsidP="00241092">
      <w:pPr>
        <w:spacing w:after="0" w:line="240" w:lineRule="auto"/>
        <w:sectPr w:rsidR="00241092" w:rsidRPr="00046DA5" w:rsidSect="00D74D7E">
          <w:headerReference w:type="even" r:id="rId30"/>
          <w:headerReference w:type="default" r:id="rId31"/>
          <w:footerReference w:type="even" r:id="rId32"/>
          <w:footerReference w:type="default" r:id="rId33"/>
          <w:pgSz w:w="11906" w:h="16838" w:code="9"/>
          <w:pgMar w:top="1945" w:right="3101" w:bottom="1134" w:left="1134" w:header="709" w:footer="119" w:gutter="0"/>
          <w:pgNumType w:start="1"/>
          <w:cols w:space="708"/>
          <w:docGrid w:linePitch="360"/>
        </w:sectPr>
      </w:pPr>
      <w:r w:rsidRPr="00046DA5">
        <w:br w:type="page"/>
      </w:r>
    </w:p>
    <w:p w14:paraId="4B29B3A2" w14:textId="77777777" w:rsidR="00241092" w:rsidRPr="00046DA5" w:rsidRDefault="00241092">
      <w:pPr>
        <w:pStyle w:val="ACMAFigureHeader"/>
        <w:tabs>
          <w:tab w:val="clear" w:pos="1021"/>
          <w:tab w:val="num" w:pos="0"/>
        </w:tabs>
        <w:ind w:left="0" w:firstLine="0"/>
      </w:pPr>
      <w:r w:rsidRPr="00046DA5">
        <w:lastRenderedPageBreak/>
        <w:t>Spectrum management decision framework</w:t>
      </w:r>
      <w:r w:rsidRPr="00046DA5">
        <w:rPr>
          <w:noProof/>
        </w:rPr>
        <w:drawing>
          <wp:inline distT="0" distB="0" distL="0" distR="0" wp14:anchorId="7314B54F" wp14:editId="7C7C9FEA">
            <wp:extent cx="8651942" cy="4902200"/>
            <wp:effectExtent l="0" t="0" r="0" b="0"/>
            <wp:docPr id="3" name="Picture 3" descr="Spectrum management decision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
                      <a:extLst>
                        <a:ext uri="{28A0092B-C50C-407E-A947-70E740481C1C}">
                          <a14:useLocalDpi xmlns:a14="http://schemas.microsoft.com/office/drawing/2010/main" val="0"/>
                        </a:ext>
                      </a:extLst>
                    </a:blip>
                    <a:srcRect l="8746" t="6660" r="7675"/>
                    <a:stretch/>
                  </pic:blipFill>
                  <pic:spPr bwMode="auto">
                    <a:xfrm>
                      <a:off x="0" y="0"/>
                      <a:ext cx="8651942" cy="4902200"/>
                    </a:xfrm>
                    <a:prstGeom prst="rect">
                      <a:avLst/>
                    </a:prstGeom>
                    <a:noFill/>
                    <a:ln>
                      <a:noFill/>
                    </a:ln>
                    <a:extLst>
                      <a:ext uri="{53640926-AAD7-44D8-BBD7-CCE9431645EC}">
                        <a14:shadowObscured xmlns:a14="http://schemas.microsoft.com/office/drawing/2010/main"/>
                      </a:ext>
                    </a:extLst>
                  </pic:spPr>
                </pic:pic>
              </a:graphicData>
            </a:graphic>
          </wp:inline>
        </w:drawing>
      </w:r>
    </w:p>
    <w:p w14:paraId="1A13CEBC" w14:textId="77777777" w:rsidR="00995452" w:rsidRPr="00046DA5" w:rsidRDefault="00995452" w:rsidP="005755FD">
      <w:pPr>
        <w:pStyle w:val="Tableorfigurenote"/>
      </w:pPr>
      <w:r w:rsidRPr="00046DA5">
        <w:t>Source: ACMA</w:t>
      </w:r>
    </w:p>
    <w:p w14:paraId="4226CE01" w14:textId="77777777" w:rsidR="005E0E38" w:rsidRPr="00046DA5" w:rsidRDefault="005E0E38" w:rsidP="00241092"/>
    <w:p w14:paraId="53B8C970" w14:textId="58FECDB7" w:rsidR="005E0E38" w:rsidRPr="00046DA5" w:rsidRDefault="005E0E38" w:rsidP="00241092">
      <w:pPr>
        <w:sectPr w:rsidR="005E0E38" w:rsidRPr="00046DA5" w:rsidSect="00C962B7">
          <w:pgSz w:w="16838" w:h="11906" w:orient="landscape" w:code="9"/>
          <w:pgMar w:top="1418" w:right="993" w:bottom="1560" w:left="1135" w:header="709" w:footer="119" w:gutter="0"/>
          <w:cols w:space="708"/>
          <w:docGrid w:linePitch="360"/>
        </w:sectPr>
      </w:pPr>
    </w:p>
    <w:p w14:paraId="66D00E92" w14:textId="68FFDEB0" w:rsidR="009970E8" w:rsidRPr="00046DA5" w:rsidRDefault="00E23ED9" w:rsidP="001E116E">
      <w:pPr>
        <w:pStyle w:val="Heading1"/>
      </w:pPr>
      <w:bookmarkStart w:id="28" w:name="_Toc33758196"/>
      <w:r w:rsidRPr="00046DA5">
        <w:lastRenderedPageBreak/>
        <w:t>L</w:t>
      </w:r>
      <w:r w:rsidR="00911ABC" w:rsidRPr="00046DA5">
        <w:t>icence taxes</w:t>
      </w:r>
      <w:bookmarkEnd w:id="28"/>
    </w:p>
    <w:p w14:paraId="7772F050" w14:textId="6CD9B8F1" w:rsidR="00275DE6" w:rsidRPr="00046DA5" w:rsidRDefault="00396202" w:rsidP="001E116E">
      <w:pPr>
        <w:pStyle w:val="Heading2"/>
      </w:pPr>
      <w:bookmarkStart w:id="29" w:name="_Toc33758197"/>
      <w:r w:rsidRPr="00046DA5">
        <w:t>Apparatus licences</w:t>
      </w:r>
      <w:r w:rsidR="00CC48D6" w:rsidRPr="00046DA5">
        <w:t xml:space="preserve"> and tax</w:t>
      </w:r>
      <w:r w:rsidR="001408AE" w:rsidRPr="00046DA5">
        <w:t xml:space="preserve"> revenue</w:t>
      </w:r>
      <w:bookmarkEnd w:id="29"/>
    </w:p>
    <w:p w14:paraId="3B5E10E7" w14:textId="0BB47DE7" w:rsidR="00931774" w:rsidRPr="00046DA5" w:rsidRDefault="00931774" w:rsidP="001E116E">
      <w:pPr>
        <w:pStyle w:val="Paragraph"/>
      </w:pPr>
      <w:r w:rsidRPr="00046DA5">
        <w:t>At 30 June 2019</w:t>
      </w:r>
      <w:r w:rsidR="00C7778C" w:rsidRPr="00046DA5">
        <w:t>,</w:t>
      </w:r>
      <w:r w:rsidRPr="00046DA5">
        <w:t xml:space="preserve"> </w:t>
      </w:r>
      <w:r w:rsidR="00096925" w:rsidRPr="00046DA5">
        <w:t>there were</w:t>
      </w:r>
      <w:r w:rsidRPr="00046DA5">
        <w:t xml:space="preserve"> approximately 170,000 apparatus licences. In 2018</w:t>
      </w:r>
      <w:r w:rsidR="00C7778C" w:rsidRPr="00046DA5">
        <w:t>–</w:t>
      </w:r>
      <w:r w:rsidRPr="00046DA5">
        <w:t>19</w:t>
      </w:r>
      <w:r w:rsidR="00C7778C" w:rsidRPr="00046DA5">
        <w:t>,</w:t>
      </w:r>
      <w:r w:rsidRPr="00046DA5">
        <w:t xml:space="preserve"> the ACMA collected $231 million in apparatus licence tax revenue</w:t>
      </w:r>
      <w:r w:rsidR="00C53844" w:rsidRPr="00046DA5">
        <w:t xml:space="preserve">. </w:t>
      </w:r>
      <w:r w:rsidRPr="00046DA5">
        <w:t xml:space="preserve">Approximately </w:t>
      </w:r>
      <w:r w:rsidR="00C7778C" w:rsidRPr="00046DA5">
        <w:t>56 </w:t>
      </w:r>
      <w:r w:rsidRPr="00046DA5">
        <w:t>per cent of all revenue collected from taxes are based on the tax formula, which applies to most ‘assigned licences’ (those with unique frequencies or frequency ranges).</w:t>
      </w:r>
    </w:p>
    <w:p w14:paraId="25B3424B" w14:textId="3351DD62" w:rsidR="00931774" w:rsidRPr="00046DA5" w:rsidRDefault="00931774" w:rsidP="001E116E">
      <w:pPr>
        <w:spacing w:after="80"/>
      </w:pPr>
      <w:r w:rsidRPr="00046DA5">
        <w:t xml:space="preserve">The tax formula </w:t>
      </w:r>
      <w:r w:rsidR="00C7778C" w:rsidRPr="00046DA5">
        <w:t>uses</w:t>
      </w:r>
      <w:r w:rsidR="0070227C" w:rsidRPr="00046DA5">
        <w:t xml:space="preserve"> the following </w:t>
      </w:r>
      <w:r w:rsidR="002D2A55" w:rsidRPr="00046DA5">
        <w:t xml:space="preserve">factors </w:t>
      </w:r>
      <w:r w:rsidR="0070227C" w:rsidRPr="00046DA5">
        <w:t xml:space="preserve">to determine an amount of apparatus licence tax </w:t>
      </w:r>
      <w:r w:rsidR="00C7778C" w:rsidRPr="00046DA5">
        <w:t>for</w:t>
      </w:r>
      <w:r w:rsidR="0070227C" w:rsidRPr="00046DA5">
        <w:t xml:space="preserve"> a licence:</w:t>
      </w:r>
    </w:p>
    <w:p w14:paraId="6903016C" w14:textId="78846660" w:rsidR="00931774" w:rsidRPr="00046DA5" w:rsidRDefault="00931774" w:rsidP="001E116E">
      <w:pPr>
        <w:pStyle w:val="ListBullet"/>
      </w:pPr>
      <w:r w:rsidRPr="00046DA5">
        <w:t>the geographic location of the service via the use of density areas (</w:t>
      </w:r>
      <w:r w:rsidR="00987B36" w:rsidRPr="00046DA5">
        <w:t>Australia-wide</w:t>
      </w:r>
      <w:r w:rsidR="000F735E" w:rsidRPr="00046DA5">
        <w:t xml:space="preserve"> and</w:t>
      </w:r>
      <w:r w:rsidR="00987B36" w:rsidRPr="00046DA5">
        <w:t xml:space="preserve"> </w:t>
      </w:r>
      <w:r w:rsidR="00C7778C" w:rsidRPr="00046DA5">
        <w:t>h</w:t>
      </w:r>
      <w:r w:rsidRPr="00046DA5">
        <w:t xml:space="preserve">igh, </w:t>
      </w:r>
      <w:r w:rsidR="00C7778C" w:rsidRPr="00046DA5">
        <w:t>m</w:t>
      </w:r>
      <w:r w:rsidRPr="00046DA5">
        <w:t xml:space="preserve">edium, </w:t>
      </w:r>
      <w:r w:rsidR="00C7778C" w:rsidRPr="00046DA5">
        <w:t>l</w:t>
      </w:r>
      <w:r w:rsidRPr="00046DA5">
        <w:t xml:space="preserve">ow and </w:t>
      </w:r>
      <w:r w:rsidR="00C7778C" w:rsidRPr="00046DA5">
        <w:t>r</w:t>
      </w:r>
      <w:r w:rsidRPr="00046DA5">
        <w:t>emote</w:t>
      </w:r>
      <w:r w:rsidR="000F735E" w:rsidRPr="00046DA5">
        <w:t xml:space="preserve"> </w:t>
      </w:r>
      <w:r w:rsidR="00C7778C" w:rsidRPr="00046DA5">
        <w:t>d</w:t>
      </w:r>
      <w:r w:rsidR="000F735E" w:rsidRPr="00046DA5">
        <w:t xml:space="preserve">ensity </w:t>
      </w:r>
      <w:r w:rsidR="00C7778C" w:rsidRPr="00046DA5">
        <w:t>a</w:t>
      </w:r>
      <w:r w:rsidR="000F735E" w:rsidRPr="00046DA5">
        <w:t>reas</w:t>
      </w:r>
      <w:r w:rsidRPr="00046DA5">
        <w:t>)</w:t>
      </w:r>
    </w:p>
    <w:p w14:paraId="335A85B2" w14:textId="297C525E" w:rsidR="00931774" w:rsidRPr="00046DA5" w:rsidRDefault="00931774" w:rsidP="001E116E">
      <w:pPr>
        <w:pStyle w:val="ListBullet"/>
      </w:pPr>
      <w:r w:rsidRPr="00046DA5">
        <w:t>spectral locations of the service (</w:t>
      </w:r>
      <w:r w:rsidR="00C7778C" w:rsidRPr="00046DA5">
        <w:t>that is,</w:t>
      </w:r>
      <w:r w:rsidRPr="00046DA5">
        <w:t xml:space="preserve"> the frequency ranges</w:t>
      </w:r>
      <w:r w:rsidR="00C7778C" w:rsidRPr="00046DA5">
        <w:t xml:space="preserve">, for example, </w:t>
      </w:r>
      <w:r w:rsidRPr="00046DA5">
        <w:t>403</w:t>
      </w:r>
      <w:r w:rsidR="00C7778C" w:rsidRPr="00046DA5">
        <w:t>–</w:t>
      </w:r>
      <w:r w:rsidRPr="00046DA5">
        <w:t xml:space="preserve">520 MHz, etc) </w:t>
      </w:r>
    </w:p>
    <w:p w14:paraId="32C7C200" w14:textId="2170A6CF" w:rsidR="00931774" w:rsidRPr="00046DA5" w:rsidRDefault="00931774" w:rsidP="001E116E">
      <w:pPr>
        <w:pStyle w:val="ListBullet"/>
      </w:pPr>
      <w:r w:rsidRPr="00046DA5">
        <w:t xml:space="preserve">the amount of bandwidth </w:t>
      </w:r>
      <w:r w:rsidR="000F735E" w:rsidRPr="00046DA5">
        <w:t>(</w:t>
      </w:r>
      <w:r w:rsidR="00C7778C" w:rsidRPr="00046DA5">
        <w:t>that is,</w:t>
      </w:r>
      <w:r w:rsidR="000F735E" w:rsidRPr="00046DA5">
        <w:t xml:space="preserve"> the amount of spectrum authorised by the apparatus licence)</w:t>
      </w:r>
    </w:p>
    <w:p w14:paraId="346A46A7" w14:textId="3EFF7982" w:rsidR="00931774" w:rsidRPr="00046DA5" w:rsidRDefault="00931774" w:rsidP="001E116E">
      <w:pPr>
        <w:pStyle w:val="ListBullet"/>
      </w:pPr>
      <w:r w:rsidRPr="00046DA5">
        <w:t>the power of the transmitter (</w:t>
      </w:r>
      <w:r w:rsidR="00C7778C" w:rsidRPr="00046DA5">
        <w:t>for example,</w:t>
      </w:r>
      <w:r w:rsidRPr="00046DA5">
        <w:t xml:space="preserve"> applying a discount of 10</w:t>
      </w:r>
      <w:r w:rsidR="00C7778C" w:rsidRPr="00046DA5">
        <w:t xml:space="preserve"> per cent</w:t>
      </w:r>
      <w:r w:rsidRPr="00046DA5">
        <w:t xml:space="preserve"> for ‘low power’ services)</w:t>
      </w:r>
    </w:p>
    <w:p w14:paraId="6C254789" w14:textId="1D7C72A9" w:rsidR="00931774" w:rsidRPr="00046DA5" w:rsidRDefault="00931774" w:rsidP="001E116E">
      <w:pPr>
        <w:pStyle w:val="ListBulletLast"/>
      </w:pPr>
      <w:r w:rsidRPr="00046DA5">
        <w:t>other factors relating to the licence type (</w:t>
      </w:r>
      <w:r w:rsidR="00C7778C" w:rsidRPr="00046DA5">
        <w:t xml:space="preserve">that is, </w:t>
      </w:r>
      <w:r w:rsidRPr="00046DA5">
        <w:t>the adjustment factors to account for the different characteristics of</w:t>
      </w:r>
      <w:r w:rsidR="00987B36" w:rsidRPr="00046DA5">
        <w:t xml:space="preserve"> the service being provided.</w:t>
      </w:r>
      <w:r w:rsidR="000F735E" w:rsidRPr="00046DA5">
        <w:t>)</w:t>
      </w:r>
    </w:p>
    <w:p w14:paraId="6D364EEC" w14:textId="768BBC5D" w:rsidR="00931774" w:rsidRPr="00046DA5" w:rsidRDefault="00931774" w:rsidP="001E116E">
      <w:pPr>
        <w:pStyle w:val="Paragraph"/>
      </w:pPr>
      <w:r w:rsidRPr="00046DA5">
        <w:t>These key variables are still relevant to determining the value and providing incentives for the efficient use of spectrum.</w:t>
      </w:r>
    </w:p>
    <w:p w14:paraId="3E117D23" w14:textId="31EFEA9E" w:rsidR="00667F4E" w:rsidRPr="00046DA5" w:rsidRDefault="007B39F1" w:rsidP="001E116E">
      <w:pPr>
        <w:pStyle w:val="Paragraph"/>
        <w:spacing w:after="80"/>
      </w:pPr>
      <w:r w:rsidRPr="00046DA5">
        <w:t xml:space="preserve">Appendix </w:t>
      </w:r>
      <w:r w:rsidR="00DA0AB9" w:rsidRPr="00046DA5">
        <w:t>A</w:t>
      </w:r>
      <w:r w:rsidR="004C14B8" w:rsidRPr="00046DA5">
        <w:t xml:space="preserve"> provides a detailed description of the tax formula</w:t>
      </w:r>
      <w:r w:rsidR="00D646E7" w:rsidRPr="00046DA5">
        <w:t xml:space="preserve"> and how taxes </w:t>
      </w:r>
      <w:r w:rsidR="00906EB6" w:rsidRPr="00046DA5">
        <w:t xml:space="preserve">associated with the tax formula </w:t>
      </w:r>
      <w:r w:rsidR="00D646E7" w:rsidRPr="00046DA5">
        <w:t>are calculated</w:t>
      </w:r>
      <w:r w:rsidR="00C53844" w:rsidRPr="00046DA5">
        <w:t xml:space="preserve">. </w:t>
      </w:r>
      <w:r w:rsidR="001C2250" w:rsidRPr="00046DA5">
        <w:t>In addition, the Appara</w:t>
      </w:r>
      <w:r w:rsidR="00A439C3" w:rsidRPr="00046DA5">
        <w:t xml:space="preserve">tus Licence Fee Schedule outlines all apparatus </w:t>
      </w:r>
      <w:r w:rsidR="003452F9" w:rsidRPr="00046DA5">
        <w:t xml:space="preserve">licence </w:t>
      </w:r>
      <w:r w:rsidR="00A439C3" w:rsidRPr="00046DA5">
        <w:t>taxes</w:t>
      </w:r>
      <w:r w:rsidR="008807E7" w:rsidRPr="00046DA5">
        <w:t xml:space="preserve"> and administrative charges</w:t>
      </w:r>
      <w:r w:rsidR="00C53844" w:rsidRPr="00046DA5">
        <w:t xml:space="preserve">. </w:t>
      </w:r>
      <w:r w:rsidR="0058755F" w:rsidRPr="00046DA5">
        <w:t>For</w:t>
      </w:r>
      <w:r w:rsidR="002D700D" w:rsidRPr="00046DA5">
        <w:t xml:space="preserve"> taxes not determined by the tax formula, various pricing constructs are used, including:</w:t>
      </w:r>
    </w:p>
    <w:p w14:paraId="1FFD7ACD" w14:textId="5C086D37" w:rsidR="00D9444F" w:rsidRPr="00046DA5" w:rsidRDefault="0058755F">
      <w:pPr>
        <w:pStyle w:val="ListBullet"/>
      </w:pPr>
      <w:r w:rsidRPr="00046DA5">
        <w:t>f</w:t>
      </w:r>
      <w:r w:rsidR="00D9444F" w:rsidRPr="00046DA5">
        <w:t xml:space="preserve">ixed </w:t>
      </w:r>
      <w:r w:rsidR="00931774" w:rsidRPr="00046DA5">
        <w:t>amounts</w:t>
      </w:r>
    </w:p>
    <w:p w14:paraId="5B73BB43" w14:textId="7B32DCFF" w:rsidR="00D33353" w:rsidRPr="00046DA5" w:rsidRDefault="00D33353">
      <w:pPr>
        <w:pStyle w:val="ListBullet"/>
      </w:pPr>
      <w:r w:rsidRPr="00046DA5">
        <w:t>$ per k</w:t>
      </w:r>
      <w:r w:rsidR="005B408B" w:rsidRPr="00046DA5">
        <w:t>H</w:t>
      </w:r>
      <w:r w:rsidRPr="00046DA5">
        <w:t>z or M</w:t>
      </w:r>
      <w:r w:rsidR="005B408B" w:rsidRPr="00046DA5">
        <w:t>H</w:t>
      </w:r>
      <w:r w:rsidRPr="00046DA5">
        <w:t>z</w:t>
      </w:r>
    </w:p>
    <w:p w14:paraId="016D1FA4" w14:textId="777C88BB" w:rsidR="00382D36" w:rsidRPr="00046DA5" w:rsidRDefault="00382D36" w:rsidP="001E116E">
      <w:pPr>
        <w:pStyle w:val="ListBulletLast"/>
      </w:pPr>
      <w:r w:rsidRPr="00046DA5">
        <w:t>$ per M</w:t>
      </w:r>
      <w:r w:rsidR="005B408B" w:rsidRPr="00046DA5">
        <w:t>H</w:t>
      </w:r>
      <w:r w:rsidRPr="00046DA5">
        <w:t>z per pop</w:t>
      </w:r>
      <w:r w:rsidR="006E46A4" w:rsidRPr="00046DA5">
        <w:t>ulation</w:t>
      </w:r>
      <w:r w:rsidR="001E1423" w:rsidRPr="00046DA5">
        <w:t>.</w:t>
      </w:r>
    </w:p>
    <w:p w14:paraId="0CDDD6E4" w14:textId="47B9D1D6" w:rsidR="0065632C" w:rsidRPr="00046DA5" w:rsidRDefault="0065632C" w:rsidP="0065632C">
      <w:pPr>
        <w:pStyle w:val="Heading2"/>
      </w:pPr>
      <w:bookmarkStart w:id="30" w:name="_Toc33758198"/>
      <w:r w:rsidRPr="00046DA5">
        <w:t>Spectrum licences and tax</w:t>
      </w:r>
      <w:r w:rsidR="001408AE" w:rsidRPr="00046DA5">
        <w:t xml:space="preserve"> revenue</w:t>
      </w:r>
      <w:bookmarkEnd w:id="30"/>
    </w:p>
    <w:p w14:paraId="676F9897" w14:textId="206FE506" w:rsidR="00C21C2F" w:rsidRPr="00046DA5" w:rsidRDefault="0065632C" w:rsidP="001E116E">
      <w:pPr>
        <w:pStyle w:val="Paragraph"/>
      </w:pPr>
      <w:r w:rsidRPr="00046DA5">
        <w:t>At 30 June 2019</w:t>
      </w:r>
      <w:r w:rsidR="0058755F" w:rsidRPr="00046DA5">
        <w:t>,</w:t>
      </w:r>
      <w:r w:rsidRPr="00046DA5">
        <w:t xml:space="preserve"> </w:t>
      </w:r>
      <w:r w:rsidR="00D4331C" w:rsidRPr="00046DA5">
        <w:t>there</w:t>
      </w:r>
      <w:r w:rsidR="00860733" w:rsidRPr="00046DA5">
        <w:t xml:space="preserve"> were</w:t>
      </w:r>
      <w:r w:rsidRPr="00046DA5">
        <w:t xml:space="preserve"> 63 spectrum licences. In 2018</w:t>
      </w:r>
      <w:r w:rsidR="0058755F" w:rsidRPr="00046DA5">
        <w:t>–</w:t>
      </w:r>
      <w:r w:rsidRPr="00046DA5">
        <w:t>19</w:t>
      </w:r>
      <w:r w:rsidR="0058755F" w:rsidRPr="00046DA5">
        <w:t>,</w:t>
      </w:r>
      <w:r w:rsidRPr="00046DA5">
        <w:t xml:space="preserve"> the ACMA collected $419,000 in spectrum licence tax revenue</w:t>
      </w:r>
      <w:r w:rsidR="00C53844" w:rsidRPr="00046DA5">
        <w:t xml:space="preserve">. </w:t>
      </w:r>
    </w:p>
    <w:p w14:paraId="372D3D5E" w14:textId="7E8E9D0A" w:rsidR="00065314" w:rsidRPr="00046DA5" w:rsidRDefault="002F43BF" w:rsidP="00065314">
      <w:pPr>
        <w:pStyle w:val="Heading1"/>
      </w:pPr>
      <w:bookmarkStart w:id="31" w:name="_Toc33758199"/>
      <w:r w:rsidRPr="00046DA5">
        <w:lastRenderedPageBreak/>
        <w:t xml:space="preserve">Draft </w:t>
      </w:r>
      <w:r w:rsidR="0070227C" w:rsidRPr="00046DA5">
        <w:t xml:space="preserve">spectrum </w:t>
      </w:r>
      <w:r w:rsidRPr="00046DA5">
        <w:t>pricing g</w:t>
      </w:r>
      <w:r w:rsidR="00636EF5" w:rsidRPr="00046DA5">
        <w:t>uidelines</w:t>
      </w:r>
      <w:bookmarkEnd w:id="31"/>
    </w:p>
    <w:p w14:paraId="42A05290" w14:textId="77777777" w:rsidR="003E09CB" w:rsidRPr="00046DA5" w:rsidRDefault="003E09CB" w:rsidP="004A5F55">
      <w:pPr>
        <w:pStyle w:val="Paragraph"/>
        <w:spacing w:after="120"/>
      </w:pPr>
      <w:r w:rsidRPr="00046DA5">
        <w:t>Recommendation 1 of the Spectrum Pricing Review states that:</w:t>
      </w:r>
    </w:p>
    <w:p w14:paraId="1B8C27D2" w14:textId="1FE80BEA" w:rsidR="003E09CB" w:rsidRPr="00046DA5" w:rsidRDefault="003E09CB" w:rsidP="004A5F55">
      <w:pPr>
        <w:ind w:left="284" w:right="867"/>
        <w:rPr>
          <w:sz w:val="18"/>
          <w:szCs w:val="18"/>
        </w:rPr>
      </w:pPr>
      <w:r w:rsidRPr="00046DA5">
        <w:rPr>
          <w:sz w:val="18"/>
          <w:szCs w:val="18"/>
        </w:rPr>
        <w:t>The ACMA should publish guidelines on how it approaches its spectrum</w:t>
      </w:r>
      <w:r w:rsidR="0058755F" w:rsidRPr="00046DA5">
        <w:rPr>
          <w:sz w:val="18"/>
          <w:szCs w:val="18"/>
        </w:rPr>
        <w:t xml:space="preserve"> </w:t>
      </w:r>
      <w:r w:rsidRPr="00046DA5">
        <w:rPr>
          <w:sz w:val="18"/>
          <w:szCs w:val="18"/>
        </w:rPr>
        <w:t>pricing decisions.</w:t>
      </w:r>
    </w:p>
    <w:p w14:paraId="21650F80" w14:textId="17CB8FD4" w:rsidR="00C17CFB" w:rsidRPr="00046DA5" w:rsidRDefault="00C17CFB" w:rsidP="00822A31">
      <w:pPr>
        <w:pStyle w:val="Heading2"/>
      </w:pPr>
      <w:bookmarkStart w:id="32" w:name="_Toc33758200"/>
      <w:r w:rsidRPr="00046DA5">
        <w:t>Spectrum</w:t>
      </w:r>
      <w:r w:rsidR="0058755F" w:rsidRPr="00046DA5">
        <w:t xml:space="preserve"> p</w:t>
      </w:r>
      <w:r w:rsidRPr="00046DA5">
        <w:t xml:space="preserve">ricing </w:t>
      </w:r>
      <w:r w:rsidR="0058755F" w:rsidRPr="00046DA5">
        <w:t>d</w:t>
      </w:r>
      <w:r w:rsidRPr="00046DA5">
        <w:t>ecisions</w:t>
      </w:r>
      <w:bookmarkEnd w:id="32"/>
    </w:p>
    <w:p w14:paraId="203263D6" w14:textId="60A6317E" w:rsidR="00C17CFB" w:rsidRPr="00046DA5" w:rsidRDefault="00C17CFB" w:rsidP="001E116E">
      <w:pPr>
        <w:pStyle w:val="Paragraph"/>
      </w:pPr>
      <w:r w:rsidRPr="00046DA5">
        <w:t>The ACMA intends to apply the pricing guidelines to its spectrum pricing decisions where it administrative</w:t>
      </w:r>
      <w:r w:rsidR="0070227C" w:rsidRPr="00046DA5">
        <w:t>ly</w:t>
      </w:r>
      <w:r w:rsidRPr="00046DA5">
        <w:t xml:space="preserve"> determines or sets the price for the various radiocommunications licences </w:t>
      </w:r>
      <w:r w:rsidR="00F1643B" w:rsidRPr="00046DA5">
        <w:t>administered under the Act</w:t>
      </w:r>
      <w:r w:rsidRPr="00046DA5">
        <w:t>.</w:t>
      </w:r>
    </w:p>
    <w:p w14:paraId="3223B082" w14:textId="23286168" w:rsidR="00C17CFB" w:rsidRPr="00046DA5" w:rsidRDefault="00C17CFB" w:rsidP="001E116E">
      <w:pPr>
        <w:pStyle w:val="Paragraph"/>
        <w:spacing w:after="80"/>
      </w:pPr>
      <w:r w:rsidRPr="00046DA5">
        <w:t xml:space="preserve">The </w:t>
      </w:r>
      <w:r w:rsidR="00F1643B" w:rsidRPr="00046DA5">
        <w:t>Act</w:t>
      </w:r>
      <w:r w:rsidRPr="00046DA5">
        <w:t xml:space="preserve"> provides three types of licences for authorising the operation of radiocommunications transmitters and receivers:</w:t>
      </w:r>
    </w:p>
    <w:p w14:paraId="596B3B77" w14:textId="3FE7F3AB" w:rsidR="00A23E3F" w:rsidRPr="00046DA5" w:rsidRDefault="00A23E3F">
      <w:pPr>
        <w:pStyle w:val="ListBullet"/>
      </w:pPr>
      <w:r w:rsidRPr="00046DA5">
        <w:rPr>
          <w:b/>
          <w:bCs/>
        </w:rPr>
        <w:t>Class licences</w:t>
      </w:r>
      <w:r w:rsidRPr="00046DA5">
        <w:t>: A class licence authorises the operation of common radio equipment on shared frequencies. There is no need to apply for individual licence</w:t>
      </w:r>
      <w:r w:rsidR="0058755F" w:rsidRPr="00046DA5">
        <w:t>s</w:t>
      </w:r>
      <w:r w:rsidRPr="00046DA5">
        <w:t xml:space="preserve"> or pay any fees. As such</w:t>
      </w:r>
      <w:r w:rsidR="0058755F" w:rsidRPr="00046DA5">
        <w:t>,</w:t>
      </w:r>
      <w:r w:rsidRPr="00046DA5">
        <w:t xml:space="preserve"> the draft pricing guidelines do not apply to the making of a class licence.</w:t>
      </w:r>
    </w:p>
    <w:p w14:paraId="01D5292A" w14:textId="31EBC3CF" w:rsidR="00A23E3F" w:rsidRPr="00046DA5" w:rsidRDefault="00A23E3F">
      <w:pPr>
        <w:pStyle w:val="ListBullet"/>
      </w:pPr>
      <w:r w:rsidRPr="00046DA5">
        <w:rPr>
          <w:b/>
          <w:bCs/>
        </w:rPr>
        <w:t>Apparatus licences</w:t>
      </w:r>
      <w:r w:rsidRPr="00046DA5">
        <w:t xml:space="preserve">: An apparatus licence provides authorisation to operate individual transmitters and receivers. </w:t>
      </w:r>
      <w:r w:rsidR="0058755F" w:rsidRPr="00046DA5">
        <w:t>T</w:t>
      </w:r>
      <w:r w:rsidRPr="00046DA5">
        <w:t xml:space="preserve">he applicant will need to pay for service charges and apparatus licence taxes. Both the charges and the taxes are administratively determined by the ACMA. </w:t>
      </w:r>
    </w:p>
    <w:p w14:paraId="6998D712" w14:textId="780E3087" w:rsidR="00A23E3F" w:rsidRPr="00046DA5" w:rsidRDefault="00A23E3F" w:rsidP="001E116E">
      <w:pPr>
        <w:pStyle w:val="ListBulletLast"/>
      </w:pPr>
      <w:r w:rsidRPr="00046DA5">
        <w:rPr>
          <w:b/>
          <w:bCs/>
        </w:rPr>
        <w:t>Spectrum licences</w:t>
      </w:r>
      <w:r w:rsidRPr="00046DA5">
        <w:t>: A spectrum licence authorises the use of frequency ranges within a defined geographic location. Most spectrum licences are allocated via competitive allocation processes (</w:t>
      </w:r>
      <w:r w:rsidR="0058755F" w:rsidRPr="00046DA5">
        <w:t>for example,</w:t>
      </w:r>
      <w:r w:rsidRPr="00046DA5">
        <w:t xml:space="preserve"> an auction) with prices determined by the market and not the ACMA. These prices referred to as spectrum access charges under section 294 of the Act. The draft pricing guidelines do not apply to prices set by the market. However, where the ACMA administratively allocates spectrum licence at a pre-determined price or converts an apparatus licence into a spectrum licence</w:t>
      </w:r>
      <w:r w:rsidR="0058755F" w:rsidRPr="00046DA5">
        <w:t>,</w:t>
      </w:r>
      <w:r w:rsidRPr="00046DA5">
        <w:t xml:space="preserve"> the pricing guidelines will apply. All spectrum licences may incur fee</w:t>
      </w:r>
      <w:r w:rsidR="0058755F" w:rsidRPr="00046DA5">
        <w:t>-</w:t>
      </w:r>
      <w:r w:rsidRPr="00046DA5">
        <w:t>for</w:t>
      </w:r>
      <w:r w:rsidR="0058755F" w:rsidRPr="00046DA5">
        <w:t>-</w:t>
      </w:r>
      <w:r w:rsidRPr="00046DA5">
        <w:t xml:space="preserve">service charges and spectrum licences taxes </w:t>
      </w:r>
      <w:r w:rsidR="0058755F" w:rsidRPr="00046DA5">
        <w:t xml:space="preserve">that </w:t>
      </w:r>
      <w:r w:rsidRPr="00046DA5">
        <w:t>are set by the ACMA and the draft pricing guidelines will apply.</w:t>
      </w:r>
    </w:p>
    <w:p w14:paraId="4A524394" w14:textId="6A109616" w:rsidR="007C6AE3" w:rsidRPr="00046DA5" w:rsidRDefault="007C6AE3" w:rsidP="00046DA5">
      <w:pPr>
        <w:pStyle w:val="Heading2"/>
        <w:keepLines/>
      </w:pPr>
      <w:bookmarkStart w:id="33" w:name="_Toc33758201"/>
      <w:r w:rsidRPr="00046DA5">
        <w:lastRenderedPageBreak/>
        <w:t>Guiding principles</w:t>
      </w:r>
      <w:bookmarkEnd w:id="33"/>
    </w:p>
    <w:p w14:paraId="38B2AFF1" w14:textId="6906A1B3" w:rsidR="00C4704E" w:rsidRPr="00046DA5" w:rsidRDefault="00AC1F3C" w:rsidP="00046DA5">
      <w:pPr>
        <w:pStyle w:val="Paragraph"/>
        <w:keepNext/>
        <w:keepLines/>
      </w:pPr>
      <w:r w:rsidRPr="00046DA5">
        <w:t>T</w:t>
      </w:r>
      <w:r w:rsidR="00C4704E" w:rsidRPr="00046DA5">
        <w:t>he ACMA has drawn upon the object</w:t>
      </w:r>
      <w:r w:rsidR="00EB6677" w:rsidRPr="00046DA5">
        <w:t>s</w:t>
      </w:r>
      <w:r w:rsidR="00C4704E" w:rsidRPr="00046DA5">
        <w:t xml:space="preserve"> of the Act, the Spectrum Management Principles and the </w:t>
      </w:r>
      <w:r w:rsidR="00E54191" w:rsidRPr="00046DA5">
        <w:t>Government</w:t>
      </w:r>
      <w:r w:rsidR="00C4704E" w:rsidRPr="00046DA5">
        <w:t>’s Spectrum Pricing Review</w:t>
      </w:r>
      <w:r w:rsidRPr="00046DA5">
        <w:t xml:space="preserve"> to form the </w:t>
      </w:r>
      <w:r w:rsidR="00C4704E" w:rsidRPr="00046DA5">
        <w:t xml:space="preserve">following draft guiding principles </w:t>
      </w:r>
      <w:r w:rsidRPr="00046DA5">
        <w:t>that</w:t>
      </w:r>
      <w:r w:rsidR="00C4704E" w:rsidRPr="00046DA5">
        <w:t xml:space="preserve"> will apply when considering various administrative pricing options.</w:t>
      </w:r>
    </w:p>
    <w:p w14:paraId="3A14793B" w14:textId="5A38ECE4" w:rsidR="00C4704E" w:rsidRPr="00046DA5" w:rsidRDefault="00C4704E" w:rsidP="00046DA5">
      <w:pPr>
        <w:pStyle w:val="Heading3"/>
        <w:keepLines/>
      </w:pPr>
      <w:r w:rsidRPr="00046DA5">
        <w:t>Efficient allocation and use of the radiofrequency spectrum (efficiency)</w:t>
      </w:r>
    </w:p>
    <w:p w14:paraId="3E7BAD9E" w14:textId="09D0F674" w:rsidR="00C4704E" w:rsidRPr="00046DA5" w:rsidRDefault="00C4704E" w:rsidP="00046DA5">
      <w:pPr>
        <w:keepNext/>
        <w:keepLines/>
      </w:pPr>
      <w:r w:rsidRPr="00046DA5">
        <w:t xml:space="preserve">The primary economic objective for </w:t>
      </w:r>
      <w:r w:rsidR="00AC1F3C" w:rsidRPr="00046DA5">
        <w:t xml:space="preserve">managing </w:t>
      </w:r>
      <w:r w:rsidR="00931774" w:rsidRPr="00046DA5">
        <w:t xml:space="preserve">public </w:t>
      </w:r>
      <w:r w:rsidRPr="00046DA5">
        <w:t>resource</w:t>
      </w:r>
      <w:r w:rsidR="00AC1F3C" w:rsidRPr="00046DA5">
        <w:t>s</w:t>
      </w:r>
      <w:r w:rsidRPr="00046DA5">
        <w:t xml:space="preserve"> is to maximise the benefit that resource provides to society. This occurs when spectrum is allocated and used efficiently. This is achieved where spectrum is allocated to the highest value use or uses</w:t>
      </w:r>
      <w:r w:rsidR="002D7EE0" w:rsidRPr="00046DA5">
        <w:t xml:space="preserve">; </w:t>
      </w:r>
      <w:r w:rsidR="00AC1F3C" w:rsidRPr="00046DA5">
        <w:t>that is,</w:t>
      </w:r>
      <w:r w:rsidRPr="00046DA5">
        <w:t xml:space="preserve"> the use or uses that maximise the value derived from the spectrum by licensees, consumers and the wider community. This </w:t>
      </w:r>
      <w:r w:rsidR="0070227C" w:rsidRPr="00046DA5">
        <w:t xml:space="preserve">is </w:t>
      </w:r>
      <w:r w:rsidRPr="00046DA5">
        <w:t>most likely to occur when prices are set in a way that reflect the opportunity cost associated with spectrum denial.</w:t>
      </w:r>
    </w:p>
    <w:p w14:paraId="29C0506E" w14:textId="77777777" w:rsidR="00C4704E" w:rsidRPr="00046DA5" w:rsidRDefault="00C4704E" w:rsidP="001E116E">
      <w:pPr>
        <w:pStyle w:val="Heading3"/>
      </w:pPr>
      <w:r w:rsidRPr="00046DA5">
        <w:t>Consistency and simplicity</w:t>
      </w:r>
    </w:p>
    <w:p w14:paraId="51DA511E" w14:textId="0B3D7B39" w:rsidR="00C4704E" w:rsidRPr="00046DA5" w:rsidRDefault="00C4704E" w:rsidP="00C4704E">
      <w:r w:rsidRPr="00046DA5">
        <w:t xml:space="preserve">A simplified framework should enable licensees to understand and navigate their regulatory requirements, thereby minimising regulatory burden. It should use the least restrictive approach to reduce regulatory burdens, allowing licensees to focus on optimising their use of spectrum. </w:t>
      </w:r>
    </w:p>
    <w:p w14:paraId="3F66DED7" w14:textId="5103C5E4" w:rsidR="00C4704E" w:rsidRPr="00046DA5" w:rsidRDefault="00C4704E" w:rsidP="001E116E">
      <w:pPr>
        <w:pStyle w:val="Heading3"/>
      </w:pPr>
      <w:r w:rsidRPr="00046DA5">
        <w:t xml:space="preserve">Flexibility and </w:t>
      </w:r>
      <w:r w:rsidR="006371F8" w:rsidRPr="00046DA5">
        <w:t xml:space="preserve">adaptability </w:t>
      </w:r>
      <w:r w:rsidRPr="00046DA5">
        <w:t>to technology</w:t>
      </w:r>
      <w:r w:rsidR="00A47C6A" w:rsidRPr="00046DA5">
        <w:t xml:space="preserve"> change</w:t>
      </w:r>
    </w:p>
    <w:p w14:paraId="687FAA01" w14:textId="74714A64" w:rsidR="00C4704E" w:rsidRPr="00046DA5" w:rsidRDefault="00C4704E" w:rsidP="00C4704E">
      <w:r w:rsidRPr="00046DA5">
        <w:t xml:space="preserve">The highest value use of spectrum will change over time as technology develops, consumer and social preferences evolve, and as the circumstances of licensees change. </w:t>
      </w:r>
      <w:r w:rsidR="00A355AA" w:rsidRPr="00046DA5">
        <w:t xml:space="preserve">These changes will also result in a change in the value of spectrum. </w:t>
      </w:r>
      <w:r w:rsidR="00680639" w:rsidRPr="00046DA5">
        <w:t xml:space="preserve">The </w:t>
      </w:r>
      <w:r w:rsidRPr="00046DA5">
        <w:t xml:space="preserve">spectrum pricing regime </w:t>
      </w:r>
      <w:r w:rsidR="00680639" w:rsidRPr="00046DA5">
        <w:t>should be</w:t>
      </w:r>
      <w:r w:rsidRPr="00046DA5">
        <w:t xml:space="preserve"> flexible </w:t>
      </w:r>
      <w:r w:rsidR="00A355AA" w:rsidRPr="00046DA5">
        <w:t>enough to reflect these change</w:t>
      </w:r>
      <w:r w:rsidR="004D12F2" w:rsidRPr="00046DA5">
        <w:t>s</w:t>
      </w:r>
      <w:r w:rsidR="00A355AA" w:rsidRPr="00046DA5">
        <w:t xml:space="preserve"> </w:t>
      </w:r>
      <w:r w:rsidR="00391E12" w:rsidRPr="00046DA5">
        <w:t>to</w:t>
      </w:r>
      <w:r w:rsidRPr="00046DA5">
        <w:t xml:space="preserve"> enable licensees to adapt spectrum usage to both market requirements and technological advances.</w:t>
      </w:r>
    </w:p>
    <w:p w14:paraId="054EB439" w14:textId="77777777" w:rsidR="00C4704E" w:rsidRPr="00046DA5" w:rsidRDefault="00C4704E" w:rsidP="001E116E">
      <w:pPr>
        <w:pStyle w:val="Heading3"/>
      </w:pPr>
      <w:r w:rsidRPr="00046DA5">
        <w:t>Transparency in process</w:t>
      </w:r>
    </w:p>
    <w:p w14:paraId="37649D9D" w14:textId="443EA4F3" w:rsidR="00C4704E" w:rsidRPr="00046DA5" w:rsidRDefault="00C4704E" w:rsidP="001E116E">
      <w:pPr>
        <w:pStyle w:val="Paragraph"/>
      </w:pPr>
      <w:r w:rsidRPr="00046DA5">
        <w:t xml:space="preserve">A principle of good governance is transparency. Stakeholders should be able to understand the basis for the pricing arrangements associated with their use of spectrum. This in turn ensures that the ACMA is accountable for the decisions being made </w:t>
      </w:r>
      <w:r w:rsidR="002D7EE0" w:rsidRPr="00046DA5">
        <w:t>about</w:t>
      </w:r>
      <w:r w:rsidRPr="00046DA5">
        <w:t xml:space="preserve"> spectrum pricing. </w:t>
      </w:r>
    </w:p>
    <w:p w14:paraId="29FF5EA3" w14:textId="7308C88E" w:rsidR="00C4704E" w:rsidRPr="00046DA5" w:rsidRDefault="00A47C6A" w:rsidP="001E116E">
      <w:pPr>
        <w:pStyle w:val="Heading3"/>
      </w:pPr>
      <w:r w:rsidRPr="00046DA5">
        <w:t>Recovery of the c</w:t>
      </w:r>
      <w:r w:rsidR="00C4704E" w:rsidRPr="00046DA5">
        <w:t>ost</w:t>
      </w:r>
      <w:r w:rsidRPr="00046DA5">
        <w:t>s of spectrum management</w:t>
      </w:r>
    </w:p>
    <w:p w14:paraId="44DE5B72" w14:textId="324AD99E" w:rsidR="00C4704E" w:rsidRPr="00046DA5" w:rsidRDefault="00931774" w:rsidP="001E116E">
      <w:pPr>
        <w:pStyle w:val="Paragraph"/>
      </w:pPr>
      <w:r w:rsidRPr="00046DA5">
        <w:t xml:space="preserve">The ACMA incurs costs for spectrum regulatory activities such as planning, interference management and coordination, and these costs should be recovered from </w:t>
      </w:r>
      <w:r w:rsidR="00890593" w:rsidRPr="00046DA5">
        <w:t>those using spectrum</w:t>
      </w:r>
      <w:r w:rsidRPr="00046DA5">
        <w:t xml:space="preserve">. </w:t>
      </w:r>
      <w:r w:rsidR="00890593" w:rsidRPr="00046DA5">
        <w:t>The Radiocommunications (Charges) Determination 2017 sets out the fee for services that can be directly attributed to a licensee</w:t>
      </w:r>
      <w:r w:rsidR="002D7EE0" w:rsidRPr="00046DA5">
        <w:t>,</w:t>
      </w:r>
      <w:r w:rsidR="00890593" w:rsidRPr="00046DA5">
        <w:t xml:space="preserve"> such as the consideration and issue of an apparatus licence. </w:t>
      </w:r>
      <w:r w:rsidR="00D9168E" w:rsidRPr="00046DA5">
        <w:t xml:space="preserve">Indirect costs are those </w:t>
      </w:r>
      <w:r w:rsidR="00D16452" w:rsidRPr="00046DA5">
        <w:t xml:space="preserve">that </w:t>
      </w:r>
      <w:r w:rsidR="00D9168E" w:rsidRPr="00046DA5">
        <w:t xml:space="preserve">cannot be attributed to a </w:t>
      </w:r>
      <w:r w:rsidR="00391E12" w:rsidRPr="00046DA5">
        <w:t>licensee</w:t>
      </w:r>
      <w:r w:rsidR="00D9168E" w:rsidRPr="00046DA5">
        <w:t xml:space="preserve">. </w:t>
      </w:r>
      <w:r w:rsidR="004A4C39" w:rsidRPr="00046DA5">
        <w:t>A notional component of</w:t>
      </w:r>
      <w:r w:rsidR="00D9168E" w:rsidRPr="00046DA5">
        <w:t xml:space="preserve"> the $231 million </w:t>
      </w:r>
      <w:r w:rsidR="004A4C39" w:rsidRPr="00046DA5">
        <w:t>apparatus licence taxes contributes to the collection of the indirect costs of spectrum management</w:t>
      </w:r>
      <w:r w:rsidR="00890593" w:rsidRPr="00046DA5">
        <w:t xml:space="preserve">. </w:t>
      </w:r>
      <w:r w:rsidR="004A4C39" w:rsidRPr="00046DA5">
        <w:t xml:space="preserve">Spectrum licence taxes </w:t>
      </w:r>
      <w:r w:rsidR="00D9168E" w:rsidRPr="00046DA5">
        <w:t xml:space="preserve">also </w:t>
      </w:r>
      <w:r w:rsidR="004A4C39" w:rsidRPr="00046DA5">
        <w:t xml:space="preserve">enable the recovery </w:t>
      </w:r>
      <w:r w:rsidR="00F60B6F" w:rsidRPr="00046DA5">
        <w:t xml:space="preserve">of </w:t>
      </w:r>
      <w:r w:rsidR="004A4C39" w:rsidRPr="00046DA5">
        <w:t>the indirect costs of spectrum management</w:t>
      </w:r>
      <w:r w:rsidR="002D7EE0" w:rsidRPr="00046DA5">
        <w:t xml:space="preserve"> from spectrum licensees</w:t>
      </w:r>
      <w:r w:rsidR="00890593" w:rsidRPr="00046DA5">
        <w:t>.</w:t>
      </w:r>
      <w:r w:rsidR="004A4C39" w:rsidRPr="00046DA5">
        <w:t xml:space="preserve"> </w:t>
      </w:r>
      <w:r w:rsidR="000F0CB4" w:rsidRPr="00046DA5">
        <w:t>The recovery of costs should be consistent with the Australian Government Charging Framework.</w:t>
      </w:r>
    </w:p>
    <w:p w14:paraId="5C4FB70F" w14:textId="0B5114CB" w:rsidR="00BC4A2F" w:rsidRPr="00046DA5" w:rsidRDefault="00BC4A2F" w:rsidP="00046DA5">
      <w:pPr>
        <w:pStyle w:val="Heading2"/>
        <w:keepLines/>
      </w:pPr>
      <w:bookmarkStart w:id="34" w:name="_Toc33758202"/>
      <w:r w:rsidRPr="00046DA5">
        <w:lastRenderedPageBreak/>
        <w:t xml:space="preserve">When will the ACMA </w:t>
      </w:r>
      <w:r w:rsidR="000E214C" w:rsidRPr="00046DA5">
        <w:t xml:space="preserve">consider changing </w:t>
      </w:r>
      <w:r w:rsidRPr="00046DA5">
        <w:t>prices?</w:t>
      </w:r>
      <w:bookmarkEnd w:id="34"/>
    </w:p>
    <w:p w14:paraId="792E9D5A" w14:textId="6A74064D" w:rsidR="00BC4A2F" w:rsidRPr="00046DA5" w:rsidRDefault="00BC4A2F" w:rsidP="00046DA5">
      <w:pPr>
        <w:pStyle w:val="Paragraph"/>
        <w:keepNext/>
        <w:keepLines/>
        <w:spacing w:after="80"/>
      </w:pPr>
      <w:r w:rsidRPr="00046DA5">
        <w:t xml:space="preserve">The ACMA expects to update existing </w:t>
      </w:r>
      <w:r w:rsidR="00D84A94" w:rsidRPr="00046DA5">
        <w:t xml:space="preserve">apparatus licence taxes or </w:t>
      </w:r>
      <w:r w:rsidRPr="00046DA5">
        <w:t xml:space="preserve">introduce new </w:t>
      </w:r>
      <w:r w:rsidR="00D84A94" w:rsidRPr="00046DA5">
        <w:t xml:space="preserve">taxes </w:t>
      </w:r>
      <w:r w:rsidRPr="00046DA5">
        <w:t>when:</w:t>
      </w:r>
    </w:p>
    <w:p w14:paraId="135FA9D3" w14:textId="353BD678" w:rsidR="00BC4A2F" w:rsidRPr="00046DA5" w:rsidRDefault="002D7EE0" w:rsidP="00046DA5">
      <w:pPr>
        <w:pStyle w:val="ListBullet"/>
        <w:keepNext/>
        <w:keepLines/>
      </w:pPr>
      <w:r w:rsidRPr="00046DA5">
        <w:t>a</w:t>
      </w:r>
      <w:r w:rsidR="00BC4A2F" w:rsidRPr="00046DA5">
        <w:t xml:space="preserve"> new apparatus licence type is introduced</w:t>
      </w:r>
    </w:p>
    <w:p w14:paraId="26261EF9" w14:textId="539F83D9" w:rsidR="000E214C" w:rsidRPr="00046DA5" w:rsidRDefault="00BC4A2F" w:rsidP="00046DA5">
      <w:pPr>
        <w:pStyle w:val="ListBullet"/>
        <w:keepNext/>
        <w:keepLines/>
      </w:pPr>
      <w:r w:rsidRPr="00046DA5">
        <w:t>there is a change in the value of spectrum</w:t>
      </w:r>
      <w:r w:rsidR="00D84A94" w:rsidRPr="00046DA5">
        <w:t xml:space="preserve">. </w:t>
      </w:r>
      <w:r w:rsidR="000E214C" w:rsidRPr="00046DA5">
        <w:t>Changes in value could be signalled through:</w:t>
      </w:r>
    </w:p>
    <w:p w14:paraId="5802B973" w14:textId="2DF5AA98" w:rsidR="00BC4A2F" w:rsidRPr="00046DA5" w:rsidRDefault="002D7EE0" w:rsidP="00046DA5">
      <w:pPr>
        <w:pStyle w:val="ListBullet2"/>
        <w:keepNext/>
        <w:keepLines/>
      </w:pPr>
      <w:r w:rsidRPr="00046DA5">
        <w:t>c</w:t>
      </w:r>
      <w:r w:rsidR="000E214C" w:rsidRPr="00046DA5">
        <w:t xml:space="preserve">hanges in use of spectrum bands. </w:t>
      </w:r>
      <w:r w:rsidR="00D84A94" w:rsidRPr="00046DA5">
        <w:t>For example, in focus</w:t>
      </w:r>
      <w:r w:rsidR="006B5BE8" w:rsidRPr="00046DA5">
        <w:t xml:space="preserve"> </w:t>
      </w:r>
      <w:r w:rsidR="00D84A94" w:rsidRPr="00046DA5">
        <w:t>area</w:t>
      </w:r>
      <w:r w:rsidR="00E461EF" w:rsidRPr="00046DA5">
        <w:t> </w:t>
      </w:r>
      <w:r w:rsidR="00D84A94" w:rsidRPr="00046DA5">
        <w:t>3</w:t>
      </w:r>
      <w:r w:rsidRPr="00046DA5">
        <w:t>,</w:t>
      </w:r>
      <w:r w:rsidR="00D84A94" w:rsidRPr="00046DA5">
        <w:t xml:space="preserve"> the ACMA is proposing to develop simple monitoring frameworks to measure congestion in the bands and </w:t>
      </w:r>
      <w:r w:rsidRPr="00046DA5">
        <w:t xml:space="preserve">undertake </w:t>
      </w:r>
      <w:r w:rsidR="00D84A94" w:rsidRPr="00046DA5">
        <w:t xml:space="preserve">pricing reviews concurrently with band planning reviews </w:t>
      </w:r>
    </w:p>
    <w:p w14:paraId="6550F12E" w14:textId="09B89A3B" w:rsidR="000E214C" w:rsidRPr="00046DA5" w:rsidRDefault="002D7EE0" w:rsidP="00046DA5">
      <w:pPr>
        <w:pStyle w:val="ListBullet2"/>
        <w:keepNext/>
        <w:keepLines/>
      </w:pPr>
      <w:r w:rsidRPr="00046DA5">
        <w:t>c</w:t>
      </w:r>
      <w:r w:rsidR="000E214C" w:rsidRPr="00046DA5">
        <w:t>hanges in market circumstances</w:t>
      </w:r>
      <w:r w:rsidRPr="00046DA5">
        <w:t>,</w:t>
      </w:r>
      <w:r w:rsidR="000E214C" w:rsidRPr="00046DA5">
        <w:t xml:space="preserve"> which may become evident in auction results for equivalent spectrum and other market analysis undertaken by the ACMA</w:t>
      </w:r>
      <w:r w:rsidRPr="00046DA5">
        <w:t>,</w:t>
      </w:r>
      <w:r w:rsidR="00EB0444" w:rsidRPr="00046DA5">
        <w:t xml:space="preserve"> and </w:t>
      </w:r>
      <w:r w:rsidR="000E214C" w:rsidRPr="00046DA5">
        <w:t>representations to the ACMA from industry</w:t>
      </w:r>
    </w:p>
    <w:p w14:paraId="0A92EAF0" w14:textId="40021711" w:rsidR="00EB0444" w:rsidRPr="00046DA5" w:rsidRDefault="00EB0444" w:rsidP="00046DA5">
      <w:pPr>
        <w:pStyle w:val="ListBullet2"/>
        <w:keepNext/>
        <w:keepLines/>
      </w:pPr>
      <w:r w:rsidRPr="00046DA5">
        <w:t xml:space="preserve">ACMA initiatives to keep spectrum pricing contemporary </w:t>
      </w:r>
      <w:r w:rsidR="002D7EE0" w:rsidRPr="00046DA5">
        <w:t xml:space="preserve">including </w:t>
      </w:r>
      <w:r w:rsidRPr="00046DA5">
        <w:t xml:space="preserve">by regular reviews of the parameters of the tax formula and updates for inflation. It is noted that under focus area </w:t>
      </w:r>
      <w:r w:rsidR="005F4EE4" w:rsidRPr="00046DA5">
        <w:t>3</w:t>
      </w:r>
      <w:r w:rsidRPr="00046DA5">
        <w:t>, the ACMA is seeking views on approaches to keep pricing contemporary</w:t>
      </w:r>
    </w:p>
    <w:p w14:paraId="7B915AA6" w14:textId="2B3BAEF5" w:rsidR="00BC4A2F" w:rsidRPr="00046DA5" w:rsidRDefault="00BC4A2F" w:rsidP="00046DA5">
      <w:pPr>
        <w:pStyle w:val="ListBulletLast"/>
        <w:keepNext/>
        <w:keepLines/>
      </w:pPr>
      <w:r w:rsidRPr="00046DA5">
        <w:t xml:space="preserve">there has been a change </w:t>
      </w:r>
      <w:r w:rsidR="00580755" w:rsidRPr="00046DA5">
        <w:t xml:space="preserve">in </w:t>
      </w:r>
      <w:r w:rsidRPr="00046DA5">
        <w:t>fee for services charges or changes in the indirect costs of spectrum management</w:t>
      </w:r>
      <w:r w:rsidR="00D84A94" w:rsidRPr="00046DA5">
        <w:t>.</w:t>
      </w:r>
      <w:r w:rsidR="002C0BF9" w:rsidRPr="00046DA5">
        <w:rPr>
          <w:sz w:val="22"/>
          <w:szCs w:val="28"/>
          <w:vertAlign w:val="superscript"/>
        </w:rPr>
        <w:footnoteReference w:id="6"/>
      </w:r>
    </w:p>
    <w:p w14:paraId="5DD77A17" w14:textId="465EA203" w:rsidR="009A7749" w:rsidRPr="00046DA5" w:rsidRDefault="009A7749" w:rsidP="001E116E">
      <w:pPr>
        <w:pStyle w:val="Heading2"/>
      </w:pPr>
      <w:bookmarkStart w:id="35" w:name="_Toc33758203"/>
      <w:r w:rsidRPr="00046DA5">
        <w:t>Practical considerations</w:t>
      </w:r>
      <w:bookmarkEnd w:id="35"/>
    </w:p>
    <w:p w14:paraId="2E73BF9D" w14:textId="65736DE1" w:rsidR="009A7749" w:rsidRPr="00046DA5" w:rsidRDefault="009A7749" w:rsidP="001E116E">
      <w:pPr>
        <w:pStyle w:val="Paragraph"/>
        <w:spacing w:after="80"/>
      </w:pPr>
      <w:r w:rsidRPr="00046DA5">
        <w:t xml:space="preserve">In </w:t>
      </w:r>
      <w:r w:rsidR="00F87214" w:rsidRPr="00046DA5">
        <w:t>implementing the recommendations of the Spectrum Pricing Review and the ongoing pricing</w:t>
      </w:r>
      <w:r w:rsidR="00380037" w:rsidRPr="00046DA5">
        <w:t xml:space="preserve"> work</w:t>
      </w:r>
      <w:r w:rsidR="00F87214" w:rsidRPr="00046DA5">
        <w:t xml:space="preserve"> of the ACMA</w:t>
      </w:r>
      <w:r w:rsidR="002D7EE0" w:rsidRPr="00046DA5">
        <w:t>,</w:t>
      </w:r>
      <w:r w:rsidR="00F87214" w:rsidRPr="00046DA5">
        <w:t xml:space="preserve"> </w:t>
      </w:r>
      <w:r w:rsidRPr="00046DA5">
        <w:t>there are a set of practical factors that need to be considered, such as:</w:t>
      </w:r>
    </w:p>
    <w:p w14:paraId="298ABC29" w14:textId="6AB38870" w:rsidR="009A7749" w:rsidRPr="00046DA5" w:rsidRDefault="009A7749" w:rsidP="001E116E">
      <w:pPr>
        <w:pStyle w:val="ListBullet"/>
      </w:pPr>
      <w:r w:rsidRPr="00046DA5">
        <w:rPr>
          <w:b/>
          <w:bCs/>
        </w:rPr>
        <w:t>Data availability</w:t>
      </w:r>
      <w:r w:rsidRPr="00046DA5">
        <w:t xml:space="preserve">: The apparatus licence taxes are determined by legislative instruments; any measures included in these instruments need to be objective and certain. This assists both the ACMA and licensees to accurately assess the amount of tax imposed and consider any compliance matters. </w:t>
      </w:r>
    </w:p>
    <w:p w14:paraId="4A61275E" w14:textId="04861C5D" w:rsidR="009A7749" w:rsidRPr="00046DA5" w:rsidRDefault="009A7749" w:rsidP="001E116E">
      <w:pPr>
        <w:pStyle w:val="ListBullet"/>
      </w:pPr>
      <w:r w:rsidRPr="00046DA5">
        <w:rPr>
          <w:b/>
          <w:bCs/>
        </w:rPr>
        <w:t xml:space="preserve">Limitations </w:t>
      </w:r>
      <w:r w:rsidR="00B6372E" w:rsidRPr="00046DA5">
        <w:rPr>
          <w:b/>
          <w:bCs/>
        </w:rPr>
        <w:t>on</w:t>
      </w:r>
      <w:r w:rsidRPr="00046DA5">
        <w:rPr>
          <w:b/>
          <w:bCs/>
        </w:rPr>
        <w:t xml:space="preserve"> implementation</w:t>
      </w:r>
      <w:r w:rsidRPr="00046DA5">
        <w:t>: If changes to taxes require additional information from licensees</w:t>
      </w:r>
      <w:r w:rsidR="00B6372E" w:rsidRPr="00046DA5">
        <w:t>,</w:t>
      </w:r>
      <w:r w:rsidRPr="00046DA5">
        <w:t xml:space="preserve"> then this information will need to be provided as part of the licence application process. This will require changes in the ACMA and industry’s systems and processes and may incur additional costs.</w:t>
      </w:r>
    </w:p>
    <w:p w14:paraId="3291DE10" w14:textId="27FACFF0" w:rsidR="00702CE8" w:rsidRPr="00046DA5" w:rsidRDefault="009A7749" w:rsidP="001E116E">
      <w:pPr>
        <w:pStyle w:val="ListBulletLast"/>
      </w:pPr>
      <w:r w:rsidRPr="00046DA5">
        <w:rPr>
          <w:b/>
          <w:bCs/>
        </w:rPr>
        <w:t>Coordinating the implementation of the Spectrum Pricing Review with other reviews:</w:t>
      </w:r>
      <w:r w:rsidRPr="00046DA5" w:rsidDel="000D6750">
        <w:t xml:space="preserve"> </w:t>
      </w:r>
      <w:r w:rsidRPr="00046DA5">
        <w:t xml:space="preserve">The ACMA and </w:t>
      </w:r>
      <w:r w:rsidR="00B6372E" w:rsidRPr="00046DA5">
        <w:t>g</w:t>
      </w:r>
      <w:r w:rsidRPr="00046DA5">
        <w:t>overnment are undertaking a number of reviews and reforms. The ACMA sees great benefit in coordinating the implementation of the Spectrum Pricing Review with other reviews. This will ensure that the ACMA can coordinate discussions with stakeholders and ensure consistency of pricing.</w:t>
      </w:r>
    </w:p>
    <w:p w14:paraId="5840D15D" w14:textId="1E16CFB3" w:rsidR="0087646D" w:rsidRPr="00046DA5" w:rsidRDefault="0087646D" w:rsidP="00477E8C">
      <w:pPr>
        <w:pStyle w:val="Paragraph"/>
        <w:shd w:val="clear" w:color="auto" w:fill="F2F2F2" w:themeFill="background1" w:themeFillShade="F2"/>
        <w:spacing w:after="0"/>
        <w:rPr>
          <w:b/>
        </w:rPr>
      </w:pPr>
      <w:r w:rsidRPr="00046DA5">
        <w:rPr>
          <w:b/>
        </w:rPr>
        <w:t xml:space="preserve">Question </w:t>
      </w:r>
      <w:r w:rsidR="00190BB0" w:rsidRPr="00046DA5">
        <w:rPr>
          <w:b/>
        </w:rPr>
        <w:t>3</w:t>
      </w:r>
    </w:p>
    <w:p w14:paraId="30DD0E22" w14:textId="47CC32B5" w:rsidR="0069394A" w:rsidRPr="00046DA5" w:rsidRDefault="00B6372E" w:rsidP="00477E8C">
      <w:pPr>
        <w:pStyle w:val="Paragraph"/>
        <w:shd w:val="clear" w:color="auto" w:fill="F2F2F2" w:themeFill="background1" w:themeFillShade="F2"/>
      </w:pPr>
      <w:r w:rsidRPr="00046DA5">
        <w:t>Do stakeholders have</w:t>
      </w:r>
      <w:r w:rsidR="0087646D" w:rsidRPr="00046DA5">
        <w:t xml:space="preserve"> comments on </w:t>
      </w:r>
      <w:r w:rsidRPr="00046DA5">
        <w:t xml:space="preserve">the ACMA’s </w:t>
      </w:r>
      <w:r w:rsidR="009E15F8" w:rsidRPr="00046DA5">
        <w:t>draft spectrum pricing guideline</w:t>
      </w:r>
      <w:r w:rsidR="00234177" w:rsidRPr="00046DA5">
        <w:t>s</w:t>
      </w:r>
      <w:r w:rsidR="009E15F8" w:rsidRPr="00046DA5">
        <w:t xml:space="preserve"> including the relevant spectrum pricing decisions, </w:t>
      </w:r>
      <w:r w:rsidR="0087646D" w:rsidRPr="00046DA5">
        <w:t>guiding principles</w:t>
      </w:r>
      <w:r w:rsidR="00721597" w:rsidRPr="00046DA5">
        <w:t xml:space="preserve"> and process for changing prices</w:t>
      </w:r>
      <w:r w:rsidRPr="00046DA5">
        <w:t>?</w:t>
      </w:r>
    </w:p>
    <w:p w14:paraId="35B837A8" w14:textId="0881A96A" w:rsidR="0069394A" w:rsidRPr="00046DA5" w:rsidRDefault="00D57A2E" w:rsidP="0069394A">
      <w:pPr>
        <w:pStyle w:val="Heading1"/>
      </w:pPr>
      <w:bookmarkStart w:id="36" w:name="_Toc33758204"/>
      <w:r w:rsidRPr="00046DA5">
        <w:lastRenderedPageBreak/>
        <w:t xml:space="preserve">Focus </w:t>
      </w:r>
      <w:r w:rsidR="00B6372E" w:rsidRPr="00046DA5">
        <w:t>a</w:t>
      </w:r>
      <w:r w:rsidRPr="00046DA5">
        <w:t>reas</w:t>
      </w:r>
      <w:bookmarkEnd w:id="36"/>
      <w:r w:rsidRPr="00046DA5">
        <w:t xml:space="preserve"> </w:t>
      </w:r>
    </w:p>
    <w:p w14:paraId="7738A77F" w14:textId="76D56D83" w:rsidR="00E2271F" w:rsidRPr="00046DA5" w:rsidRDefault="00E2271F" w:rsidP="00477E8C">
      <w:pPr>
        <w:pStyle w:val="Paragraph"/>
      </w:pPr>
      <w:r w:rsidRPr="00046DA5">
        <w:t>As noted</w:t>
      </w:r>
      <w:r w:rsidR="00BC5A0C" w:rsidRPr="00046DA5">
        <w:t>,</w:t>
      </w:r>
      <w:r w:rsidRPr="00046DA5">
        <w:t xml:space="preserve"> the ACMA believes that the tax formula has generally provided a solid base for incentivising the efficient use of spectrum. However, industry stakeholders have noted </w:t>
      </w:r>
      <w:r w:rsidR="002D2A55" w:rsidRPr="00046DA5">
        <w:t>developments</w:t>
      </w:r>
      <w:r w:rsidRPr="00046DA5">
        <w:t xml:space="preserve"> in spectral efficiency techniques and network and device deployment models</w:t>
      </w:r>
      <w:r w:rsidR="00FB2958" w:rsidRPr="00046DA5">
        <w:t>, which mean</w:t>
      </w:r>
      <w:r w:rsidRPr="00046DA5">
        <w:t xml:space="preserve"> that some current taxes may not promote the efficient use of spectrum. </w:t>
      </w:r>
    </w:p>
    <w:p w14:paraId="5E8F9E82" w14:textId="1F869CBD" w:rsidR="00C96CDB" w:rsidRPr="00046DA5" w:rsidRDefault="00E37130" w:rsidP="00477E8C">
      <w:pPr>
        <w:pStyle w:val="Paragraph"/>
      </w:pPr>
      <w:r w:rsidRPr="00046DA5">
        <w:t>The</w:t>
      </w:r>
      <w:r w:rsidR="00E2271F" w:rsidRPr="00046DA5">
        <w:t xml:space="preserve"> </w:t>
      </w:r>
      <w:r w:rsidR="00C96CDB" w:rsidRPr="00046DA5">
        <w:t xml:space="preserve">ACMA is proposing to prioritise </w:t>
      </w:r>
      <w:r w:rsidR="006E264E" w:rsidRPr="00046DA5">
        <w:t xml:space="preserve">its review of the </w:t>
      </w:r>
      <w:r w:rsidR="00C96CDB" w:rsidRPr="00046DA5">
        <w:t xml:space="preserve">features of the tax formula and other taxes (these are referred to in the following as </w:t>
      </w:r>
      <w:r w:rsidR="00FB2958" w:rsidRPr="00046DA5">
        <w:t>‘</w:t>
      </w:r>
      <w:r w:rsidR="005C6F0F" w:rsidRPr="00046DA5">
        <w:t>f</w:t>
      </w:r>
      <w:r w:rsidR="00C96CDB" w:rsidRPr="00046DA5">
        <w:t xml:space="preserve">ocus </w:t>
      </w:r>
      <w:r w:rsidR="005C6F0F" w:rsidRPr="00046DA5">
        <w:t>a</w:t>
      </w:r>
      <w:r w:rsidR="00C96CDB" w:rsidRPr="00046DA5">
        <w:t>reas</w:t>
      </w:r>
      <w:r w:rsidR="00FB2958" w:rsidRPr="00046DA5">
        <w:t>’</w:t>
      </w:r>
      <w:r w:rsidR="00C96CDB" w:rsidRPr="00046DA5">
        <w:t>)</w:t>
      </w:r>
      <w:r w:rsidR="00C53844" w:rsidRPr="00046DA5">
        <w:t xml:space="preserve">. </w:t>
      </w:r>
      <w:r w:rsidR="00FB2958" w:rsidRPr="00046DA5">
        <w:t>A</w:t>
      </w:r>
      <w:r w:rsidR="00A260EF" w:rsidRPr="00046DA5">
        <w:t>ll focus area</w:t>
      </w:r>
      <w:r w:rsidR="00B013D5" w:rsidRPr="00046DA5">
        <w:t>s</w:t>
      </w:r>
      <w:r w:rsidR="00A260EF" w:rsidRPr="00046DA5">
        <w:t xml:space="preserve"> will be </w:t>
      </w:r>
      <w:r w:rsidR="006E535F" w:rsidRPr="00046DA5">
        <w:t>considered over time</w:t>
      </w:r>
      <w:r w:rsidR="00D60A77" w:rsidRPr="00046DA5">
        <w:t xml:space="preserve"> </w:t>
      </w:r>
      <w:r w:rsidR="00FB2958" w:rsidRPr="00046DA5">
        <w:t>to</w:t>
      </w:r>
      <w:r w:rsidR="00D60A77" w:rsidRPr="00046DA5">
        <w:t xml:space="preserve"> </w:t>
      </w:r>
      <w:r w:rsidR="00FB2958" w:rsidRPr="00046DA5">
        <w:t>enable</w:t>
      </w:r>
      <w:r w:rsidR="00337AD4" w:rsidRPr="00046DA5">
        <w:t xml:space="preserve"> the ACMA to </w:t>
      </w:r>
      <w:r w:rsidR="006815F5" w:rsidRPr="00046DA5">
        <w:t xml:space="preserve">review </w:t>
      </w:r>
      <w:r w:rsidR="008732C8" w:rsidRPr="00046DA5">
        <w:t xml:space="preserve">all </w:t>
      </w:r>
      <w:r w:rsidR="00F502E7" w:rsidRPr="00046DA5">
        <w:t>apparatus licence taxes</w:t>
      </w:r>
      <w:r w:rsidR="006815F5" w:rsidRPr="00046DA5">
        <w:t xml:space="preserve"> consistent with recommendation 7 of the Spectrum Pricing Review</w:t>
      </w:r>
      <w:r w:rsidR="00C53844" w:rsidRPr="00046DA5">
        <w:t xml:space="preserve">. </w:t>
      </w:r>
      <w:r w:rsidR="00A97951" w:rsidRPr="00046DA5">
        <w:t>Having</w:t>
      </w:r>
      <w:r w:rsidR="00F923AC" w:rsidRPr="00046DA5">
        <w:t xml:space="preserve"> different focus areas</w:t>
      </w:r>
      <w:r w:rsidR="00D030AC" w:rsidRPr="00046DA5">
        <w:t xml:space="preserve"> will allow the </w:t>
      </w:r>
      <w:r w:rsidR="00AF4577" w:rsidRPr="00046DA5">
        <w:t>ACMA to develop a work program</w:t>
      </w:r>
      <w:r w:rsidR="00CE3708" w:rsidRPr="00046DA5">
        <w:t xml:space="preserve"> that prioritises</w:t>
      </w:r>
      <w:r w:rsidR="0006291B" w:rsidRPr="00046DA5">
        <w:t xml:space="preserve"> the matters that need the most </w:t>
      </w:r>
      <w:r w:rsidR="00965D38" w:rsidRPr="00046DA5">
        <w:t>immediate attention</w:t>
      </w:r>
      <w:r w:rsidR="0097130A" w:rsidRPr="00046DA5">
        <w:t>.</w:t>
      </w:r>
    </w:p>
    <w:p w14:paraId="6EE80F59" w14:textId="6C2AD7D9" w:rsidR="006651BE" w:rsidRPr="00046DA5" w:rsidRDefault="006651BE" w:rsidP="00477E8C">
      <w:pPr>
        <w:pStyle w:val="Paragraph"/>
        <w:shd w:val="clear" w:color="auto" w:fill="F2F2F2" w:themeFill="background1" w:themeFillShade="F2"/>
        <w:spacing w:after="0"/>
        <w:rPr>
          <w:b/>
        </w:rPr>
      </w:pPr>
      <w:r w:rsidRPr="00046DA5">
        <w:rPr>
          <w:b/>
        </w:rPr>
        <w:t xml:space="preserve">Question </w:t>
      </w:r>
      <w:r w:rsidR="00190BB0" w:rsidRPr="00046DA5">
        <w:rPr>
          <w:b/>
        </w:rPr>
        <w:t>4</w:t>
      </w:r>
    </w:p>
    <w:p w14:paraId="6FD816E6" w14:textId="5E219A9F" w:rsidR="006651BE" w:rsidRPr="00046DA5" w:rsidRDefault="00FB2958" w:rsidP="00477E8C">
      <w:pPr>
        <w:pStyle w:val="Paragraph"/>
        <w:shd w:val="clear" w:color="auto" w:fill="F2F2F2" w:themeFill="background1" w:themeFillShade="F2"/>
      </w:pPr>
      <w:r w:rsidRPr="00046DA5">
        <w:t>Does</w:t>
      </w:r>
      <w:r w:rsidR="006651BE" w:rsidRPr="00046DA5">
        <w:t xml:space="preserve"> the tax formula generally provide a solid base for incentivising the efficient use of spectrum</w:t>
      </w:r>
      <w:r w:rsidR="005664AD" w:rsidRPr="00046DA5">
        <w:t>?</w:t>
      </w:r>
    </w:p>
    <w:p w14:paraId="372D5B04" w14:textId="58978839" w:rsidR="00C96CDB" w:rsidRPr="00046DA5" w:rsidRDefault="00FB2958" w:rsidP="00C96CDB">
      <w:pPr>
        <w:pStyle w:val="Heading2"/>
      </w:pPr>
      <w:bookmarkStart w:id="37" w:name="_Toc33758205"/>
      <w:r w:rsidRPr="00046DA5">
        <w:t>P</w:t>
      </w:r>
      <w:r w:rsidR="00C96CDB" w:rsidRPr="00046DA5">
        <w:t>rioritis</w:t>
      </w:r>
      <w:r w:rsidRPr="00046DA5">
        <w:t>ing</w:t>
      </w:r>
      <w:r w:rsidR="00C96CDB" w:rsidRPr="00046DA5">
        <w:t xml:space="preserve"> the </w:t>
      </w:r>
      <w:r w:rsidRPr="00046DA5">
        <w:t>f</w:t>
      </w:r>
      <w:r w:rsidR="00C96CDB" w:rsidRPr="00046DA5">
        <w:t xml:space="preserve">ocus </w:t>
      </w:r>
      <w:r w:rsidRPr="00046DA5">
        <w:t>a</w:t>
      </w:r>
      <w:r w:rsidR="00C96CDB" w:rsidRPr="00046DA5">
        <w:t>reas</w:t>
      </w:r>
      <w:bookmarkEnd w:id="37"/>
    </w:p>
    <w:p w14:paraId="6209716E" w14:textId="0631FC40" w:rsidR="00C96CDB" w:rsidRPr="00046DA5" w:rsidRDefault="00D57A2E" w:rsidP="00A750CB">
      <w:pPr>
        <w:spacing w:after="80"/>
      </w:pPr>
      <w:r w:rsidRPr="00046DA5">
        <w:t xml:space="preserve">The ACMA is proposing to consider all the focus areas over time. However, in </w:t>
      </w:r>
      <w:r w:rsidR="009F5791" w:rsidRPr="00046DA5">
        <w:t>developing a work program</w:t>
      </w:r>
      <w:r w:rsidR="00FB2958" w:rsidRPr="00046DA5">
        <w:t>,</w:t>
      </w:r>
      <w:r w:rsidRPr="00046DA5">
        <w:t xml:space="preserve"> the ACMA will need prioritise </w:t>
      </w:r>
      <w:r w:rsidR="00C73A8A" w:rsidRPr="00046DA5">
        <w:t xml:space="preserve">the order in which the </w:t>
      </w:r>
      <w:r w:rsidR="00FB2958" w:rsidRPr="00046DA5">
        <w:t>f</w:t>
      </w:r>
      <w:r w:rsidR="00C73A8A" w:rsidRPr="00046DA5">
        <w:t xml:space="preserve">ocus </w:t>
      </w:r>
      <w:r w:rsidR="00FB2958" w:rsidRPr="00046DA5">
        <w:t>a</w:t>
      </w:r>
      <w:r w:rsidR="00C73A8A" w:rsidRPr="00046DA5">
        <w:t>reas are considered</w:t>
      </w:r>
      <w:r w:rsidR="00E94EA9" w:rsidRPr="00046DA5">
        <w:t xml:space="preserve">. Factors to </w:t>
      </w:r>
      <w:r w:rsidR="009C468C" w:rsidRPr="00046DA5">
        <w:t>consider</w:t>
      </w:r>
      <w:r w:rsidR="00E94EA9" w:rsidRPr="00046DA5">
        <w:t xml:space="preserve"> will </w:t>
      </w:r>
      <w:r w:rsidR="00FB2958" w:rsidRPr="00046DA5">
        <w:t>includ</w:t>
      </w:r>
      <w:r w:rsidR="00E94EA9" w:rsidRPr="00046DA5">
        <w:t>e</w:t>
      </w:r>
      <w:r w:rsidR="00C96CDB" w:rsidRPr="00046DA5">
        <w:t>:</w:t>
      </w:r>
    </w:p>
    <w:p w14:paraId="1F518605" w14:textId="08495D9A" w:rsidR="00C96CDB" w:rsidRPr="00046DA5" w:rsidRDefault="00FB2958" w:rsidP="00135A0A">
      <w:pPr>
        <w:pStyle w:val="ListBullet"/>
      </w:pPr>
      <w:r w:rsidRPr="00046DA5">
        <w:t>h</w:t>
      </w:r>
      <w:r w:rsidR="00C96CDB" w:rsidRPr="00046DA5">
        <w:t>ow well the focus areas help the ACMA meet the legislative and policy environment and the proposed draft pricing guidelines</w:t>
      </w:r>
    </w:p>
    <w:p w14:paraId="158F275D" w14:textId="5467F6BA" w:rsidR="00C96CDB" w:rsidRPr="00046DA5" w:rsidRDefault="00FB2958" w:rsidP="00135A0A">
      <w:pPr>
        <w:pStyle w:val="ListBullet"/>
      </w:pPr>
      <w:r w:rsidRPr="00046DA5">
        <w:t>h</w:t>
      </w:r>
      <w:r w:rsidR="00C96CDB" w:rsidRPr="00046DA5">
        <w:t>ow a review of a focus area coordinates with other projects and reviews</w:t>
      </w:r>
    </w:p>
    <w:p w14:paraId="1E7ABAFD" w14:textId="0AEF9B7B" w:rsidR="00D17A57" w:rsidRPr="00046DA5" w:rsidRDefault="00E94EA9" w:rsidP="00D17A57">
      <w:pPr>
        <w:pStyle w:val="ListBulletLast"/>
      </w:pPr>
      <w:r w:rsidRPr="00046DA5">
        <w:t>h</w:t>
      </w:r>
      <w:r w:rsidR="00D17A57" w:rsidRPr="00046DA5">
        <w:t xml:space="preserve">ow </w:t>
      </w:r>
      <w:r w:rsidR="00135A0A" w:rsidRPr="00046DA5">
        <w:t xml:space="preserve">the </w:t>
      </w:r>
      <w:r w:rsidR="00D17A57" w:rsidRPr="00046DA5">
        <w:t xml:space="preserve">potential changes in tax arrangements </w:t>
      </w:r>
      <w:r w:rsidRPr="00046DA5">
        <w:t xml:space="preserve">can </w:t>
      </w:r>
      <w:r w:rsidR="00D17A57" w:rsidRPr="00046DA5">
        <w:t>be incorporated into the ACMA’s and industry’s syste</w:t>
      </w:r>
      <w:r w:rsidR="00135A0A" w:rsidRPr="00046DA5">
        <w:t>ms</w:t>
      </w:r>
      <w:r w:rsidRPr="00046DA5">
        <w:t xml:space="preserve"> in the most cost-effective way.</w:t>
      </w:r>
    </w:p>
    <w:p w14:paraId="77A64B4C" w14:textId="42A78729" w:rsidR="001F794D" w:rsidRPr="00046DA5" w:rsidRDefault="001F794D" w:rsidP="00477E8C">
      <w:pPr>
        <w:pStyle w:val="Paragraph"/>
        <w:shd w:val="clear" w:color="auto" w:fill="F2F2F2" w:themeFill="background1" w:themeFillShade="F2"/>
        <w:spacing w:after="0"/>
        <w:rPr>
          <w:b/>
        </w:rPr>
      </w:pPr>
      <w:bookmarkStart w:id="38" w:name="_Hlk29995972"/>
      <w:r w:rsidRPr="00046DA5">
        <w:rPr>
          <w:b/>
        </w:rPr>
        <w:t xml:space="preserve">Question </w:t>
      </w:r>
      <w:r w:rsidR="00190BB0" w:rsidRPr="00046DA5">
        <w:rPr>
          <w:b/>
        </w:rPr>
        <w:t>5</w:t>
      </w:r>
    </w:p>
    <w:p w14:paraId="1EBA24EE" w14:textId="37230ADE" w:rsidR="00726006" w:rsidRPr="00046DA5" w:rsidRDefault="00E94EA9" w:rsidP="00477E8C">
      <w:pPr>
        <w:pStyle w:val="Paragraph"/>
        <w:shd w:val="clear" w:color="auto" w:fill="F2F2F2" w:themeFill="background1" w:themeFillShade="F2"/>
        <w:spacing w:after="80"/>
      </w:pPr>
      <w:r w:rsidRPr="00046DA5">
        <w:t>Do stakeholders have views</w:t>
      </w:r>
      <w:r w:rsidR="001F794D" w:rsidRPr="00046DA5">
        <w:t xml:space="preserve"> </w:t>
      </w:r>
      <w:r w:rsidR="00956F4C" w:rsidRPr="00046DA5">
        <w:t>on</w:t>
      </w:r>
      <w:r w:rsidR="00726006" w:rsidRPr="00046DA5">
        <w:t>:</w:t>
      </w:r>
    </w:p>
    <w:p w14:paraId="51C1D4BA" w14:textId="5664AC2E" w:rsidR="00700234" w:rsidRPr="00046DA5" w:rsidRDefault="004D2F27" w:rsidP="00477E8C">
      <w:pPr>
        <w:pStyle w:val="ListBullet"/>
        <w:shd w:val="clear" w:color="auto" w:fill="F2F2F2" w:themeFill="background1" w:themeFillShade="F2"/>
      </w:pPr>
      <w:r w:rsidRPr="00046DA5">
        <w:t>prioritis</w:t>
      </w:r>
      <w:r w:rsidR="00600B63" w:rsidRPr="00046DA5">
        <w:t xml:space="preserve">ing </w:t>
      </w:r>
      <w:r w:rsidRPr="00046DA5">
        <w:t>the features of the tax formula and other taxes</w:t>
      </w:r>
      <w:r w:rsidR="00187747" w:rsidRPr="00046DA5">
        <w:t xml:space="preserve"> by consideri</w:t>
      </w:r>
      <w:r w:rsidR="00726006" w:rsidRPr="00046DA5">
        <w:t>ng different focus areas</w:t>
      </w:r>
      <w:r w:rsidR="00700234" w:rsidRPr="00046DA5">
        <w:t>.</w:t>
      </w:r>
    </w:p>
    <w:p w14:paraId="6C393A06" w14:textId="15F07E6D" w:rsidR="004267BF" w:rsidRPr="00046DA5" w:rsidRDefault="004267BF" w:rsidP="00477E8C">
      <w:pPr>
        <w:pStyle w:val="ListBullet"/>
        <w:shd w:val="clear" w:color="auto" w:fill="F2F2F2" w:themeFill="background1" w:themeFillShade="F2"/>
      </w:pPr>
      <w:r w:rsidRPr="00046DA5">
        <w:t>the criteria for prioritising the focus areas</w:t>
      </w:r>
    </w:p>
    <w:p w14:paraId="462ED90A" w14:textId="6F2E5020" w:rsidR="0018548B" w:rsidRPr="00046DA5" w:rsidRDefault="00BE0C31" w:rsidP="00477E8C">
      <w:pPr>
        <w:pStyle w:val="ListBulletLast"/>
        <w:shd w:val="clear" w:color="auto" w:fill="F2F2F2" w:themeFill="background1" w:themeFillShade="F2"/>
      </w:pPr>
      <w:r w:rsidRPr="00046DA5">
        <w:t>other matters</w:t>
      </w:r>
      <w:r w:rsidR="005664AD" w:rsidRPr="00046DA5">
        <w:t xml:space="preserve"> or focus areas</w:t>
      </w:r>
      <w:r w:rsidRPr="00046DA5">
        <w:t xml:space="preserve"> that</w:t>
      </w:r>
      <w:r w:rsidR="00045163" w:rsidRPr="00046DA5">
        <w:t xml:space="preserve"> should be considered as part of the ACMA’s </w:t>
      </w:r>
      <w:r w:rsidR="00022935" w:rsidRPr="00046DA5">
        <w:t>work </w:t>
      </w:r>
      <w:r w:rsidR="00045163" w:rsidRPr="00046DA5">
        <w:t>progra</w:t>
      </w:r>
      <w:r w:rsidR="00991B0B" w:rsidRPr="00046DA5">
        <w:t>m.</w:t>
      </w:r>
    </w:p>
    <w:p w14:paraId="0E505712" w14:textId="5A266B3E" w:rsidR="00C96CDB" w:rsidRPr="00046DA5" w:rsidRDefault="00C96CDB" w:rsidP="00046DA5">
      <w:pPr>
        <w:pStyle w:val="Heading2"/>
        <w:pageBreakBefore/>
      </w:pPr>
      <w:bookmarkStart w:id="39" w:name="_Toc33758206"/>
      <w:bookmarkEnd w:id="38"/>
      <w:r w:rsidRPr="00046DA5">
        <w:lastRenderedPageBreak/>
        <w:t xml:space="preserve">Focus </w:t>
      </w:r>
      <w:r w:rsidR="00E94EA9" w:rsidRPr="00046DA5">
        <w:t>a</w:t>
      </w:r>
      <w:r w:rsidRPr="00046DA5">
        <w:t xml:space="preserve">rea </w:t>
      </w:r>
      <w:r w:rsidR="0017116F" w:rsidRPr="00046DA5">
        <w:t>1</w:t>
      </w:r>
      <w:r w:rsidRPr="00046DA5">
        <w:t>: Large bandwidth and multiple (networked device</w:t>
      </w:r>
      <w:r w:rsidR="00615307" w:rsidRPr="00046DA5">
        <w:t>s</w:t>
      </w:r>
      <w:r w:rsidRPr="00046DA5">
        <w:t>) requirements</w:t>
      </w:r>
      <w:bookmarkEnd w:id="39"/>
    </w:p>
    <w:p w14:paraId="465E094F" w14:textId="12192C5D" w:rsidR="005F4668" w:rsidRPr="00046DA5" w:rsidRDefault="00E94EA9" w:rsidP="00477E8C">
      <w:pPr>
        <w:pStyle w:val="Paragraph"/>
        <w:rPr>
          <w:szCs w:val="20"/>
        </w:rPr>
      </w:pPr>
      <w:r w:rsidRPr="00046DA5">
        <w:t xml:space="preserve">When </w:t>
      </w:r>
      <w:r w:rsidR="00C96CDB" w:rsidRPr="00046DA5">
        <w:t>the tax formula</w:t>
      </w:r>
      <w:r w:rsidRPr="00046DA5">
        <w:t xml:space="preserve"> was developed</w:t>
      </w:r>
      <w:r w:rsidR="00C96CDB" w:rsidRPr="00046DA5">
        <w:t xml:space="preserve"> in the</w:t>
      </w:r>
      <w:r w:rsidR="00022935" w:rsidRPr="00046DA5">
        <w:t xml:space="preserve"> </w:t>
      </w:r>
      <w:r w:rsidR="000C3381" w:rsidRPr="00046DA5">
        <w:t>19</w:t>
      </w:r>
      <w:r w:rsidR="00C96CDB" w:rsidRPr="00046DA5">
        <w:t>90s</w:t>
      </w:r>
      <w:r w:rsidR="00790051" w:rsidRPr="00046DA5">
        <w:t>,</w:t>
      </w:r>
      <w:r w:rsidR="00C96CDB" w:rsidRPr="00046DA5">
        <w:t xml:space="preserve"> the large bandwidths used by some services today </w:t>
      </w:r>
      <w:r w:rsidR="00790051" w:rsidRPr="00046DA5">
        <w:t>were not</w:t>
      </w:r>
      <w:r w:rsidR="00C96CDB" w:rsidRPr="00046DA5">
        <w:t xml:space="preserve"> </w:t>
      </w:r>
      <w:r w:rsidR="00022935" w:rsidRPr="00046DA5">
        <w:t xml:space="preserve">a consideration </w:t>
      </w:r>
      <w:r w:rsidR="00C96CDB" w:rsidRPr="00046DA5">
        <w:t>in setting the tax rates</w:t>
      </w:r>
      <w:r w:rsidR="00C53844" w:rsidRPr="00046DA5">
        <w:t xml:space="preserve">. </w:t>
      </w:r>
      <w:r w:rsidR="005F4668" w:rsidRPr="00046DA5">
        <w:t xml:space="preserve">As discussed in the FYSO, </w:t>
      </w:r>
      <w:r w:rsidR="0065120D" w:rsidRPr="00046DA5">
        <w:t>devices that operate in frequencies above 5</w:t>
      </w:r>
      <w:r w:rsidR="00904AD9" w:rsidRPr="00046DA5">
        <w:t xml:space="preserve"> </w:t>
      </w:r>
      <w:r w:rsidR="0065120D" w:rsidRPr="00046DA5">
        <w:t xml:space="preserve">GHz </w:t>
      </w:r>
      <w:r w:rsidR="000571DD" w:rsidRPr="00046DA5">
        <w:t>often require large</w:t>
      </w:r>
      <w:r w:rsidR="003B4844" w:rsidRPr="00046DA5">
        <w:t>r</w:t>
      </w:r>
      <w:r w:rsidR="000571DD" w:rsidRPr="00046DA5">
        <w:t xml:space="preserve"> bandwidth allocations</w:t>
      </w:r>
      <w:r w:rsidR="00CB4540" w:rsidRPr="00046DA5">
        <w:t xml:space="preserve"> than those services below 5</w:t>
      </w:r>
      <w:r w:rsidR="00904AD9" w:rsidRPr="00046DA5">
        <w:t xml:space="preserve"> </w:t>
      </w:r>
      <w:r w:rsidR="00CB4540" w:rsidRPr="00046DA5">
        <w:t>GHz to provide a similar service</w:t>
      </w:r>
      <w:r w:rsidR="000571DD" w:rsidRPr="00046DA5">
        <w:t>.</w:t>
      </w:r>
      <w:r w:rsidR="0065120D" w:rsidRPr="00046DA5">
        <w:t xml:space="preserve"> </w:t>
      </w:r>
      <w:r w:rsidR="000E4F82" w:rsidRPr="00046DA5">
        <w:t xml:space="preserve">Feedback to the draft FYSO 2019–23 included discussion of potential changes to apparatus licence taxes. Several submissions suggested that the ACMA should review spectrum pricing for services—such as satellite services in </w:t>
      </w:r>
      <w:r w:rsidR="000E4F82" w:rsidRPr="00046DA5">
        <w:rPr>
          <w:szCs w:val="20"/>
        </w:rPr>
        <w:t>Ka and Ku bands, scientific licensing for 5G services and scientific purposes</w:t>
      </w:r>
      <w:r w:rsidR="00CF0D06" w:rsidRPr="00046DA5">
        <w:rPr>
          <w:szCs w:val="20"/>
        </w:rPr>
        <w:t>,</w:t>
      </w:r>
      <w:r w:rsidR="000E4F82" w:rsidRPr="00046DA5">
        <w:rPr>
          <w:szCs w:val="20"/>
        </w:rPr>
        <w:t xml:space="preserve"> and for services above 6 GHz </w:t>
      </w:r>
      <w:r w:rsidR="00CF0D06" w:rsidRPr="00046DA5">
        <w:rPr>
          <w:szCs w:val="20"/>
        </w:rPr>
        <w:t xml:space="preserve">that </w:t>
      </w:r>
      <w:r w:rsidR="000E4F82" w:rsidRPr="00046DA5">
        <w:rPr>
          <w:szCs w:val="20"/>
        </w:rPr>
        <w:t xml:space="preserve">require large bandwidths and multiple sites. </w:t>
      </w:r>
    </w:p>
    <w:p w14:paraId="13AF63E1" w14:textId="7A91AEC8" w:rsidR="00C96CDB" w:rsidRPr="00046DA5" w:rsidRDefault="00C96CDB" w:rsidP="00477E8C">
      <w:pPr>
        <w:pStyle w:val="Paragraph"/>
      </w:pPr>
      <w:r w:rsidRPr="00046DA5">
        <w:t>Further</w:t>
      </w:r>
      <w:r w:rsidR="00CF0D06" w:rsidRPr="00046DA5">
        <w:t>,</w:t>
      </w:r>
      <w:r w:rsidRPr="00046DA5">
        <w:t xml:space="preserve"> many of the ACMA’s taxes are determined on a per spectrum access basis</w:t>
      </w:r>
      <w:r w:rsidR="00C53844" w:rsidRPr="00046DA5">
        <w:t xml:space="preserve">. </w:t>
      </w:r>
      <w:r w:rsidRPr="00046DA5">
        <w:t>Therefore</w:t>
      </w:r>
      <w:r w:rsidR="00630028" w:rsidRPr="00046DA5">
        <w:t>,</w:t>
      </w:r>
      <w:r w:rsidRPr="00046DA5">
        <w:t xml:space="preserve"> multiple networked devices </w:t>
      </w:r>
      <w:r w:rsidR="00391E12" w:rsidRPr="00046DA5">
        <w:t>imply</w:t>
      </w:r>
      <w:r w:rsidRPr="00046DA5">
        <w:t xml:space="preserve"> that the amount of taxes </w:t>
      </w:r>
      <w:r w:rsidR="00630028" w:rsidRPr="00046DA5">
        <w:t>may</w:t>
      </w:r>
      <w:r w:rsidRPr="00046DA5">
        <w:t xml:space="preserve"> not be consistent with denial characteristics of the service.</w:t>
      </w:r>
    </w:p>
    <w:p w14:paraId="30E58064" w14:textId="1147945F" w:rsidR="006A1669" w:rsidRPr="00046DA5" w:rsidRDefault="006A1669" w:rsidP="00477E8C">
      <w:pPr>
        <w:pStyle w:val="Paragraph"/>
      </w:pPr>
      <w:r w:rsidRPr="00046DA5">
        <w:t xml:space="preserve">The following are some examples where there are multiple networked devices </w:t>
      </w:r>
      <w:r w:rsidR="00CF0D06" w:rsidRPr="00046DA5">
        <w:t xml:space="preserve">with </w:t>
      </w:r>
      <w:r w:rsidRPr="00046DA5">
        <w:t xml:space="preserve">taxes based on each </w:t>
      </w:r>
      <w:r w:rsidR="00391E12" w:rsidRPr="00046DA5">
        <w:t>device,</w:t>
      </w:r>
      <w:r w:rsidRPr="00046DA5">
        <w:t xml:space="preserve"> but the denial characteristics suggest a review of pricing may be appropriate.</w:t>
      </w:r>
    </w:p>
    <w:p w14:paraId="640A0A9B" w14:textId="62161A4E" w:rsidR="00080981" w:rsidRPr="00046DA5" w:rsidRDefault="003A08FA" w:rsidP="00477E8C">
      <w:pPr>
        <w:pStyle w:val="Paragraph"/>
        <w:spacing w:after="0"/>
        <w:rPr>
          <w:b/>
          <w:i/>
        </w:rPr>
      </w:pPr>
      <w:r w:rsidRPr="00046DA5">
        <w:rPr>
          <w:b/>
          <w:i/>
        </w:rPr>
        <w:t>Example</w:t>
      </w:r>
      <w:r w:rsidR="006A1669" w:rsidRPr="00046DA5">
        <w:rPr>
          <w:b/>
          <w:i/>
        </w:rPr>
        <w:t>s</w:t>
      </w:r>
      <w:r w:rsidRPr="00046DA5">
        <w:rPr>
          <w:b/>
          <w:i/>
        </w:rPr>
        <w:t xml:space="preserve">: </w:t>
      </w:r>
      <w:r w:rsidR="00B97406" w:rsidRPr="00046DA5">
        <w:rPr>
          <w:b/>
          <w:i/>
        </w:rPr>
        <w:t xml:space="preserve">Antenna farm being used for multiple satellite systems all operating on the same frequency range </w:t>
      </w:r>
    </w:p>
    <w:p w14:paraId="19580F2B" w14:textId="0E374750" w:rsidR="00B97406" w:rsidRPr="00046DA5" w:rsidRDefault="00A7517A" w:rsidP="00080981">
      <w:r w:rsidRPr="00046DA5">
        <w:t xml:space="preserve">Earth station operators can provide support </w:t>
      </w:r>
      <w:r w:rsidR="00B52FAD" w:rsidRPr="00046DA5">
        <w:t>to a</w:t>
      </w:r>
      <w:r w:rsidRPr="00046DA5">
        <w:t xml:space="preserve"> number of g</w:t>
      </w:r>
      <w:r w:rsidR="003A08FA" w:rsidRPr="00046DA5">
        <w:t>eostationary orbiting satellites</w:t>
      </w:r>
      <w:r w:rsidRPr="00046DA5">
        <w:t xml:space="preserve"> </w:t>
      </w:r>
      <w:r w:rsidR="00833712" w:rsidRPr="00046DA5">
        <w:t xml:space="preserve">(GSO) </w:t>
      </w:r>
      <w:r w:rsidRPr="00046DA5">
        <w:t>operat</w:t>
      </w:r>
      <w:r w:rsidR="00B52FAD" w:rsidRPr="00046DA5">
        <w:t>ing</w:t>
      </w:r>
      <w:r w:rsidR="003A08FA" w:rsidRPr="00046DA5">
        <w:t xml:space="preserve"> in</w:t>
      </w:r>
      <w:r w:rsidR="00B97406" w:rsidRPr="00046DA5">
        <w:t xml:space="preserve"> different orbital locations </w:t>
      </w:r>
      <w:r w:rsidR="003A08FA" w:rsidRPr="00046DA5">
        <w:t xml:space="preserve">but </w:t>
      </w:r>
      <w:r w:rsidR="00B97406" w:rsidRPr="00046DA5">
        <w:t>on the same frequency range</w:t>
      </w:r>
      <w:r w:rsidR="00C53844" w:rsidRPr="00046DA5">
        <w:t xml:space="preserve">. </w:t>
      </w:r>
      <w:r w:rsidR="003A08FA" w:rsidRPr="00046DA5">
        <w:t>While it remains important that each different orbital location/antenna needs to be licensed (recorded), there are o</w:t>
      </w:r>
      <w:r w:rsidR="00B97406" w:rsidRPr="00046DA5">
        <w:t>nly minor differences in spectrum denial</w:t>
      </w:r>
      <w:r w:rsidR="00C53844" w:rsidRPr="00046DA5">
        <w:t xml:space="preserve">. </w:t>
      </w:r>
      <w:r w:rsidR="003A08FA" w:rsidRPr="00046DA5">
        <w:t>Arguably</w:t>
      </w:r>
      <w:r w:rsidR="00CF0D06" w:rsidRPr="00046DA5">
        <w:t>,</w:t>
      </w:r>
      <w:r w:rsidR="003A08FA" w:rsidRPr="00046DA5">
        <w:t xml:space="preserve"> the co-siting discount is not proportionate to the denial, particularly when owned by the same licensee.</w:t>
      </w:r>
    </w:p>
    <w:p w14:paraId="6137086E" w14:textId="31E91A85" w:rsidR="00B97406" w:rsidRPr="00046DA5" w:rsidRDefault="003A08FA" w:rsidP="00080981">
      <w:r w:rsidRPr="00046DA5">
        <w:t>For non-geostationary s</w:t>
      </w:r>
      <w:r w:rsidR="00080981" w:rsidRPr="00046DA5">
        <w:t xml:space="preserve">atellite </w:t>
      </w:r>
      <w:r w:rsidR="00BA5062" w:rsidRPr="00046DA5">
        <w:t xml:space="preserve">orbit </w:t>
      </w:r>
      <w:r w:rsidR="00833712" w:rsidRPr="00046DA5">
        <w:t xml:space="preserve">(NGSO) </w:t>
      </w:r>
      <w:r w:rsidR="00080981" w:rsidRPr="00046DA5">
        <w:t>system</w:t>
      </w:r>
      <w:r w:rsidR="002E469B" w:rsidRPr="00046DA5">
        <w:t>s</w:t>
      </w:r>
      <w:r w:rsidR="007727DB" w:rsidRPr="00046DA5">
        <w:t>,</w:t>
      </w:r>
      <w:r w:rsidR="00080981" w:rsidRPr="00046DA5">
        <w:t xml:space="preserve"> </w:t>
      </w:r>
      <w:r w:rsidR="002E469B" w:rsidRPr="00046DA5">
        <w:t xml:space="preserve">tracking all satellites in the constellation can require the use of a </w:t>
      </w:r>
      <w:r w:rsidR="00B97406" w:rsidRPr="00046DA5">
        <w:t xml:space="preserve">number of antennas </w:t>
      </w:r>
      <w:r w:rsidR="002E469B" w:rsidRPr="00046DA5">
        <w:t>at any one location</w:t>
      </w:r>
      <w:r w:rsidR="00C53844" w:rsidRPr="00046DA5">
        <w:t xml:space="preserve">. </w:t>
      </w:r>
      <w:r w:rsidR="00241F37" w:rsidRPr="00046DA5">
        <w:t>While typically each antenna will be tracking a different satellite at any one time, t</w:t>
      </w:r>
      <w:r w:rsidR="002E469B" w:rsidRPr="00046DA5">
        <w:t xml:space="preserve">he </w:t>
      </w:r>
      <w:r w:rsidR="00A7517A" w:rsidRPr="00046DA5">
        <w:t xml:space="preserve">overall range of </w:t>
      </w:r>
      <w:r w:rsidR="002E469B" w:rsidRPr="00046DA5">
        <w:t>antenna point</w:t>
      </w:r>
      <w:r w:rsidR="00241F37" w:rsidRPr="00046DA5">
        <w:t xml:space="preserve">ing </w:t>
      </w:r>
      <w:r w:rsidR="002E469B" w:rsidRPr="00046DA5">
        <w:t>angles (azimuth and elevation angles)</w:t>
      </w:r>
      <w:r w:rsidR="00241F37" w:rsidRPr="00046DA5">
        <w:t xml:space="preserve"> and operating </w:t>
      </w:r>
      <w:r w:rsidR="00B97406" w:rsidRPr="00046DA5">
        <w:t>t</w:t>
      </w:r>
      <w:r w:rsidR="00241F37" w:rsidRPr="00046DA5">
        <w:t>he</w:t>
      </w:r>
      <w:r w:rsidR="00CA518D" w:rsidRPr="00046DA5">
        <w:t xml:space="preserve"> </w:t>
      </w:r>
      <w:r w:rsidR="00B97406" w:rsidRPr="00046DA5">
        <w:t xml:space="preserve">frequency range of </w:t>
      </w:r>
      <w:r w:rsidR="00A7517A" w:rsidRPr="00046DA5">
        <w:t>each stations will be within the same envelope required for the overall system</w:t>
      </w:r>
      <w:r w:rsidR="00C53844" w:rsidRPr="00046DA5">
        <w:t xml:space="preserve">. </w:t>
      </w:r>
      <w:r w:rsidR="00A7517A" w:rsidRPr="00046DA5">
        <w:t xml:space="preserve">That is, individual antennas </w:t>
      </w:r>
      <w:r w:rsidR="00080981" w:rsidRPr="00046DA5">
        <w:t xml:space="preserve">do not </w:t>
      </w:r>
      <w:r w:rsidR="00A7517A" w:rsidRPr="00046DA5">
        <w:t xml:space="preserve">significantly </w:t>
      </w:r>
      <w:r w:rsidR="00080981" w:rsidRPr="00046DA5">
        <w:t>add to the spectrum denial</w:t>
      </w:r>
      <w:r w:rsidR="002D6F2A" w:rsidRPr="00046DA5">
        <w:t>.</w:t>
      </w:r>
    </w:p>
    <w:p w14:paraId="3CD47744" w14:textId="4A295593" w:rsidR="00B97406" w:rsidRPr="00046DA5" w:rsidRDefault="00B97406" w:rsidP="00080981">
      <w:r w:rsidRPr="00046DA5">
        <w:t>Earth station operators can provide</w:t>
      </w:r>
      <w:r w:rsidR="004B574A" w:rsidRPr="00046DA5">
        <w:t xml:space="preserve"> support services for a variety of </w:t>
      </w:r>
      <w:r w:rsidR="008A38B3" w:rsidRPr="00046DA5">
        <w:t xml:space="preserve">NGSO </w:t>
      </w:r>
      <w:r w:rsidR="004B574A" w:rsidRPr="00046DA5">
        <w:t xml:space="preserve">satellite networks and </w:t>
      </w:r>
      <w:r w:rsidRPr="00046DA5">
        <w:t xml:space="preserve">launch support services </w:t>
      </w:r>
      <w:r w:rsidR="00080981" w:rsidRPr="00046DA5">
        <w:t>for satellite</w:t>
      </w:r>
      <w:r w:rsidR="004B574A" w:rsidRPr="00046DA5">
        <w:t xml:space="preserve"> networks </w:t>
      </w:r>
      <w:r w:rsidRPr="00046DA5">
        <w:t>using the same frequency</w:t>
      </w:r>
      <w:r w:rsidR="004B574A" w:rsidRPr="00046DA5">
        <w:t xml:space="preserve"> or overlapping frequency ranges</w:t>
      </w:r>
      <w:r w:rsidR="00080981" w:rsidRPr="00046DA5">
        <w:t xml:space="preserve">. </w:t>
      </w:r>
      <w:r w:rsidR="004B574A" w:rsidRPr="00046DA5">
        <w:t xml:space="preserve">While technical compatibility of earth station communications with </w:t>
      </w:r>
      <w:r w:rsidRPr="00046DA5">
        <w:t>each different</w:t>
      </w:r>
      <w:r w:rsidR="008A38B3" w:rsidRPr="00046DA5">
        <w:t xml:space="preserve"> NGO </w:t>
      </w:r>
      <w:r w:rsidR="004B574A" w:rsidRPr="00046DA5">
        <w:t xml:space="preserve">satellite network or </w:t>
      </w:r>
      <w:r w:rsidRPr="00046DA5">
        <w:t>launch vehicle require</w:t>
      </w:r>
      <w:r w:rsidR="004B574A" w:rsidRPr="00046DA5">
        <w:t>s consideration</w:t>
      </w:r>
      <w:r w:rsidR="008A38B3" w:rsidRPr="00046DA5">
        <w:t xml:space="preserve"> to ensure appropriate interference management measures are in place</w:t>
      </w:r>
      <w:r w:rsidR="00CF0D06" w:rsidRPr="00046DA5">
        <w:t>,</w:t>
      </w:r>
      <w:r w:rsidR="008A38B3" w:rsidRPr="00046DA5">
        <w:t xml:space="preserve"> the spectrum denial does not vary greatly</w:t>
      </w:r>
      <w:r w:rsidR="00C53844" w:rsidRPr="00046DA5">
        <w:t xml:space="preserve">. </w:t>
      </w:r>
      <w:r w:rsidR="004E75B6" w:rsidRPr="00046DA5">
        <w:t>T</w:t>
      </w:r>
      <w:r w:rsidR="006A1669" w:rsidRPr="00046DA5">
        <w:t xml:space="preserve">he </w:t>
      </w:r>
      <w:r w:rsidRPr="00046DA5">
        <w:t xml:space="preserve">ACMA </w:t>
      </w:r>
      <w:r w:rsidR="004E75B6" w:rsidRPr="00046DA5">
        <w:t xml:space="preserve">also </w:t>
      </w:r>
      <w:r w:rsidRPr="00046DA5">
        <w:t>requires visibility of all earth station communications</w:t>
      </w:r>
      <w:r w:rsidR="004E75B6" w:rsidRPr="00046DA5">
        <w:t xml:space="preserve"> and requires each satellite network to be identified</w:t>
      </w:r>
      <w:r w:rsidR="00C53844" w:rsidRPr="00046DA5">
        <w:t>.</w:t>
      </w:r>
      <w:r w:rsidR="005D55D2" w:rsidRPr="00046DA5">
        <w:rPr>
          <w:rStyle w:val="FootnoteReference"/>
        </w:rPr>
        <w:footnoteReference w:id="7"/>
      </w:r>
      <w:r w:rsidR="00C53844" w:rsidRPr="00046DA5">
        <w:t xml:space="preserve"> </w:t>
      </w:r>
      <w:r w:rsidR="00080981" w:rsidRPr="00046DA5">
        <w:t xml:space="preserve">However, each </w:t>
      </w:r>
      <w:r w:rsidR="006A1669" w:rsidRPr="00046DA5">
        <w:t xml:space="preserve">additional </w:t>
      </w:r>
      <w:r w:rsidR="00080981" w:rsidRPr="00046DA5">
        <w:t>antenna</w:t>
      </w:r>
      <w:r w:rsidR="006A1669" w:rsidRPr="00046DA5">
        <w:t xml:space="preserve"> does not add to the denial of the original service</w:t>
      </w:r>
      <w:r w:rsidR="00C53844" w:rsidRPr="00046DA5">
        <w:t xml:space="preserve">. </w:t>
      </w:r>
      <w:r w:rsidR="004E75B6" w:rsidRPr="00046DA5">
        <w:t>An example is earth stations operating in S-band (2025</w:t>
      </w:r>
      <w:r w:rsidR="00CF0D06" w:rsidRPr="00046DA5">
        <w:t>–</w:t>
      </w:r>
      <w:r w:rsidR="004E75B6" w:rsidRPr="00046DA5">
        <w:t>2110 MHz and 2200</w:t>
      </w:r>
      <w:r w:rsidR="00CF0D06" w:rsidRPr="00046DA5">
        <w:t>–</w:t>
      </w:r>
      <w:r w:rsidR="004E75B6" w:rsidRPr="00046DA5">
        <w:t>2290</w:t>
      </w:r>
      <w:r w:rsidR="00BA5062" w:rsidRPr="00046DA5">
        <w:t xml:space="preserve"> </w:t>
      </w:r>
      <w:r w:rsidR="004E75B6" w:rsidRPr="00046DA5">
        <w:t>MHz)</w:t>
      </w:r>
      <w:r w:rsidR="00CF0D06" w:rsidRPr="00046DA5">
        <w:t>,</w:t>
      </w:r>
      <w:r w:rsidR="004E75B6" w:rsidRPr="00046DA5">
        <w:t xml:space="preserve"> which is commonly used for launch vehicles and CubeSat support.</w:t>
      </w:r>
      <w:r w:rsidR="007727DB" w:rsidRPr="00046DA5">
        <w:rPr>
          <w:rStyle w:val="FootnoteReference"/>
        </w:rPr>
        <w:footnoteReference w:id="8"/>
      </w:r>
    </w:p>
    <w:p w14:paraId="3FC7FDB4" w14:textId="2EC4CD42" w:rsidR="007E6617" w:rsidRPr="00046DA5" w:rsidRDefault="00370FA8" w:rsidP="00822A31">
      <w:pPr>
        <w:pStyle w:val="Paragraph"/>
      </w:pPr>
      <w:r w:rsidRPr="00046DA5">
        <w:lastRenderedPageBreak/>
        <w:t xml:space="preserve">The ACMA is proposing to review how tax is calculated for licences that authorise the operation of radiocommunications devices in frequencies above 5GHz. </w:t>
      </w:r>
      <w:r w:rsidR="00326551" w:rsidRPr="00046DA5">
        <w:t xml:space="preserve">Consistent with recommendation 8 of the Spectrum Pricing Review </w:t>
      </w:r>
      <w:r w:rsidR="00DB1988" w:rsidRPr="00046DA5">
        <w:t xml:space="preserve">the ACMA </w:t>
      </w:r>
      <w:r w:rsidR="00326551" w:rsidRPr="00046DA5">
        <w:t xml:space="preserve">is proposing to undertake this review using an opportunity cost approach. </w:t>
      </w:r>
      <w:r w:rsidRPr="00046DA5">
        <w:t xml:space="preserve">This focus area is a significant review project by itself, particularly </w:t>
      </w:r>
      <w:r w:rsidR="00CF0D06" w:rsidRPr="00046DA5">
        <w:t>when</w:t>
      </w:r>
      <w:r w:rsidRPr="00046DA5">
        <w:t xml:space="preserve"> considering the other focus areas. Rather than undertaking detailed opportunity cost studies</w:t>
      </w:r>
      <w:r w:rsidR="00CF0D06" w:rsidRPr="00046DA5">
        <w:t>,</w:t>
      </w:r>
      <w:r w:rsidRPr="00046DA5">
        <w:t xml:space="preserve"> the ACMA is interested in fostering a greater understanding of the market information that may expedite the review. </w:t>
      </w:r>
    </w:p>
    <w:p w14:paraId="1212C610" w14:textId="1D9D59B7" w:rsidR="005D1B78" w:rsidRPr="00046DA5" w:rsidRDefault="005D1B78" w:rsidP="00477E8C">
      <w:pPr>
        <w:pStyle w:val="Paragraph"/>
        <w:keepNext/>
        <w:keepLines/>
        <w:shd w:val="clear" w:color="auto" w:fill="F2F2F2" w:themeFill="background1" w:themeFillShade="F2"/>
        <w:spacing w:after="0"/>
        <w:rPr>
          <w:b/>
        </w:rPr>
      </w:pPr>
      <w:r w:rsidRPr="00046DA5">
        <w:rPr>
          <w:b/>
        </w:rPr>
        <w:t xml:space="preserve">Question </w:t>
      </w:r>
      <w:r w:rsidR="00190BB0" w:rsidRPr="00046DA5">
        <w:rPr>
          <w:b/>
        </w:rPr>
        <w:t>6</w:t>
      </w:r>
    </w:p>
    <w:p w14:paraId="17A7180F" w14:textId="6FBA0073" w:rsidR="00904AD9" w:rsidRPr="00046DA5" w:rsidRDefault="00431D98" w:rsidP="00D84884">
      <w:pPr>
        <w:pStyle w:val="Paragraph"/>
        <w:keepNext/>
        <w:keepLines/>
        <w:shd w:val="clear" w:color="auto" w:fill="F2F2F2" w:themeFill="background1" w:themeFillShade="F2"/>
        <w:spacing w:after="80"/>
      </w:pPr>
      <w:r w:rsidRPr="00046DA5">
        <w:t>W</w:t>
      </w:r>
      <w:r w:rsidR="00C45ADC" w:rsidRPr="00046DA5">
        <w:t xml:space="preserve">hat are </w:t>
      </w:r>
      <w:r w:rsidRPr="00046DA5">
        <w:t xml:space="preserve">the </w:t>
      </w:r>
      <w:r w:rsidR="00C45ADC" w:rsidRPr="00046DA5">
        <w:t xml:space="preserve">relevant price points to undertake </w:t>
      </w:r>
      <w:r w:rsidR="00904AD9" w:rsidRPr="00046DA5">
        <w:t>an opportunity cost analysis of taxes for services above 5 GHz</w:t>
      </w:r>
      <w:r w:rsidR="00490EAF" w:rsidRPr="00046DA5">
        <w:t>?</w:t>
      </w:r>
      <w:r w:rsidR="00904AD9" w:rsidRPr="00046DA5">
        <w:t xml:space="preserve"> Examples of relevant information may include:</w:t>
      </w:r>
    </w:p>
    <w:p w14:paraId="0052C1EF" w14:textId="70AAD3D4" w:rsidR="00904AD9" w:rsidRPr="00046DA5" w:rsidRDefault="00904AD9" w:rsidP="00477E8C">
      <w:pPr>
        <w:pStyle w:val="ListBullet"/>
        <w:keepNext/>
        <w:keepLines/>
        <w:shd w:val="clear" w:color="auto" w:fill="F2F2F2" w:themeFill="background1" w:themeFillShade="F2"/>
      </w:pPr>
      <w:r w:rsidRPr="00046DA5">
        <w:t xml:space="preserve">how prices for products and services have changed over time </w:t>
      </w:r>
    </w:p>
    <w:p w14:paraId="01E69012" w14:textId="02F8EFF6" w:rsidR="00904AD9" w:rsidRPr="00046DA5" w:rsidRDefault="00904AD9" w:rsidP="00477E8C">
      <w:pPr>
        <w:pStyle w:val="ListBullet"/>
        <w:shd w:val="clear" w:color="auto" w:fill="F2F2F2" w:themeFill="background1" w:themeFillShade="F2"/>
      </w:pPr>
      <w:r w:rsidRPr="00046DA5">
        <w:t>how prices of radiocommunications equipment ha</w:t>
      </w:r>
      <w:r w:rsidR="00431D98" w:rsidRPr="00046DA5">
        <w:t>ve</w:t>
      </w:r>
      <w:r w:rsidRPr="00046DA5">
        <w:t xml:space="preserve"> changed over time relative to spectrum prices</w:t>
      </w:r>
    </w:p>
    <w:p w14:paraId="0531B665" w14:textId="46E54219" w:rsidR="00904AD9" w:rsidRPr="00046DA5" w:rsidRDefault="00904AD9" w:rsidP="00477E8C">
      <w:pPr>
        <w:pStyle w:val="ListBulletLast"/>
        <w:shd w:val="clear" w:color="auto" w:fill="F2F2F2" w:themeFill="background1" w:themeFillShade="F2"/>
      </w:pPr>
      <w:r w:rsidRPr="00046DA5">
        <w:t>comparisons with international auctions results or administrative spectrum prices.</w:t>
      </w:r>
    </w:p>
    <w:p w14:paraId="76F06CEF" w14:textId="410B49F2" w:rsidR="00490EAF" w:rsidRPr="00046DA5" w:rsidRDefault="00490EAF" w:rsidP="00477E8C">
      <w:pPr>
        <w:pStyle w:val="Heading3"/>
        <w:keepLines/>
        <w:shd w:val="clear" w:color="auto" w:fill="F2F2F2" w:themeFill="background1" w:themeFillShade="F2"/>
      </w:pPr>
      <w:r w:rsidRPr="00046DA5">
        <w:t xml:space="preserve">Question </w:t>
      </w:r>
      <w:r w:rsidR="00190BB0" w:rsidRPr="00046DA5">
        <w:t>7</w:t>
      </w:r>
    </w:p>
    <w:p w14:paraId="7815A123" w14:textId="2A2044F8" w:rsidR="00CB4540" w:rsidRPr="00046DA5" w:rsidRDefault="00431D98" w:rsidP="00477E8C">
      <w:pPr>
        <w:pStyle w:val="Paragraph"/>
        <w:keepNext/>
        <w:keepLines/>
        <w:shd w:val="clear" w:color="auto" w:fill="F2F2F2" w:themeFill="background1" w:themeFillShade="F2"/>
      </w:pPr>
      <w:r w:rsidRPr="00046DA5">
        <w:t>H</w:t>
      </w:r>
      <w:r w:rsidR="00CB4540" w:rsidRPr="00046DA5">
        <w:t xml:space="preserve">ow </w:t>
      </w:r>
      <w:r w:rsidRPr="00046DA5">
        <w:t xml:space="preserve">can </w:t>
      </w:r>
      <w:r w:rsidR="00CB4540" w:rsidRPr="00046DA5">
        <w:t>taxes be designed to account for multiple devices</w:t>
      </w:r>
      <w:r w:rsidRPr="00046DA5">
        <w:t xml:space="preserve">? </w:t>
      </w:r>
      <w:r w:rsidR="00CB4540" w:rsidRPr="00046DA5">
        <w:t xml:space="preserve">Under what circumstances do stakeholders believe that one tax should relate to many devices and/or there should be </w:t>
      </w:r>
      <w:r w:rsidRPr="00046DA5">
        <w:t>‘</w:t>
      </w:r>
      <w:r w:rsidR="00CB4540" w:rsidRPr="00046DA5">
        <w:t>discounts</w:t>
      </w:r>
      <w:r w:rsidR="00784FDE" w:rsidRPr="00046DA5">
        <w:t>’</w:t>
      </w:r>
      <w:r w:rsidR="00CB4540" w:rsidRPr="00046DA5">
        <w:t xml:space="preserve"> for multiple devices </w:t>
      </w:r>
      <w:r w:rsidR="00784FDE" w:rsidRPr="00046DA5">
        <w:t xml:space="preserve">authorised </w:t>
      </w:r>
      <w:r w:rsidR="00CB4540" w:rsidRPr="00046DA5">
        <w:t>under the one licence?</w:t>
      </w:r>
    </w:p>
    <w:p w14:paraId="27DAADEE" w14:textId="3302B9E2" w:rsidR="00C96CDB" w:rsidRPr="00046DA5" w:rsidRDefault="00C96CDB" w:rsidP="00046DA5">
      <w:pPr>
        <w:pStyle w:val="Heading2"/>
        <w:pageBreakBefore/>
      </w:pPr>
      <w:bookmarkStart w:id="40" w:name="_Toc33758207"/>
      <w:r w:rsidRPr="00046DA5">
        <w:lastRenderedPageBreak/>
        <w:t xml:space="preserve">Focus </w:t>
      </w:r>
      <w:r w:rsidR="00784FDE" w:rsidRPr="00046DA5">
        <w:t>a</w:t>
      </w:r>
      <w:r w:rsidRPr="00046DA5">
        <w:t xml:space="preserve">rea </w:t>
      </w:r>
      <w:r w:rsidR="0017116F" w:rsidRPr="00046DA5">
        <w:t>2</w:t>
      </w:r>
      <w:r w:rsidRPr="00046DA5">
        <w:t>: Sharing and low interference</w:t>
      </w:r>
      <w:r w:rsidR="00615307" w:rsidRPr="00046DA5">
        <w:t xml:space="preserve"> potential devices</w:t>
      </w:r>
      <w:bookmarkEnd w:id="40"/>
    </w:p>
    <w:p w14:paraId="10E291A7" w14:textId="6B26BC12" w:rsidR="00AC14C8" w:rsidRPr="00046DA5" w:rsidRDefault="00C96CDB" w:rsidP="00477E8C">
      <w:pPr>
        <w:pStyle w:val="Paragraph"/>
      </w:pPr>
      <w:r w:rsidRPr="00046DA5">
        <w:t>The ACMA acknowledges that technology developments are providing greater opportunities for sharing of spectrum and low interference potential devices</w:t>
      </w:r>
      <w:r w:rsidR="00C53844" w:rsidRPr="00046DA5">
        <w:t xml:space="preserve">. </w:t>
      </w:r>
      <w:r w:rsidRPr="00046DA5">
        <w:t xml:space="preserve">For example, the 400 MHz </w:t>
      </w:r>
      <w:r w:rsidR="002D6F2A" w:rsidRPr="00046DA5">
        <w:t>opportunity cost</w:t>
      </w:r>
      <w:r w:rsidRPr="00046DA5">
        <w:t xml:space="preserve"> initiatives highlighted industry’s greater use of low power </w:t>
      </w:r>
      <w:r w:rsidR="00362B1E" w:rsidRPr="00046DA5">
        <w:t>transmitters</w:t>
      </w:r>
      <w:r w:rsidR="00C53844" w:rsidRPr="00046DA5">
        <w:t xml:space="preserve">. </w:t>
      </w:r>
    </w:p>
    <w:p w14:paraId="7ECF43BC" w14:textId="021015A0" w:rsidR="00C96CDB" w:rsidRPr="00046DA5" w:rsidRDefault="00C96CDB" w:rsidP="00477E8C">
      <w:pPr>
        <w:pStyle w:val="Paragraph"/>
      </w:pPr>
      <w:r w:rsidRPr="00046DA5">
        <w:t xml:space="preserve">The recent move </w:t>
      </w:r>
      <w:r w:rsidR="00AC14C8" w:rsidRPr="00046DA5">
        <w:t xml:space="preserve">from apparatus licensing </w:t>
      </w:r>
      <w:r w:rsidRPr="00046DA5">
        <w:t xml:space="preserve">to class licensing of body scanners at airports highlights that very low interference potential devices may at times </w:t>
      </w:r>
      <w:r w:rsidR="00784FDE" w:rsidRPr="00046DA5">
        <w:t xml:space="preserve">be </w:t>
      </w:r>
      <w:r w:rsidRPr="00046DA5">
        <w:t>apparatus licensed</w:t>
      </w:r>
      <w:r w:rsidR="00C53844" w:rsidRPr="00046DA5">
        <w:t xml:space="preserve">. </w:t>
      </w:r>
      <w:r w:rsidR="00A9739F" w:rsidRPr="00046DA5">
        <w:t>The ACMA is also aware of other initiatives</w:t>
      </w:r>
      <w:r w:rsidR="00784FDE" w:rsidRPr="00046DA5">
        <w:t>,</w:t>
      </w:r>
      <w:r w:rsidR="00A9739F" w:rsidRPr="00046DA5">
        <w:t xml:space="preserve"> such as the use of GPS repeaters in tunnels</w:t>
      </w:r>
      <w:r w:rsidR="00FE6DC5" w:rsidRPr="00046DA5">
        <w:t xml:space="preserve"> and some IoT initiatives</w:t>
      </w:r>
      <w:r w:rsidR="00A9739F" w:rsidRPr="00046DA5">
        <w:t>, where the spectrum denial</w:t>
      </w:r>
      <w:r w:rsidR="00AC14C8" w:rsidRPr="00046DA5">
        <w:t xml:space="preserve"> of the proposed deployment is likely to be minimal</w:t>
      </w:r>
      <w:r w:rsidR="00C53844" w:rsidRPr="00046DA5">
        <w:t xml:space="preserve">. </w:t>
      </w:r>
    </w:p>
    <w:p w14:paraId="0763CBA7" w14:textId="096F3BE0" w:rsidR="00CC0BE9" w:rsidRPr="00046DA5" w:rsidRDefault="00CC0BE9" w:rsidP="00582396">
      <w:pPr>
        <w:pStyle w:val="Paragraph"/>
        <w:spacing w:after="120"/>
      </w:pPr>
      <w:r w:rsidRPr="00046DA5">
        <w:t>The ACMA promotes greater sharing through a mix of planning, licensing and pricing arrangements. The ACMA provides an explicit incentive</w:t>
      </w:r>
      <w:r w:rsidR="002D6F2A" w:rsidRPr="00046DA5">
        <w:t xml:space="preserve"> within the tax formula</w:t>
      </w:r>
      <w:r w:rsidRPr="00046DA5">
        <w:t xml:space="preserve"> to reduce the power transmitted</w:t>
      </w:r>
      <w:r w:rsidR="00784FDE" w:rsidRPr="00046DA5">
        <w:t>;</w:t>
      </w:r>
      <w:r w:rsidR="00A7436C" w:rsidRPr="00046DA5">
        <w:t xml:space="preserve"> colloquially called the </w:t>
      </w:r>
      <w:r w:rsidR="00784FDE" w:rsidRPr="00046DA5">
        <w:t>‘</w:t>
      </w:r>
      <w:r w:rsidR="00A7436C" w:rsidRPr="00046DA5">
        <w:t>low power discount</w:t>
      </w:r>
      <w:r w:rsidR="00784FDE" w:rsidRPr="00046DA5">
        <w:t>’</w:t>
      </w:r>
      <w:r w:rsidR="00A7436C" w:rsidRPr="00046DA5">
        <w:t xml:space="preserve">. </w:t>
      </w:r>
      <w:r w:rsidRPr="00046DA5">
        <w:t>As noted in the Apparatus Licence Fee Schedule:</w:t>
      </w:r>
    </w:p>
    <w:p w14:paraId="303BA788" w14:textId="64AA4771" w:rsidR="00CC0BE9" w:rsidRPr="00046DA5" w:rsidRDefault="00CC0BE9" w:rsidP="00CC0BE9">
      <w:pPr>
        <w:ind w:left="284"/>
        <w:rPr>
          <w:rFonts w:cs="Arial"/>
          <w:sz w:val="18"/>
          <w:szCs w:val="18"/>
        </w:rPr>
      </w:pPr>
      <w:r w:rsidRPr="00046DA5">
        <w:rPr>
          <w:rFonts w:cs="Arial"/>
          <w:sz w:val="18"/>
          <w:szCs w:val="18"/>
        </w:rPr>
        <w:t>The power factor allows a reduced tax for low-power spectrum accesses, which deny spectrum to other users over a small area. Spectrum accesses that are not low power have a power factor of one.</w:t>
      </w:r>
    </w:p>
    <w:p w14:paraId="7B96DD40" w14:textId="289D787C" w:rsidR="00CC0BE9" w:rsidRPr="00046DA5" w:rsidRDefault="00CC0BE9" w:rsidP="00CC0BE9">
      <w:pPr>
        <w:ind w:left="284"/>
        <w:rPr>
          <w:sz w:val="18"/>
          <w:szCs w:val="18"/>
        </w:rPr>
      </w:pPr>
      <w:r w:rsidRPr="00046DA5">
        <w:rPr>
          <w:sz w:val="18"/>
          <w:szCs w:val="18"/>
        </w:rPr>
        <w:t xml:space="preserve">Low-power spectrum accesses permit the operation of one or more devices, each with a radiated power level of 8.3 watts </w:t>
      </w:r>
      <w:r w:rsidR="00EC0FD1" w:rsidRPr="00046DA5">
        <w:rPr>
          <w:sz w:val="18"/>
          <w:szCs w:val="18"/>
        </w:rPr>
        <w:t>E</w:t>
      </w:r>
      <w:r w:rsidR="00EC0FD1" w:rsidRPr="00046DA5">
        <w:rPr>
          <w:rFonts w:cs="Arial"/>
          <w:color w:val="222222"/>
          <w:sz w:val="18"/>
          <w:szCs w:val="18"/>
          <w:shd w:val="clear" w:color="auto" w:fill="FFFFFF"/>
        </w:rPr>
        <w:t>quivalent Isotropically Radiated Powe</w:t>
      </w:r>
      <w:r w:rsidR="002D71E0" w:rsidRPr="00046DA5">
        <w:rPr>
          <w:rFonts w:cs="Arial"/>
          <w:color w:val="222222"/>
          <w:sz w:val="18"/>
          <w:szCs w:val="18"/>
          <w:shd w:val="clear" w:color="auto" w:fill="FFFFFF"/>
        </w:rPr>
        <w:t>r</w:t>
      </w:r>
      <w:r w:rsidR="00EC0FD1" w:rsidRPr="00046DA5">
        <w:rPr>
          <w:rFonts w:cs="Arial"/>
          <w:color w:val="222222"/>
          <w:sz w:val="18"/>
          <w:szCs w:val="18"/>
          <w:shd w:val="clear" w:color="auto" w:fill="FFFFFF"/>
        </w:rPr>
        <w:t xml:space="preserve"> (</w:t>
      </w:r>
      <w:r w:rsidRPr="00046DA5">
        <w:rPr>
          <w:sz w:val="18"/>
          <w:szCs w:val="18"/>
        </w:rPr>
        <w:t>EIRP</w:t>
      </w:r>
      <w:r w:rsidR="00EC0FD1" w:rsidRPr="00046DA5">
        <w:rPr>
          <w:sz w:val="18"/>
          <w:szCs w:val="18"/>
        </w:rPr>
        <w:t>)</w:t>
      </w:r>
      <w:r w:rsidRPr="00046DA5">
        <w:rPr>
          <w:sz w:val="18"/>
          <w:szCs w:val="18"/>
        </w:rPr>
        <w:t xml:space="preserve"> or less, and designed for operation within a radius of two kilometres.</w:t>
      </w:r>
      <w:r w:rsidRPr="00046DA5">
        <w:rPr>
          <w:sz w:val="18"/>
          <w:szCs w:val="18"/>
          <w:vertAlign w:val="superscript"/>
        </w:rPr>
        <w:footnoteReference w:id="9"/>
      </w:r>
      <w:r w:rsidRPr="00046DA5">
        <w:rPr>
          <w:sz w:val="18"/>
          <w:szCs w:val="18"/>
        </w:rPr>
        <w:t xml:space="preserve"> These types of services pay one-tenth of the annual tax that would otherwise apply (subject to the minimum tax of $41.17).</w:t>
      </w:r>
    </w:p>
    <w:p w14:paraId="65B2E013" w14:textId="3C23F4FB" w:rsidR="00CC0BE9" w:rsidRPr="00046DA5" w:rsidRDefault="00CC0BE9" w:rsidP="00CC0BE9">
      <w:pPr>
        <w:ind w:left="284"/>
        <w:rPr>
          <w:rFonts w:cs="Arial"/>
          <w:sz w:val="18"/>
          <w:szCs w:val="18"/>
        </w:rPr>
      </w:pPr>
      <w:r w:rsidRPr="00046DA5">
        <w:rPr>
          <w:rFonts w:cs="Arial"/>
          <w:sz w:val="18"/>
          <w:szCs w:val="18"/>
        </w:rPr>
        <w:t>The low-power factor does not apply to point-to-point, point-to-multipoint above 960 MHz, point-to-multipoint system, television outside broadcast, or licences that attract a fixed fee. For these licensing options, there is weak correlation between the power level and the area over which spectrum is denied to other users.</w:t>
      </w:r>
    </w:p>
    <w:p w14:paraId="4DCF014F" w14:textId="5AE74A66" w:rsidR="004E05DC" w:rsidRPr="00046DA5" w:rsidRDefault="004C6412" w:rsidP="004C6412">
      <w:r w:rsidRPr="00046DA5">
        <w:t>In submission</w:t>
      </w:r>
      <w:r w:rsidR="000E5531" w:rsidRPr="00046DA5">
        <w:t>s</w:t>
      </w:r>
      <w:r w:rsidRPr="00046DA5">
        <w:t xml:space="preserve"> to the </w:t>
      </w:r>
      <w:r w:rsidR="005C6F0F" w:rsidRPr="00046DA5">
        <w:t>consultation process concerning l</w:t>
      </w:r>
      <w:r w:rsidRPr="00046DA5">
        <w:t xml:space="preserve">and </w:t>
      </w:r>
      <w:r w:rsidR="005C6F0F" w:rsidRPr="00046DA5">
        <w:t>m</w:t>
      </w:r>
      <w:r w:rsidRPr="00046DA5">
        <w:t xml:space="preserve">obile </w:t>
      </w:r>
      <w:r w:rsidR="005C6F0F" w:rsidRPr="00046DA5">
        <w:t>s</w:t>
      </w:r>
      <w:r w:rsidRPr="00046DA5">
        <w:t xml:space="preserve">ervices </w:t>
      </w:r>
      <w:r w:rsidR="005C6F0F" w:rsidRPr="00046DA5">
        <w:t>and n</w:t>
      </w:r>
      <w:r w:rsidRPr="00046DA5">
        <w:t xml:space="preserve">ew small service area models, </w:t>
      </w:r>
      <w:r w:rsidR="004E05DC" w:rsidRPr="00046DA5">
        <w:t xml:space="preserve">the ACMA received feedback from several stakeholders that </w:t>
      </w:r>
      <w:r w:rsidR="005C6F0F" w:rsidRPr="00046DA5">
        <w:t>it</w:t>
      </w:r>
      <w:r w:rsidR="004E05DC" w:rsidRPr="00046DA5">
        <w:t xml:space="preserve"> should consider introducing pricing for these models that reflects the small spectrum denial areas.</w:t>
      </w:r>
      <w:r w:rsidR="005C6F0F" w:rsidRPr="00046DA5">
        <w:rPr>
          <w:rStyle w:val="FootnoteReference"/>
        </w:rPr>
        <w:footnoteReference w:id="10"/>
      </w:r>
      <w:r w:rsidR="004E05DC" w:rsidRPr="00046DA5">
        <w:t xml:space="preserve"> </w:t>
      </w:r>
      <w:r w:rsidR="005C6F0F" w:rsidRPr="00046DA5">
        <w:t>It was suggested that t</w:t>
      </w:r>
      <w:r w:rsidR="004E05DC" w:rsidRPr="00046DA5">
        <w:t>hese price reductions would create an incentive for existing users in certain situations to move and operate within the constraints of these small area models</w:t>
      </w:r>
      <w:r w:rsidR="00784FDE" w:rsidRPr="00046DA5">
        <w:t>,</w:t>
      </w:r>
      <w:r w:rsidR="004E05DC" w:rsidRPr="00046DA5">
        <w:t xml:space="preserve"> making available more spectrum in the congested CBD areas.</w:t>
      </w:r>
    </w:p>
    <w:p w14:paraId="77E8AAD6" w14:textId="6FEC1927" w:rsidR="00F05B33" w:rsidRPr="00046DA5" w:rsidRDefault="001A2CA7" w:rsidP="00477E8C">
      <w:pPr>
        <w:pStyle w:val="Paragraph"/>
      </w:pPr>
      <w:r w:rsidRPr="00046DA5">
        <w:t xml:space="preserve">Commercial broadcasting taxes </w:t>
      </w:r>
      <w:r w:rsidR="00784FDE" w:rsidRPr="00046DA5">
        <w:t xml:space="preserve">are </w:t>
      </w:r>
      <w:r w:rsidR="002A1DD2" w:rsidRPr="00046DA5">
        <w:t xml:space="preserve">an example where there are </w:t>
      </w:r>
      <w:r w:rsidR="00784FDE" w:rsidRPr="00046DA5">
        <w:t xml:space="preserve">a </w:t>
      </w:r>
      <w:r w:rsidR="002A1DD2" w:rsidRPr="00046DA5">
        <w:t>variety of factors applied</w:t>
      </w:r>
      <w:r w:rsidRPr="00046DA5">
        <w:t xml:space="preserve"> </w:t>
      </w:r>
      <w:r w:rsidR="002A1DD2" w:rsidRPr="00046DA5">
        <w:t xml:space="preserve">to provide a more granular approach to low power discounts. The level of maximum power will determine whether the transmitter is considered high, medium or low power. </w:t>
      </w:r>
      <w:r w:rsidR="00475CC8" w:rsidRPr="00046DA5">
        <w:t>The maximum power factor varies depending on the spectrum band in which the transmitter is operating</w:t>
      </w:r>
      <w:r w:rsidR="00784FDE" w:rsidRPr="00046DA5">
        <w:t>,</w:t>
      </w:r>
      <w:r w:rsidR="00475CC8" w:rsidRPr="00046DA5">
        <w:t xml:space="preserve"> with different factors for AM, FM, UHF and VHF services. More information about </w:t>
      </w:r>
      <w:r w:rsidR="00F05B33" w:rsidRPr="00046DA5">
        <w:t>the commercial broadcasting tax approach can be found in Appendix C.</w:t>
      </w:r>
    </w:p>
    <w:p w14:paraId="3F22ADF1" w14:textId="3F0C1346" w:rsidR="00E9273C" w:rsidRPr="00046DA5" w:rsidRDefault="00E9273C" w:rsidP="00477E8C">
      <w:pPr>
        <w:pStyle w:val="Heading3"/>
        <w:keepLines/>
        <w:shd w:val="clear" w:color="auto" w:fill="F2F2F2" w:themeFill="background1" w:themeFillShade="F2"/>
      </w:pPr>
      <w:r w:rsidRPr="00046DA5">
        <w:lastRenderedPageBreak/>
        <w:t xml:space="preserve">Question </w:t>
      </w:r>
      <w:r w:rsidR="00190BB0" w:rsidRPr="00046DA5">
        <w:t>8</w:t>
      </w:r>
    </w:p>
    <w:p w14:paraId="35F3E9FA" w14:textId="1BC83FE6" w:rsidR="00E9273C" w:rsidRPr="00046DA5" w:rsidRDefault="00A1495F" w:rsidP="00477E8C">
      <w:pPr>
        <w:pStyle w:val="Paragraph"/>
        <w:shd w:val="clear" w:color="auto" w:fill="F2F2F2" w:themeFill="background1" w:themeFillShade="F2"/>
        <w:spacing w:after="80"/>
      </w:pPr>
      <w:r w:rsidRPr="00046DA5">
        <w:t>While t</w:t>
      </w:r>
      <w:r w:rsidR="00E9273C" w:rsidRPr="00046DA5">
        <w:t xml:space="preserve">he current low power discount provides for a significant reduction in taxes of </w:t>
      </w:r>
      <w:r w:rsidR="008E5BE3" w:rsidRPr="00046DA5">
        <w:t>90 </w:t>
      </w:r>
      <w:r w:rsidR="00E9273C" w:rsidRPr="00046DA5">
        <w:t xml:space="preserve">per </w:t>
      </w:r>
      <w:r w:rsidR="00391E12" w:rsidRPr="00046DA5">
        <w:t>cent, the</w:t>
      </w:r>
      <w:r w:rsidR="00E9273C" w:rsidRPr="00046DA5">
        <w:t xml:space="preserve"> ACMA is interested in considering further incentives to promote the greater sharing of spectrum.</w:t>
      </w:r>
    </w:p>
    <w:p w14:paraId="53BEB65F" w14:textId="4E7F5F21" w:rsidR="00CC0D7D" w:rsidRPr="00046DA5" w:rsidRDefault="00E9273C" w:rsidP="00477E8C">
      <w:pPr>
        <w:pStyle w:val="Paragraph"/>
        <w:shd w:val="clear" w:color="auto" w:fill="F2F2F2" w:themeFill="background1" w:themeFillShade="F2"/>
        <w:spacing w:after="80"/>
      </w:pPr>
      <w:r w:rsidRPr="00046DA5">
        <w:t xml:space="preserve">Do the lower potential denial areas </w:t>
      </w:r>
      <w:r w:rsidR="00CC0D7D" w:rsidRPr="00046DA5">
        <w:t xml:space="preserve">of different services </w:t>
      </w:r>
      <w:r w:rsidRPr="00046DA5">
        <w:t>provide a case for considering different</w:t>
      </w:r>
      <w:r w:rsidR="00CC0D7D" w:rsidRPr="00046DA5">
        <w:t xml:space="preserve"> or </w:t>
      </w:r>
      <w:r w:rsidR="001C5FF8" w:rsidRPr="00046DA5">
        <w:t>additional</w:t>
      </w:r>
      <w:r w:rsidRPr="00046DA5">
        <w:t xml:space="preserve"> low power discount</w:t>
      </w:r>
      <w:r w:rsidR="00F12673" w:rsidRPr="00046DA5">
        <w:t>s</w:t>
      </w:r>
      <w:r w:rsidRPr="00046DA5">
        <w:t xml:space="preserve">? In responding, please </w:t>
      </w:r>
      <w:r w:rsidR="00E85210" w:rsidRPr="00046DA5">
        <w:t>provide:</w:t>
      </w:r>
    </w:p>
    <w:p w14:paraId="11BF2C2A" w14:textId="7F5296FD" w:rsidR="00E85210" w:rsidRPr="00046DA5" w:rsidRDefault="00E85210" w:rsidP="00477E8C">
      <w:pPr>
        <w:pStyle w:val="ListBullet"/>
        <w:shd w:val="clear" w:color="auto" w:fill="F2F2F2" w:themeFill="background1" w:themeFillShade="F2"/>
      </w:pPr>
      <w:r w:rsidRPr="00046DA5">
        <w:t xml:space="preserve">examples of these services and the denial characteristics of these services </w:t>
      </w:r>
    </w:p>
    <w:p w14:paraId="6D116646" w14:textId="41566EA0" w:rsidR="00E85210" w:rsidRPr="00046DA5" w:rsidRDefault="00E85210" w:rsidP="00477E8C">
      <w:pPr>
        <w:pStyle w:val="ListBullet"/>
        <w:shd w:val="clear" w:color="auto" w:fill="F2F2F2" w:themeFill="background1" w:themeFillShade="F2"/>
      </w:pPr>
      <w:r w:rsidRPr="00046DA5">
        <w:t>the information that may be required for the ACMA to be able to apply a discount</w:t>
      </w:r>
    </w:p>
    <w:p w14:paraId="5B03FAD1" w14:textId="0FADACC2" w:rsidR="00E9273C" w:rsidRPr="00046DA5" w:rsidRDefault="00E85210" w:rsidP="00477E8C">
      <w:pPr>
        <w:pStyle w:val="ListBulletLast"/>
        <w:shd w:val="clear" w:color="auto" w:fill="F2F2F2" w:themeFill="background1" w:themeFillShade="F2"/>
      </w:pPr>
      <w:r w:rsidRPr="00046DA5">
        <w:t xml:space="preserve">views on </w:t>
      </w:r>
      <w:r w:rsidR="00E9273C" w:rsidRPr="00046DA5">
        <w:t>whether such approach</w:t>
      </w:r>
      <w:r w:rsidR="00CC0D7D" w:rsidRPr="00046DA5">
        <w:t>es</w:t>
      </w:r>
      <w:r w:rsidR="00E9273C" w:rsidRPr="00046DA5">
        <w:t xml:space="preserve"> can be applied across different licence types and bands. </w:t>
      </w:r>
    </w:p>
    <w:p w14:paraId="0C9152CC" w14:textId="4CB8087D" w:rsidR="0017116F" w:rsidRPr="00046DA5" w:rsidRDefault="0017116F" w:rsidP="00046DA5">
      <w:pPr>
        <w:pStyle w:val="Heading2"/>
        <w:pageBreakBefore/>
      </w:pPr>
      <w:bookmarkStart w:id="41" w:name="_Toc33758208"/>
      <w:r w:rsidRPr="00046DA5">
        <w:lastRenderedPageBreak/>
        <w:t xml:space="preserve">Focus </w:t>
      </w:r>
      <w:r w:rsidR="008E5BE3" w:rsidRPr="00046DA5">
        <w:t>a</w:t>
      </w:r>
      <w:r w:rsidRPr="00046DA5">
        <w:t>rea 3: Defined approach to considering changes in taxes and opportunity cost pricing</w:t>
      </w:r>
      <w:bookmarkEnd w:id="41"/>
    </w:p>
    <w:p w14:paraId="75F6360E" w14:textId="77777777" w:rsidR="009D5BEC" w:rsidRPr="00046DA5" w:rsidRDefault="009D5BEC" w:rsidP="00477E8C">
      <w:pPr>
        <w:pStyle w:val="Paragraph"/>
      </w:pPr>
      <w:r w:rsidRPr="00046DA5">
        <w:t>The ACMA has typically changed existing tax rates to keep taxes contemporary by adjusting the taxes for inflation or to reflect changes in the value of spectrum by undertaking an opportunity cost analysis.</w:t>
      </w:r>
    </w:p>
    <w:p w14:paraId="57F3DD70" w14:textId="1207F6EE" w:rsidR="00343B94" w:rsidRPr="00046DA5" w:rsidRDefault="006908B0" w:rsidP="0017116F">
      <w:r w:rsidRPr="00046DA5">
        <w:t>In simple terms</w:t>
      </w:r>
      <w:r w:rsidR="008E5BE3" w:rsidRPr="00046DA5">
        <w:t>,</w:t>
      </w:r>
      <w:r w:rsidRPr="00046DA5">
        <w:t xml:space="preserve"> opportunity cost pricing is about attempting to mimic the market price licensee</w:t>
      </w:r>
      <w:r w:rsidR="002E341E" w:rsidRPr="00046DA5">
        <w:t>s</w:t>
      </w:r>
      <w:r w:rsidRPr="00046DA5">
        <w:t xml:space="preserve"> would be prepared to pay</w:t>
      </w:r>
      <w:r w:rsidR="003917D3" w:rsidRPr="00046DA5">
        <w:t xml:space="preserve"> for spectrum</w:t>
      </w:r>
      <w:r w:rsidR="002C1A80" w:rsidRPr="00046DA5">
        <w:t xml:space="preserve">. </w:t>
      </w:r>
      <w:r w:rsidRPr="00046DA5">
        <w:t xml:space="preserve">There are </w:t>
      </w:r>
      <w:r w:rsidR="002D2A55" w:rsidRPr="00046DA5">
        <w:t>several</w:t>
      </w:r>
      <w:r w:rsidRPr="00046DA5">
        <w:t xml:space="preserve"> ways that the opportunity cost price can be calculated</w:t>
      </w:r>
      <w:r w:rsidR="002C1A80" w:rsidRPr="00046DA5">
        <w:t xml:space="preserve">. </w:t>
      </w:r>
      <w:r w:rsidR="00343B94" w:rsidRPr="00046DA5">
        <w:t xml:space="preserve">A short summary of the ACMA’s previous opportunity cost pricing initiatives </w:t>
      </w:r>
      <w:r w:rsidR="00A72419" w:rsidRPr="00046DA5">
        <w:t xml:space="preserve">and </w:t>
      </w:r>
      <w:r w:rsidR="00DC2AFB" w:rsidRPr="00046DA5">
        <w:t>a</w:t>
      </w:r>
      <w:r w:rsidR="00A72419" w:rsidRPr="00046DA5">
        <w:t xml:space="preserve"> description of some of the methods of calculating opportunity cost </w:t>
      </w:r>
      <w:r w:rsidR="00343B94" w:rsidRPr="00046DA5">
        <w:t>can be found at Appendix D.</w:t>
      </w:r>
    </w:p>
    <w:p w14:paraId="4520E300" w14:textId="009ACAFB" w:rsidR="00767F98" w:rsidRPr="00046DA5" w:rsidRDefault="00767F98" w:rsidP="0088208C">
      <w:pPr>
        <w:spacing w:after="120"/>
      </w:pPr>
      <w:r w:rsidRPr="00046DA5">
        <w:t>There are two facets to undertaking opportunity cost initiatives, namely identifying the need to consider a change in a price and undertaking the analysis itself.</w:t>
      </w:r>
      <w:r w:rsidR="004D64B5" w:rsidRPr="00046DA5">
        <w:t xml:space="preserve"> </w:t>
      </w:r>
      <w:r w:rsidR="00A72419" w:rsidRPr="00046DA5">
        <w:t>Recommendation 8 of the Spectrum Pricing Review states:</w:t>
      </w:r>
    </w:p>
    <w:p w14:paraId="6FD27BDB" w14:textId="77777777" w:rsidR="00A72419" w:rsidRPr="00046DA5" w:rsidRDefault="00A72419" w:rsidP="0088208C">
      <w:pPr>
        <w:spacing w:after="200" w:line="240" w:lineRule="auto"/>
        <w:ind w:left="284" w:right="867"/>
        <w:rPr>
          <w:bCs/>
          <w:sz w:val="18"/>
          <w:szCs w:val="18"/>
        </w:rPr>
      </w:pPr>
      <w:r w:rsidRPr="00046DA5">
        <w:rPr>
          <w:bCs/>
          <w:sz w:val="18"/>
          <w:szCs w:val="18"/>
        </w:rPr>
        <w:t>The ACMA should apply opportunity cost pricing to a greater number of spectrum bands, especially where it is impractical to competitively allocate spectrum. This work should be identified in the ACMA’s annual work program. The ACMA should consider more time effective approaches to implement these, and review fees as market conditions change over time.</w:t>
      </w:r>
    </w:p>
    <w:p w14:paraId="77A3EAE1" w14:textId="67F90E1C" w:rsidR="0066656A" w:rsidRPr="00046DA5" w:rsidRDefault="0066656A" w:rsidP="0017116F">
      <w:r w:rsidRPr="00046DA5">
        <w:t>Focus area 1 is seeking information from industry about the market information that may expedite a review of apparatus licence taxes for services above 5 GHz.</w:t>
      </w:r>
    </w:p>
    <w:p w14:paraId="3E220578" w14:textId="661A317A" w:rsidR="0017116F" w:rsidRPr="00046DA5" w:rsidRDefault="0017116F" w:rsidP="00477E8C">
      <w:pPr>
        <w:pStyle w:val="Paragraphbeforelist"/>
      </w:pPr>
      <w:r w:rsidRPr="00046DA5">
        <w:t xml:space="preserve">In reviewing pricing arrangements, particularly where it is expected that prices may </w:t>
      </w:r>
      <w:r w:rsidR="00343B94" w:rsidRPr="00046DA5">
        <w:t>change</w:t>
      </w:r>
      <w:r w:rsidRPr="00046DA5">
        <w:t>, the ACMA sees benefit in developing an approach to engaging with industry. The ACMA proposes to:</w:t>
      </w:r>
    </w:p>
    <w:p w14:paraId="3A38B0A0" w14:textId="0163D68F" w:rsidR="0017116F" w:rsidRPr="00046DA5" w:rsidRDefault="0017116F" w:rsidP="0017116F">
      <w:pPr>
        <w:pStyle w:val="ListBullet"/>
      </w:pPr>
      <w:r w:rsidRPr="00046DA5">
        <w:t xml:space="preserve">introduce a simple monitoring framework for bands that may potentially see a change in price. </w:t>
      </w:r>
      <w:r w:rsidR="008E5BE3" w:rsidRPr="00046DA5">
        <w:t>T</w:t>
      </w:r>
      <w:r w:rsidRPr="00046DA5">
        <w:t>hese bands will be identified in the FYSO with an outline of a process to develop the monitoring framework and consider</w:t>
      </w:r>
      <w:r w:rsidR="009D5A31" w:rsidRPr="00046DA5">
        <w:t xml:space="preserve">ation of </w:t>
      </w:r>
      <w:r w:rsidRPr="00046DA5">
        <w:t>different pricing approaches. Frameworks may differ depending on the band and why a price increase may be required</w:t>
      </w:r>
    </w:p>
    <w:p w14:paraId="2BDCB069" w14:textId="6E2AD2E9" w:rsidR="0017116F" w:rsidRPr="00046DA5" w:rsidRDefault="008E5BE3" w:rsidP="0017116F">
      <w:pPr>
        <w:pStyle w:val="ListBulletLast"/>
      </w:pPr>
      <w:r w:rsidRPr="00046DA5">
        <w:t>r</w:t>
      </w:r>
      <w:r w:rsidR="0017116F" w:rsidRPr="00046DA5">
        <w:t>eview the pricing arrangements when the ACMA undertakes a band plan review</w:t>
      </w:r>
      <w:r w:rsidR="008C5436" w:rsidRPr="00046DA5">
        <w:t>. These pricing review would also be outlined in the FYSO.</w:t>
      </w:r>
    </w:p>
    <w:p w14:paraId="4C686E28" w14:textId="5FD56A54" w:rsidR="0017116F" w:rsidRPr="00046DA5" w:rsidRDefault="0017116F" w:rsidP="006445D9">
      <w:pPr>
        <w:pStyle w:val="Paragraph"/>
        <w:spacing w:after="120"/>
      </w:pPr>
      <w:r w:rsidRPr="00046DA5">
        <w:t>As an example of an approach to monitoring</w:t>
      </w:r>
      <w:r w:rsidR="008E5BE3" w:rsidRPr="00046DA5">
        <w:t>,</w:t>
      </w:r>
      <w:r w:rsidRPr="00046DA5">
        <w:t xml:space="preserve"> the ACMA developed a framework for the 400 MHz in high</w:t>
      </w:r>
      <w:r w:rsidR="008E5BE3" w:rsidRPr="00046DA5">
        <w:t>-</w:t>
      </w:r>
      <w:r w:rsidRPr="00046DA5">
        <w:t xml:space="preserve">density areas. In the March 2018 </w:t>
      </w:r>
      <w:r w:rsidRPr="00046DA5">
        <w:rPr>
          <w:i/>
        </w:rPr>
        <w:t xml:space="preserve">Response to </w:t>
      </w:r>
      <w:r w:rsidR="008E5BE3" w:rsidRPr="00046DA5">
        <w:rPr>
          <w:i/>
        </w:rPr>
        <w:t>s</w:t>
      </w:r>
      <w:r w:rsidRPr="00046DA5">
        <w:rPr>
          <w:i/>
        </w:rPr>
        <w:t>ubmissions to the ACMA’s opportunity cost initiatives in the 400 MHz band</w:t>
      </w:r>
      <w:r w:rsidR="008E5BE3" w:rsidRPr="00046DA5">
        <w:t>,</w:t>
      </w:r>
      <w:r w:rsidRPr="00046DA5">
        <w:t xml:space="preserve"> the ACMA noted:</w:t>
      </w:r>
      <w:r w:rsidRPr="00046DA5">
        <w:rPr>
          <w:rStyle w:val="FootnoteReference"/>
        </w:rPr>
        <w:footnoteReference w:id="11"/>
      </w:r>
    </w:p>
    <w:p w14:paraId="5D56CF58" w14:textId="77777777" w:rsidR="0017116F" w:rsidRPr="00046DA5" w:rsidRDefault="0017116F" w:rsidP="00097F88">
      <w:pPr>
        <w:spacing w:after="120"/>
        <w:ind w:left="284" w:right="583"/>
        <w:rPr>
          <w:rFonts w:cs="Arial"/>
          <w:sz w:val="18"/>
          <w:szCs w:val="18"/>
        </w:rPr>
      </w:pPr>
      <w:r w:rsidRPr="00046DA5">
        <w:rPr>
          <w:sz w:val="18"/>
          <w:szCs w:val="18"/>
        </w:rPr>
        <w:t>Under this modified monitoring approach, the bandwidth used under each licence is weighted by an averaged indicator of how much of the high-density area is ‘used’, that is, denied to other users.</w:t>
      </w:r>
      <w:r w:rsidRPr="00046DA5">
        <w:rPr>
          <w:rStyle w:val="FootnoteReference"/>
          <w:sz w:val="18"/>
          <w:szCs w:val="18"/>
        </w:rPr>
        <w:footnoteReference w:id="12"/>
      </w:r>
      <w:r w:rsidRPr="00046DA5">
        <w:rPr>
          <w:sz w:val="18"/>
          <w:szCs w:val="18"/>
        </w:rPr>
        <w:t xml:space="preserve">  Reflecting the larger denial area of high-power services, their denial weight is significantly higher than for low-power services.</w:t>
      </w:r>
    </w:p>
    <w:p w14:paraId="665D4280" w14:textId="77777777" w:rsidR="0017116F" w:rsidRPr="00046DA5" w:rsidRDefault="0017116F" w:rsidP="00097F88">
      <w:pPr>
        <w:spacing w:after="120"/>
        <w:ind w:left="284" w:right="583"/>
        <w:rPr>
          <w:rFonts w:cs="Arial"/>
          <w:sz w:val="18"/>
          <w:szCs w:val="18"/>
        </w:rPr>
      </w:pPr>
      <w:r w:rsidRPr="00046DA5">
        <w:rPr>
          <w:rFonts w:cs="Arial"/>
          <w:sz w:val="18"/>
          <w:szCs w:val="18"/>
        </w:rPr>
        <w:t>The amount of spectrum (bandwidth) used by each licensee is then multiplied by a factor representing the geographic area over which spectrum is denied</w:t>
      </w:r>
      <w:r w:rsidRPr="00046DA5">
        <w:rPr>
          <w:rStyle w:val="FootnoteReference"/>
          <w:rFonts w:cs="Arial"/>
          <w:sz w:val="18"/>
          <w:szCs w:val="18"/>
        </w:rPr>
        <w:footnoteReference w:id="13"/>
      </w:r>
      <w:r w:rsidRPr="00046DA5">
        <w:rPr>
          <w:rFonts w:cs="Arial"/>
          <w:sz w:val="18"/>
          <w:szCs w:val="18"/>
        </w:rPr>
        <w:t xml:space="preserve">, to provide an indicative estimate of how much spectrum is geographically denied by each licence. Aggregating across all relevant licensees effectively creates a measure of demand adjusted to allow for differential geo-spatial denial. </w:t>
      </w:r>
    </w:p>
    <w:p w14:paraId="22CD190B" w14:textId="77777777" w:rsidR="0017116F" w:rsidRPr="00046DA5" w:rsidRDefault="0017116F" w:rsidP="006445D9">
      <w:pPr>
        <w:ind w:left="284" w:right="583"/>
        <w:rPr>
          <w:sz w:val="18"/>
          <w:szCs w:val="18"/>
        </w:rPr>
      </w:pPr>
      <w:r w:rsidRPr="00046DA5">
        <w:rPr>
          <w:sz w:val="18"/>
          <w:szCs w:val="18"/>
        </w:rPr>
        <w:lastRenderedPageBreak/>
        <w:t xml:space="preserve">The approach is not a precise measure of actual denial based on actual base station/transmitter locations within the high-density area, but an averaged approach sufficiently differentiated (in terms of treatment of high- and low-power devices) to facilitate identification of broad trends in demand across time. </w:t>
      </w:r>
    </w:p>
    <w:p w14:paraId="31468E18" w14:textId="6F2A3941" w:rsidR="0017116F" w:rsidRPr="00046DA5" w:rsidRDefault="0017116F" w:rsidP="00477E8C">
      <w:pPr>
        <w:pStyle w:val="Paragraph"/>
      </w:pPr>
      <w:r w:rsidRPr="00046DA5">
        <w:t xml:space="preserve">The ACMA is mindful of the potential </w:t>
      </w:r>
      <w:r w:rsidR="00391E12" w:rsidRPr="00046DA5">
        <w:t>trade-offs</w:t>
      </w:r>
      <w:r w:rsidRPr="00046DA5">
        <w:t xml:space="preserve"> that may be required in developing new monitoring frameworks and approaches to adjusting taxes. The greater the precision in the monitoring and pricing approaches required, the greater the resources and time required to undertake this work. This can delay the ACMA’s consideration of pricing approaches. </w:t>
      </w:r>
    </w:p>
    <w:p w14:paraId="7AC5F30D" w14:textId="77777777" w:rsidR="0017116F" w:rsidRPr="00046DA5" w:rsidRDefault="0017116F" w:rsidP="00477E8C">
      <w:pPr>
        <w:pStyle w:val="Paragraph"/>
      </w:pPr>
      <w:r w:rsidRPr="00046DA5">
        <w:t>The ACMA would like to explore alternative approaches to considering opportunity cost initiatives that finds a balance to promote the timely consideration of changes in apparatus licence taxes.</w:t>
      </w:r>
    </w:p>
    <w:p w14:paraId="170A2CBE" w14:textId="2CC6F2A9" w:rsidR="0017116F" w:rsidRPr="00046DA5" w:rsidRDefault="0017116F" w:rsidP="00477E8C">
      <w:pPr>
        <w:pStyle w:val="Heading3"/>
      </w:pPr>
      <w:r w:rsidRPr="00046DA5">
        <w:t>The role of CPI to update taxes</w:t>
      </w:r>
    </w:p>
    <w:p w14:paraId="7C63219A" w14:textId="37BF8231" w:rsidR="0017116F" w:rsidRPr="00046DA5" w:rsidRDefault="0017116F" w:rsidP="0017116F">
      <w:r w:rsidRPr="00046DA5">
        <w:t xml:space="preserve">Updating the normalisation factor (discussed in Appendix A) provides a method to keep apparatus licence tax amounts contemporary by adjusting them to account for inflation. </w:t>
      </w:r>
      <w:r w:rsidR="009D5A31" w:rsidRPr="00046DA5">
        <w:t xml:space="preserve">Adjustments for inflation are a simple and generally well understood measure and reflect a general increase in prices across society. </w:t>
      </w:r>
      <w:r w:rsidRPr="00046DA5">
        <w:t>At the same time</w:t>
      </w:r>
      <w:r w:rsidR="008E5BE3" w:rsidRPr="00046DA5">
        <w:t>,</w:t>
      </w:r>
      <w:r w:rsidRPr="00046DA5">
        <w:t xml:space="preserve"> the diversity of the apparatus licence regime implies that other measures or indexes may be more appropriate</w:t>
      </w:r>
      <w:r w:rsidR="002F008A" w:rsidRPr="00046DA5">
        <w:t xml:space="preserve"> in some instances</w:t>
      </w:r>
      <w:r w:rsidRPr="00046DA5">
        <w:t>.</w:t>
      </w:r>
      <w:r w:rsidR="002F008A" w:rsidRPr="00046DA5">
        <w:t xml:space="preserve"> </w:t>
      </w:r>
    </w:p>
    <w:p w14:paraId="020D1413" w14:textId="4D4C29D0" w:rsidR="0017116F" w:rsidRPr="00046DA5" w:rsidRDefault="0017116F" w:rsidP="00196328">
      <w:pPr>
        <w:pStyle w:val="Paragraph"/>
        <w:keepNext/>
        <w:shd w:val="clear" w:color="auto" w:fill="F2F2F2" w:themeFill="background1" w:themeFillShade="F2"/>
        <w:spacing w:after="0"/>
        <w:rPr>
          <w:b/>
        </w:rPr>
      </w:pPr>
      <w:bookmarkStart w:id="42" w:name="_Hlk32225121"/>
      <w:r w:rsidRPr="00046DA5">
        <w:rPr>
          <w:b/>
        </w:rPr>
        <w:t xml:space="preserve">Question </w:t>
      </w:r>
      <w:r w:rsidR="00190BB0" w:rsidRPr="00046DA5">
        <w:rPr>
          <w:b/>
        </w:rPr>
        <w:t>9</w:t>
      </w:r>
    </w:p>
    <w:bookmarkEnd w:id="42"/>
    <w:p w14:paraId="482EB990" w14:textId="77777777" w:rsidR="00237765" w:rsidRPr="00046DA5" w:rsidRDefault="00237765" w:rsidP="004925F3">
      <w:pPr>
        <w:pStyle w:val="Paragraph"/>
        <w:shd w:val="clear" w:color="auto" w:fill="F2F2F2" w:themeFill="background1" w:themeFillShade="F2"/>
        <w:spacing w:after="80"/>
      </w:pPr>
      <w:r w:rsidRPr="00046DA5">
        <w:t>Do stakeholders have comments on:</w:t>
      </w:r>
    </w:p>
    <w:p w14:paraId="439199EF" w14:textId="77777777" w:rsidR="00237765" w:rsidRPr="00046DA5" w:rsidRDefault="00237765" w:rsidP="004925F3">
      <w:pPr>
        <w:pStyle w:val="Bulletlevel1"/>
        <w:shd w:val="clear" w:color="auto" w:fill="F2F2F2" w:themeFill="background1" w:themeFillShade="F2"/>
      </w:pPr>
      <w:r w:rsidRPr="00046DA5">
        <w:t>the proposal to monitor bands for potential changes in taxes and the balance and precision required in monitoring and pricing spectrum?</w:t>
      </w:r>
    </w:p>
    <w:p w14:paraId="43CB50BF" w14:textId="77777777" w:rsidR="00237765" w:rsidRPr="00046DA5" w:rsidRDefault="00237765" w:rsidP="004925F3">
      <w:pPr>
        <w:pStyle w:val="Bulletlevel1"/>
        <w:shd w:val="clear" w:color="auto" w:fill="F2F2F2" w:themeFill="background1" w:themeFillShade="F2"/>
      </w:pPr>
      <w:r w:rsidRPr="00046DA5">
        <w:t>the use of inflation to keep apparatus licence taxes contemporary and whether there are alternative approaches?</w:t>
      </w:r>
    </w:p>
    <w:p w14:paraId="107E9582" w14:textId="77BDBAE6" w:rsidR="00C96CDB" w:rsidRPr="00046DA5" w:rsidRDefault="00C96CDB" w:rsidP="00046DA5">
      <w:pPr>
        <w:pStyle w:val="Heading2"/>
        <w:pageBreakBefore/>
      </w:pPr>
      <w:bookmarkStart w:id="43" w:name="_Toc33758209"/>
      <w:r w:rsidRPr="00046DA5">
        <w:lastRenderedPageBreak/>
        <w:t xml:space="preserve">Focus </w:t>
      </w:r>
      <w:r w:rsidR="00302D57" w:rsidRPr="00046DA5">
        <w:t>a</w:t>
      </w:r>
      <w:r w:rsidRPr="00046DA5">
        <w:t>rea 4: Consistency of pricing approach</w:t>
      </w:r>
      <w:r w:rsidR="00A9739F" w:rsidRPr="00046DA5">
        <w:t xml:space="preserve"> across geographic areas and bands</w:t>
      </w:r>
      <w:bookmarkEnd w:id="43"/>
    </w:p>
    <w:p w14:paraId="54DA5DB2" w14:textId="48C01A5D" w:rsidR="00C53575" w:rsidRPr="00046DA5" w:rsidRDefault="00C53575" w:rsidP="00E64BC4">
      <w:pPr>
        <w:pStyle w:val="Paragraph"/>
      </w:pPr>
      <w:r w:rsidRPr="00046DA5">
        <w:t>The tax formula provides different tax rates for different licence types, density areas and frequency ranges. Recommendation 7 of the Spectrum Pricing Review requires among other thing</w:t>
      </w:r>
      <w:r w:rsidR="00802E49" w:rsidRPr="00046DA5">
        <w:t>s</w:t>
      </w:r>
      <w:r w:rsidRPr="00046DA5">
        <w:t xml:space="preserve"> that the ACMA undertake </w:t>
      </w:r>
      <w:r w:rsidR="00302D57" w:rsidRPr="00046DA5">
        <w:rPr>
          <w:b/>
        </w:rPr>
        <w:t>‘</w:t>
      </w:r>
      <w:r w:rsidRPr="00046DA5">
        <w:t>a detailed review of the administrative pricing formula’s parameters, including density areas, the number of pricing bands</w:t>
      </w:r>
      <w:r w:rsidR="00302D57" w:rsidRPr="00046DA5">
        <w:t xml:space="preserve"> </w:t>
      </w:r>
      <w:r w:rsidRPr="00046DA5">
        <w:t>…</w:t>
      </w:r>
      <w:r w:rsidR="00302D57" w:rsidRPr="00046DA5">
        <w:t>’</w:t>
      </w:r>
    </w:p>
    <w:p w14:paraId="0A0105AA" w14:textId="0CC02B98" w:rsidR="00FE7225" w:rsidRPr="00046DA5" w:rsidRDefault="007A314F" w:rsidP="00E64BC4">
      <w:pPr>
        <w:pStyle w:val="Paragraph"/>
      </w:pPr>
      <w:r w:rsidRPr="00046DA5">
        <w:t>The density areas and the pricing bands/</w:t>
      </w:r>
      <w:r w:rsidR="00AE5E71" w:rsidRPr="00046DA5">
        <w:t>spectrum locations</w:t>
      </w:r>
      <w:r w:rsidRPr="00046DA5">
        <w:t xml:space="preserve"> were set in the 1990s and </w:t>
      </w:r>
      <w:r w:rsidR="007727DB" w:rsidRPr="00046DA5">
        <w:t xml:space="preserve">updated in </w:t>
      </w:r>
      <w:r w:rsidRPr="00046DA5">
        <w:t>2004</w:t>
      </w:r>
      <w:r w:rsidR="007727DB" w:rsidRPr="00046DA5">
        <w:t>,</w:t>
      </w:r>
      <w:r w:rsidR="00524FC6" w:rsidRPr="00046DA5">
        <w:t xml:space="preserve"> taking into account the different val</w:t>
      </w:r>
      <w:r w:rsidR="00224745" w:rsidRPr="00046DA5">
        <w:t>u</w:t>
      </w:r>
      <w:r w:rsidR="00524FC6" w:rsidRPr="00046DA5">
        <w:t>es of spectrum and the relative spectrum congestion levels across different geographic locations and frequency ranges</w:t>
      </w:r>
      <w:r w:rsidR="002D2A55" w:rsidRPr="00046DA5">
        <w:t xml:space="preserve"> at those times</w:t>
      </w:r>
      <w:r w:rsidR="00C53844" w:rsidRPr="00046DA5">
        <w:t>.</w:t>
      </w:r>
    </w:p>
    <w:p w14:paraId="4C2A4510" w14:textId="31D239D1" w:rsidR="00524FC6" w:rsidRPr="00046DA5" w:rsidRDefault="00FE7225" w:rsidP="00E64BC4">
      <w:pPr>
        <w:pStyle w:val="Paragraph"/>
      </w:pPr>
      <w:r w:rsidRPr="00046DA5">
        <w:t>The</w:t>
      </w:r>
      <w:r w:rsidR="00A11A2A" w:rsidRPr="00046DA5">
        <w:t>re</w:t>
      </w:r>
      <w:r w:rsidRPr="00046DA5">
        <w:t xml:space="preserve"> </w:t>
      </w:r>
      <w:r w:rsidR="00A11A2A" w:rsidRPr="00046DA5">
        <w:t xml:space="preserve">are </w:t>
      </w:r>
      <w:r w:rsidR="00302D57" w:rsidRPr="00046DA5">
        <w:t>five</w:t>
      </w:r>
      <w:r w:rsidR="00A11A2A" w:rsidRPr="00046DA5">
        <w:t xml:space="preserve"> different classifications of density areas</w:t>
      </w:r>
      <w:r w:rsidR="009335CC" w:rsidRPr="00046DA5">
        <w:t>—</w:t>
      </w:r>
      <w:r w:rsidR="00A11A2A" w:rsidRPr="00046DA5">
        <w:t>Australia</w:t>
      </w:r>
      <w:r w:rsidR="009335CC" w:rsidRPr="00046DA5">
        <w:t>-</w:t>
      </w:r>
      <w:r w:rsidR="00A11A2A" w:rsidRPr="00046DA5">
        <w:t xml:space="preserve">wide, </w:t>
      </w:r>
      <w:r w:rsidRPr="00046DA5">
        <w:t>high</w:t>
      </w:r>
      <w:r w:rsidR="00A11A2A" w:rsidRPr="00046DA5">
        <w:t xml:space="preserve"> (Brisbane/Gold Coast, Melbourne/Geelong, and Sydney/</w:t>
      </w:r>
      <w:r w:rsidR="006908B0" w:rsidRPr="00046DA5">
        <w:t>Wollongong</w:t>
      </w:r>
      <w:r w:rsidR="009335CC" w:rsidRPr="00046DA5">
        <w:t>)</w:t>
      </w:r>
      <w:r w:rsidRPr="00046DA5">
        <w:t xml:space="preserve">, </w:t>
      </w:r>
      <w:r w:rsidR="00A11A2A" w:rsidRPr="00046DA5">
        <w:t xml:space="preserve">medium (Adelaide, Newcastle and Perth), </w:t>
      </w:r>
      <w:r w:rsidRPr="00046DA5">
        <w:t>low</w:t>
      </w:r>
      <w:r w:rsidR="00A11A2A" w:rsidRPr="00046DA5">
        <w:t xml:space="preserve"> (parts of </w:t>
      </w:r>
      <w:r w:rsidR="009335CC" w:rsidRPr="00046DA5">
        <w:t>e</w:t>
      </w:r>
      <w:r w:rsidR="00A11A2A" w:rsidRPr="00046DA5">
        <w:t>ast Australia</w:t>
      </w:r>
      <w:r w:rsidR="009335CC" w:rsidRPr="00046DA5">
        <w:t>,</w:t>
      </w:r>
      <w:r w:rsidR="00A11A2A" w:rsidRPr="00046DA5">
        <w:t xml:space="preserve"> Tasmania and West Australia)</w:t>
      </w:r>
      <w:r w:rsidRPr="00046DA5">
        <w:t xml:space="preserve"> and remote density</w:t>
      </w:r>
      <w:r w:rsidR="00A11A2A" w:rsidRPr="00046DA5">
        <w:t xml:space="preserve"> areas</w:t>
      </w:r>
      <w:r w:rsidRPr="00046DA5">
        <w:t>.</w:t>
      </w:r>
      <w:r w:rsidR="00A11A2A" w:rsidRPr="00046DA5">
        <w:t xml:space="preserve"> Detailed information about the density areas and maps are included in Appendix B.</w:t>
      </w:r>
    </w:p>
    <w:p w14:paraId="361F9774" w14:textId="6900E40F" w:rsidR="00224745" w:rsidRPr="00046DA5" w:rsidRDefault="00224745" w:rsidP="00C96CDB">
      <w:r w:rsidRPr="00046DA5">
        <w:t xml:space="preserve">Table </w:t>
      </w:r>
      <w:r w:rsidR="00BB543A" w:rsidRPr="00046DA5">
        <w:t>1</w:t>
      </w:r>
      <w:r w:rsidRPr="00046DA5">
        <w:t xml:space="preserve"> outlines the current location weights that </w:t>
      </w:r>
      <w:r w:rsidR="009335CC" w:rsidRPr="00046DA5">
        <w:t xml:space="preserve">are </w:t>
      </w:r>
      <w:r w:rsidRPr="00046DA5">
        <w:t>the basis of the tax formula</w:t>
      </w:r>
      <w:r w:rsidR="00C53844" w:rsidRPr="00046DA5">
        <w:t xml:space="preserve">. </w:t>
      </w:r>
      <w:r w:rsidR="0060792C" w:rsidRPr="00046DA5">
        <w:t>Any consideration of the weights and whether they should change may involve consideration of both geographic and spectrum locations</w:t>
      </w:r>
      <w:r w:rsidR="00C53844" w:rsidRPr="00046DA5">
        <w:t xml:space="preserve">. </w:t>
      </w:r>
      <w:r w:rsidR="00AE5E71" w:rsidRPr="00046DA5">
        <w:t>However, in considering how those rates will change</w:t>
      </w:r>
      <w:r w:rsidR="009335CC" w:rsidRPr="00046DA5">
        <w:t>,</w:t>
      </w:r>
      <w:r w:rsidR="00AE5E71" w:rsidRPr="00046DA5">
        <w:t xml:space="preserve"> the opportunity arises to consider both the geographic and spectrum locations.</w:t>
      </w:r>
    </w:p>
    <w:p w14:paraId="4D9ED2FD" w14:textId="28BFCE60" w:rsidR="00224745" w:rsidRPr="00046DA5" w:rsidRDefault="00224745" w:rsidP="00E64BC4">
      <w:pPr>
        <w:pStyle w:val="ACMATableHeader"/>
        <w:keepNext/>
        <w:keepLines/>
        <w:numPr>
          <w:ilvl w:val="0"/>
          <w:numId w:val="0"/>
        </w:numPr>
        <w:tabs>
          <w:tab w:val="left" w:pos="851"/>
        </w:tabs>
      </w:pPr>
      <w:r w:rsidRPr="00046DA5">
        <w:t xml:space="preserve">Table </w:t>
      </w:r>
      <w:r w:rsidR="00BB543A" w:rsidRPr="00046DA5">
        <w:t>1</w:t>
      </w:r>
      <w:r w:rsidRPr="00046DA5">
        <w:t>: Location weighting</w:t>
      </w:r>
    </w:p>
    <w:tbl>
      <w:tblPr>
        <w:tblW w:w="7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160"/>
        <w:gridCol w:w="1210"/>
        <w:gridCol w:w="1134"/>
        <w:gridCol w:w="1134"/>
        <w:gridCol w:w="1134"/>
        <w:gridCol w:w="1134"/>
      </w:tblGrid>
      <w:tr w:rsidR="00224745" w:rsidRPr="00046DA5" w14:paraId="0BCD7DD6" w14:textId="77777777" w:rsidTr="00C852E9">
        <w:tc>
          <w:tcPr>
            <w:tcW w:w="2160" w:type="dxa"/>
            <w:shd w:val="clear" w:color="auto" w:fill="404040" w:themeFill="text1" w:themeFillTint="BF"/>
            <w:noWrap/>
            <w:vAlign w:val="center"/>
          </w:tcPr>
          <w:p w14:paraId="61111684" w14:textId="77777777" w:rsidR="00224745" w:rsidRPr="00046DA5" w:rsidRDefault="00224745" w:rsidP="00E64BC4">
            <w:pPr>
              <w:pStyle w:val="TableHeading0"/>
              <w:keepNext/>
              <w:keepLines/>
              <w:rPr>
                <w:color w:val="FFFFFF" w:themeColor="background1"/>
              </w:rPr>
            </w:pPr>
          </w:p>
        </w:tc>
        <w:tc>
          <w:tcPr>
            <w:tcW w:w="5746" w:type="dxa"/>
            <w:gridSpan w:val="5"/>
            <w:shd w:val="clear" w:color="auto" w:fill="404040" w:themeFill="text1" w:themeFillTint="BF"/>
            <w:noWrap/>
            <w:vAlign w:val="center"/>
          </w:tcPr>
          <w:p w14:paraId="6799A14A" w14:textId="77777777" w:rsidR="00224745" w:rsidRPr="00046DA5" w:rsidRDefault="00224745" w:rsidP="00E64BC4">
            <w:pPr>
              <w:pStyle w:val="TableHeading0"/>
              <w:keepNext/>
              <w:keepLines/>
              <w:jc w:val="center"/>
              <w:rPr>
                <w:color w:val="FFFFFF" w:themeColor="background1"/>
              </w:rPr>
            </w:pPr>
            <w:r w:rsidRPr="00046DA5">
              <w:rPr>
                <w:color w:val="FFFFFF" w:themeColor="background1"/>
              </w:rPr>
              <w:t>Geographic location</w:t>
            </w:r>
          </w:p>
        </w:tc>
      </w:tr>
      <w:tr w:rsidR="00224745" w:rsidRPr="00046DA5" w14:paraId="1ADD52D6" w14:textId="77777777" w:rsidTr="00C852E9">
        <w:tc>
          <w:tcPr>
            <w:tcW w:w="2160" w:type="dxa"/>
            <w:shd w:val="clear" w:color="auto" w:fill="404040" w:themeFill="text1" w:themeFillTint="BF"/>
            <w:noWrap/>
            <w:vAlign w:val="center"/>
          </w:tcPr>
          <w:p w14:paraId="65612812" w14:textId="77777777" w:rsidR="00224745" w:rsidRPr="00046DA5" w:rsidRDefault="00224745" w:rsidP="00E64BC4">
            <w:pPr>
              <w:pStyle w:val="TableHeading0"/>
              <w:keepNext/>
              <w:keepLines/>
              <w:rPr>
                <w:color w:val="FFFFFF" w:themeColor="background1"/>
              </w:rPr>
            </w:pPr>
            <w:r w:rsidRPr="00046DA5">
              <w:rPr>
                <w:color w:val="FFFFFF" w:themeColor="background1"/>
              </w:rPr>
              <w:t>Spectrum location</w:t>
            </w:r>
          </w:p>
        </w:tc>
        <w:tc>
          <w:tcPr>
            <w:tcW w:w="1210" w:type="dxa"/>
            <w:shd w:val="clear" w:color="auto" w:fill="404040" w:themeFill="text1" w:themeFillTint="BF"/>
            <w:noWrap/>
            <w:vAlign w:val="center"/>
          </w:tcPr>
          <w:p w14:paraId="5B4B369E" w14:textId="77777777" w:rsidR="00224745" w:rsidRPr="00046DA5" w:rsidRDefault="00224745" w:rsidP="00E64BC4">
            <w:pPr>
              <w:pStyle w:val="TableHeading0"/>
              <w:keepNext/>
              <w:keepLines/>
              <w:rPr>
                <w:color w:val="FFFFFF" w:themeColor="background1"/>
              </w:rPr>
            </w:pPr>
            <w:r w:rsidRPr="00046DA5">
              <w:rPr>
                <w:color w:val="FFFFFF" w:themeColor="background1"/>
              </w:rPr>
              <w:t>Australia-wide</w:t>
            </w:r>
          </w:p>
        </w:tc>
        <w:tc>
          <w:tcPr>
            <w:tcW w:w="1134" w:type="dxa"/>
            <w:shd w:val="clear" w:color="auto" w:fill="404040" w:themeFill="text1" w:themeFillTint="BF"/>
            <w:noWrap/>
            <w:vAlign w:val="center"/>
          </w:tcPr>
          <w:p w14:paraId="6F7B43CE" w14:textId="77777777" w:rsidR="00224745" w:rsidRPr="00046DA5" w:rsidRDefault="00224745" w:rsidP="00E64BC4">
            <w:pPr>
              <w:pStyle w:val="TableHeading0"/>
              <w:keepNext/>
              <w:keepLines/>
              <w:rPr>
                <w:color w:val="FFFFFF" w:themeColor="background1"/>
              </w:rPr>
            </w:pPr>
            <w:r w:rsidRPr="00046DA5">
              <w:rPr>
                <w:color w:val="FFFFFF" w:themeColor="background1"/>
              </w:rPr>
              <w:t>High density</w:t>
            </w:r>
          </w:p>
        </w:tc>
        <w:tc>
          <w:tcPr>
            <w:tcW w:w="1134" w:type="dxa"/>
            <w:shd w:val="clear" w:color="auto" w:fill="404040" w:themeFill="text1" w:themeFillTint="BF"/>
            <w:noWrap/>
            <w:vAlign w:val="center"/>
          </w:tcPr>
          <w:p w14:paraId="66E53211" w14:textId="77777777" w:rsidR="00224745" w:rsidRPr="00046DA5" w:rsidRDefault="00224745" w:rsidP="00E64BC4">
            <w:pPr>
              <w:pStyle w:val="TableHeading0"/>
              <w:keepNext/>
              <w:keepLines/>
              <w:rPr>
                <w:color w:val="FFFFFF" w:themeColor="background1"/>
              </w:rPr>
            </w:pPr>
            <w:r w:rsidRPr="00046DA5">
              <w:rPr>
                <w:color w:val="FFFFFF" w:themeColor="background1"/>
              </w:rPr>
              <w:t xml:space="preserve">Medium density </w:t>
            </w:r>
          </w:p>
        </w:tc>
        <w:tc>
          <w:tcPr>
            <w:tcW w:w="1134" w:type="dxa"/>
            <w:shd w:val="clear" w:color="auto" w:fill="404040" w:themeFill="text1" w:themeFillTint="BF"/>
            <w:noWrap/>
            <w:vAlign w:val="center"/>
          </w:tcPr>
          <w:p w14:paraId="01BE9650" w14:textId="77777777" w:rsidR="00224745" w:rsidRPr="00046DA5" w:rsidRDefault="00224745" w:rsidP="00E64BC4">
            <w:pPr>
              <w:pStyle w:val="TableHeading0"/>
              <w:keepNext/>
              <w:keepLines/>
              <w:rPr>
                <w:color w:val="FFFFFF" w:themeColor="background1"/>
              </w:rPr>
            </w:pPr>
            <w:r w:rsidRPr="00046DA5">
              <w:rPr>
                <w:color w:val="FFFFFF" w:themeColor="background1"/>
              </w:rPr>
              <w:t>Low density</w:t>
            </w:r>
          </w:p>
        </w:tc>
        <w:tc>
          <w:tcPr>
            <w:tcW w:w="1134" w:type="dxa"/>
            <w:shd w:val="clear" w:color="auto" w:fill="404040" w:themeFill="text1" w:themeFillTint="BF"/>
            <w:noWrap/>
            <w:vAlign w:val="center"/>
          </w:tcPr>
          <w:p w14:paraId="07993044" w14:textId="77777777" w:rsidR="00224745" w:rsidRPr="00046DA5" w:rsidRDefault="00224745" w:rsidP="00E64BC4">
            <w:pPr>
              <w:pStyle w:val="TableHeading0"/>
              <w:keepNext/>
              <w:keepLines/>
              <w:rPr>
                <w:color w:val="FFFFFF" w:themeColor="background1"/>
              </w:rPr>
            </w:pPr>
            <w:r w:rsidRPr="00046DA5">
              <w:rPr>
                <w:color w:val="FFFFFF" w:themeColor="background1"/>
              </w:rPr>
              <w:t>Remote density</w:t>
            </w:r>
          </w:p>
        </w:tc>
      </w:tr>
      <w:tr w:rsidR="00224745" w:rsidRPr="00046DA5" w14:paraId="7FD52A02" w14:textId="77777777" w:rsidTr="00C852E9">
        <w:tc>
          <w:tcPr>
            <w:tcW w:w="2160" w:type="dxa"/>
            <w:shd w:val="clear" w:color="auto" w:fill="auto"/>
            <w:noWrap/>
            <w:vAlign w:val="center"/>
          </w:tcPr>
          <w:p w14:paraId="37BF93B5" w14:textId="77777777" w:rsidR="00224745" w:rsidRPr="00046DA5" w:rsidRDefault="00224745" w:rsidP="00E64BC4">
            <w:pPr>
              <w:pStyle w:val="TableBody"/>
              <w:keepNext/>
              <w:keepLines/>
              <w:rPr>
                <w:rFonts w:cs="Arial"/>
                <w:szCs w:val="20"/>
              </w:rPr>
            </w:pPr>
            <w:r w:rsidRPr="00046DA5">
              <w:rPr>
                <w:rFonts w:cs="Arial"/>
                <w:szCs w:val="20"/>
              </w:rPr>
              <w:t>30 MHz and below</w:t>
            </w:r>
          </w:p>
        </w:tc>
        <w:tc>
          <w:tcPr>
            <w:tcW w:w="1210" w:type="dxa"/>
            <w:tcBorders>
              <w:top w:val="single" w:sz="4" w:space="0" w:color="auto"/>
              <w:left w:val="single" w:sz="4" w:space="0" w:color="auto"/>
              <w:bottom w:val="single" w:sz="4" w:space="0" w:color="auto"/>
              <w:right w:val="single" w:sz="4" w:space="0" w:color="auto"/>
            </w:tcBorders>
            <w:shd w:val="clear" w:color="auto" w:fill="auto"/>
            <w:noWrap/>
          </w:tcPr>
          <w:p w14:paraId="4B924548" w14:textId="77777777" w:rsidR="00224745" w:rsidRPr="00046DA5" w:rsidRDefault="00224745" w:rsidP="00E64BC4">
            <w:pPr>
              <w:pStyle w:val="TableBody"/>
              <w:keepNext/>
              <w:keepLines/>
              <w:rPr>
                <w:rFonts w:cs="Arial"/>
                <w:szCs w:val="20"/>
              </w:rPr>
            </w:pPr>
            <w:r w:rsidRPr="00046DA5">
              <w:rPr>
                <w:rFonts w:cs="Arial"/>
                <w:color w:val="000000"/>
                <w:szCs w:val="20"/>
              </w:rPr>
              <w:t xml:space="preserve">4.3150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78B811" w14:textId="77777777" w:rsidR="00224745" w:rsidRPr="00046DA5" w:rsidRDefault="00224745" w:rsidP="00E64BC4">
            <w:pPr>
              <w:pStyle w:val="TableBody"/>
              <w:keepNext/>
              <w:keepLines/>
              <w:rPr>
                <w:rFonts w:cs="Arial"/>
                <w:color w:val="000000"/>
                <w:szCs w:val="20"/>
              </w:rPr>
            </w:pPr>
            <w:r w:rsidRPr="00046DA5">
              <w:rPr>
                <w:rFonts w:cs="Arial"/>
                <w:color w:val="000000"/>
                <w:szCs w:val="20"/>
              </w:rPr>
              <w:t xml:space="preserve">4.3150 </w:t>
            </w:r>
          </w:p>
        </w:tc>
        <w:tc>
          <w:tcPr>
            <w:tcW w:w="1134" w:type="dxa"/>
            <w:tcBorders>
              <w:top w:val="single" w:sz="4" w:space="0" w:color="auto"/>
              <w:left w:val="nil"/>
              <w:bottom w:val="single" w:sz="4" w:space="0" w:color="auto"/>
              <w:right w:val="single" w:sz="4" w:space="0" w:color="auto"/>
            </w:tcBorders>
            <w:shd w:val="clear" w:color="auto" w:fill="auto"/>
            <w:noWrap/>
          </w:tcPr>
          <w:p w14:paraId="433A4702" w14:textId="77777777" w:rsidR="00224745" w:rsidRPr="00046DA5" w:rsidRDefault="00224745" w:rsidP="00E64BC4">
            <w:pPr>
              <w:pStyle w:val="TableBody"/>
              <w:keepNext/>
              <w:keepLines/>
              <w:rPr>
                <w:rFonts w:cs="Arial"/>
                <w:szCs w:val="20"/>
              </w:rPr>
            </w:pPr>
            <w:r w:rsidRPr="00046DA5">
              <w:rPr>
                <w:rFonts w:cs="Arial"/>
                <w:color w:val="000000"/>
                <w:szCs w:val="20"/>
              </w:rPr>
              <w:t xml:space="preserve">4.3150 </w:t>
            </w:r>
          </w:p>
        </w:tc>
        <w:tc>
          <w:tcPr>
            <w:tcW w:w="1134" w:type="dxa"/>
            <w:tcBorders>
              <w:top w:val="single" w:sz="4" w:space="0" w:color="auto"/>
              <w:left w:val="nil"/>
              <w:bottom w:val="single" w:sz="4" w:space="0" w:color="auto"/>
              <w:right w:val="single" w:sz="4" w:space="0" w:color="auto"/>
            </w:tcBorders>
            <w:shd w:val="clear" w:color="auto" w:fill="auto"/>
            <w:noWrap/>
          </w:tcPr>
          <w:p w14:paraId="2DC2E19B" w14:textId="77777777" w:rsidR="00224745" w:rsidRPr="00046DA5" w:rsidRDefault="00224745" w:rsidP="00E64BC4">
            <w:pPr>
              <w:pStyle w:val="TableBody"/>
              <w:keepNext/>
              <w:keepLines/>
              <w:rPr>
                <w:rFonts w:cs="Arial"/>
                <w:szCs w:val="20"/>
              </w:rPr>
            </w:pPr>
            <w:r w:rsidRPr="00046DA5">
              <w:rPr>
                <w:rFonts w:cs="Arial"/>
                <w:color w:val="000000"/>
                <w:szCs w:val="20"/>
              </w:rPr>
              <w:t xml:space="preserve">4.3150 </w:t>
            </w:r>
          </w:p>
        </w:tc>
        <w:tc>
          <w:tcPr>
            <w:tcW w:w="1134" w:type="dxa"/>
            <w:tcBorders>
              <w:top w:val="single" w:sz="4" w:space="0" w:color="auto"/>
              <w:left w:val="nil"/>
              <w:bottom w:val="single" w:sz="4" w:space="0" w:color="auto"/>
              <w:right w:val="single" w:sz="4" w:space="0" w:color="auto"/>
            </w:tcBorders>
            <w:shd w:val="clear" w:color="auto" w:fill="auto"/>
            <w:noWrap/>
          </w:tcPr>
          <w:p w14:paraId="2855D4E5" w14:textId="77777777" w:rsidR="00224745" w:rsidRPr="00046DA5" w:rsidRDefault="00224745" w:rsidP="00E64BC4">
            <w:pPr>
              <w:pStyle w:val="TableBody"/>
              <w:keepNext/>
              <w:keepLines/>
              <w:rPr>
                <w:rFonts w:cs="Arial"/>
                <w:szCs w:val="20"/>
              </w:rPr>
            </w:pPr>
            <w:r w:rsidRPr="00046DA5">
              <w:rPr>
                <w:rFonts w:cs="Arial"/>
                <w:color w:val="000000"/>
                <w:szCs w:val="20"/>
              </w:rPr>
              <w:t xml:space="preserve">4.3150 </w:t>
            </w:r>
          </w:p>
        </w:tc>
      </w:tr>
      <w:tr w:rsidR="00224745" w:rsidRPr="00046DA5" w14:paraId="15D52287" w14:textId="77777777" w:rsidTr="00097F88">
        <w:tc>
          <w:tcPr>
            <w:tcW w:w="2160" w:type="dxa"/>
            <w:shd w:val="clear" w:color="auto" w:fill="F2F2F2" w:themeFill="background1" w:themeFillShade="F2"/>
            <w:noWrap/>
            <w:vAlign w:val="center"/>
          </w:tcPr>
          <w:p w14:paraId="2FB9803F" w14:textId="77777777" w:rsidR="00224745" w:rsidRPr="00046DA5" w:rsidRDefault="00224745" w:rsidP="00E64BC4">
            <w:pPr>
              <w:pStyle w:val="TableBody"/>
              <w:keepNext/>
              <w:keepLines/>
              <w:rPr>
                <w:rFonts w:cs="Arial"/>
                <w:szCs w:val="20"/>
              </w:rPr>
            </w:pPr>
            <w:r w:rsidRPr="00046DA5">
              <w:rPr>
                <w:rFonts w:cs="Arial"/>
                <w:szCs w:val="20"/>
              </w:rPr>
              <w:t>&gt;30 to 70 MHz</w:t>
            </w:r>
          </w:p>
        </w:tc>
        <w:tc>
          <w:tcPr>
            <w:tcW w:w="1210" w:type="dxa"/>
            <w:tcBorders>
              <w:top w:val="nil"/>
              <w:left w:val="single" w:sz="4" w:space="0" w:color="auto"/>
              <w:bottom w:val="single" w:sz="4" w:space="0" w:color="auto"/>
              <w:right w:val="single" w:sz="4" w:space="0" w:color="auto"/>
            </w:tcBorders>
            <w:shd w:val="clear" w:color="auto" w:fill="F2F2F2" w:themeFill="background1" w:themeFillShade="F2"/>
            <w:noWrap/>
          </w:tcPr>
          <w:p w14:paraId="7A79AB8D" w14:textId="77777777" w:rsidR="00224745" w:rsidRPr="00046DA5" w:rsidRDefault="00224745" w:rsidP="00E64BC4">
            <w:pPr>
              <w:pStyle w:val="TableBody"/>
              <w:keepNext/>
              <w:keepLines/>
              <w:rPr>
                <w:rFonts w:cs="Arial"/>
                <w:szCs w:val="20"/>
              </w:rPr>
            </w:pPr>
            <w:r w:rsidRPr="00046DA5">
              <w:rPr>
                <w:rFonts w:cs="Arial"/>
                <w:color w:val="000000"/>
                <w:szCs w:val="20"/>
              </w:rPr>
              <w:t xml:space="preserve">9.7470 </w:t>
            </w:r>
          </w:p>
        </w:tc>
        <w:tc>
          <w:tcPr>
            <w:tcW w:w="1134"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14:paraId="28B7490B" w14:textId="77777777" w:rsidR="00224745" w:rsidRPr="00046DA5" w:rsidRDefault="00224745" w:rsidP="00E64BC4">
            <w:pPr>
              <w:pStyle w:val="TableBody"/>
              <w:keepNext/>
              <w:keepLines/>
              <w:rPr>
                <w:rFonts w:cs="Arial"/>
                <w:color w:val="000000"/>
                <w:szCs w:val="20"/>
              </w:rPr>
            </w:pPr>
            <w:r w:rsidRPr="00046DA5">
              <w:rPr>
                <w:rFonts w:cs="Arial"/>
                <w:color w:val="000000"/>
                <w:szCs w:val="20"/>
              </w:rPr>
              <w:t xml:space="preserve">3.8070 </w:t>
            </w:r>
          </w:p>
        </w:tc>
        <w:tc>
          <w:tcPr>
            <w:tcW w:w="1134" w:type="dxa"/>
            <w:tcBorders>
              <w:top w:val="nil"/>
              <w:left w:val="nil"/>
              <w:bottom w:val="single" w:sz="4" w:space="0" w:color="auto"/>
              <w:right w:val="single" w:sz="4" w:space="0" w:color="auto"/>
            </w:tcBorders>
            <w:shd w:val="clear" w:color="auto" w:fill="F2F2F2" w:themeFill="background1" w:themeFillShade="F2"/>
            <w:noWrap/>
          </w:tcPr>
          <w:p w14:paraId="1A79F88D" w14:textId="77777777" w:rsidR="00224745" w:rsidRPr="00046DA5" w:rsidRDefault="00224745" w:rsidP="00E64BC4">
            <w:pPr>
              <w:pStyle w:val="TableBody"/>
              <w:keepNext/>
              <w:keepLines/>
              <w:rPr>
                <w:rFonts w:cs="Arial"/>
                <w:szCs w:val="20"/>
              </w:rPr>
            </w:pPr>
            <w:r w:rsidRPr="00046DA5">
              <w:rPr>
                <w:rFonts w:cs="Arial"/>
                <w:color w:val="000000"/>
                <w:szCs w:val="20"/>
              </w:rPr>
              <w:t xml:space="preserve">2.0250 </w:t>
            </w:r>
          </w:p>
        </w:tc>
        <w:tc>
          <w:tcPr>
            <w:tcW w:w="1134" w:type="dxa"/>
            <w:tcBorders>
              <w:top w:val="nil"/>
              <w:left w:val="nil"/>
              <w:bottom w:val="single" w:sz="4" w:space="0" w:color="auto"/>
              <w:right w:val="single" w:sz="4" w:space="0" w:color="auto"/>
            </w:tcBorders>
            <w:shd w:val="clear" w:color="auto" w:fill="F2F2F2" w:themeFill="background1" w:themeFillShade="F2"/>
            <w:noWrap/>
          </w:tcPr>
          <w:p w14:paraId="5440EC9F" w14:textId="77777777" w:rsidR="00224745" w:rsidRPr="00046DA5" w:rsidRDefault="00224745" w:rsidP="00E64BC4">
            <w:pPr>
              <w:pStyle w:val="TableBody"/>
              <w:keepNext/>
              <w:keepLines/>
              <w:rPr>
                <w:rFonts w:cs="Arial"/>
                <w:szCs w:val="20"/>
              </w:rPr>
            </w:pPr>
            <w:r w:rsidRPr="00046DA5">
              <w:rPr>
                <w:rFonts w:cs="Arial"/>
                <w:color w:val="000000"/>
                <w:szCs w:val="20"/>
              </w:rPr>
              <w:t xml:space="preserve">0.4370 </w:t>
            </w:r>
          </w:p>
        </w:tc>
        <w:tc>
          <w:tcPr>
            <w:tcW w:w="1134" w:type="dxa"/>
            <w:tcBorders>
              <w:top w:val="nil"/>
              <w:left w:val="nil"/>
              <w:bottom w:val="single" w:sz="4" w:space="0" w:color="auto"/>
              <w:right w:val="single" w:sz="4" w:space="0" w:color="auto"/>
            </w:tcBorders>
            <w:shd w:val="clear" w:color="auto" w:fill="F2F2F2" w:themeFill="background1" w:themeFillShade="F2"/>
            <w:noWrap/>
          </w:tcPr>
          <w:p w14:paraId="59C280D4" w14:textId="77777777" w:rsidR="00224745" w:rsidRPr="00046DA5" w:rsidRDefault="00224745" w:rsidP="00E64BC4">
            <w:pPr>
              <w:pStyle w:val="TableBody"/>
              <w:keepNext/>
              <w:keepLines/>
              <w:rPr>
                <w:rFonts w:cs="Arial"/>
                <w:szCs w:val="20"/>
              </w:rPr>
            </w:pPr>
            <w:r w:rsidRPr="00046DA5">
              <w:rPr>
                <w:rFonts w:cs="Arial"/>
                <w:color w:val="000000"/>
                <w:szCs w:val="20"/>
              </w:rPr>
              <w:t xml:space="preserve">0.2180 </w:t>
            </w:r>
          </w:p>
        </w:tc>
      </w:tr>
      <w:tr w:rsidR="00224745" w:rsidRPr="00046DA5" w14:paraId="4771639A" w14:textId="77777777" w:rsidTr="00C852E9">
        <w:tc>
          <w:tcPr>
            <w:tcW w:w="2160" w:type="dxa"/>
            <w:shd w:val="clear" w:color="auto" w:fill="auto"/>
            <w:noWrap/>
            <w:vAlign w:val="center"/>
          </w:tcPr>
          <w:p w14:paraId="2C9A62E5" w14:textId="77777777" w:rsidR="00224745" w:rsidRPr="00046DA5" w:rsidRDefault="00224745" w:rsidP="00E64BC4">
            <w:pPr>
              <w:pStyle w:val="TableBody"/>
              <w:keepNext/>
              <w:keepLines/>
              <w:rPr>
                <w:rFonts w:cs="Arial"/>
                <w:szCs w:val="20"/>
              </w:rPr>
            </w:pPr>
            <w:r w:rsidRPr="00046DA5">
              <w:rPr>
                <w:rFonts w:cs="Arial"/>
                <w:szCs w:val="20"/>
              </w:rPr>
              <w:t>&gt;70 to 399.9 MHz</w:t>
            </w:r>
          </w:p>
        </w:tc>
        <w:tc>
          <w:tcPr>
            <w:tcW w:w="1210" w:type="dxa"/>
            <w:tcBorders>
              <w:top w:val="nil"/>
              <w:left w:val="single" w:sz="4" w:space="0" w:color="auto"/>
              <w:bottom w:val="single" w:sz="4" w:space="0" w:color="auto"/>
              <w:right w:val="single" w:sz="4" w:space="0" w:color="auto"/>
            </w:tcBorders>
            <w:shd w:val="clear" w:color="auto" w:fill="auto"/>
            <w:noWrap/>
          </w:tcPr>
          <w:p w14:paraId="39D0BA77" w14:textId="77777777" w:rsidR="00224745" w:rsidRPr="00046DA5" w:rsidRDefault="00224745" w:rsidP="00E64BC4">
            <w:pPr>
              <w:pStyle w:val="TableBody"/>
              <w:keepNext/>
              <w:keepLines/>
              <w:rPr>
                <w:rFonts w:cs="Arial"/>
                <w:szCs w:val="20"/>
              </w:rPr>
            </w:pPr>
            <w:r w:rsidRPr="00046DA5">
              <w:rPr>
                <w:rFonts w:cs="Arial"/>
                <w:color w:val="000000"/>
                <w:szCs w:val="20"/>
              </w:rPr>
              <w:t xml:space="preserve">10.0000 </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178E47D1" w14:textId="77777777" w:rsidR="00224745" w:rsidRPr="00046DA5" w:rsidRDefault="00224745" w:rsidP="00E64BC4">
            <w:pPr>
              <w:pStyle w:val="TableBody"/>
              <w:keepNext/>
              <w:keepLines/>
              <w:rPr>
                <w:rFonts w:cs="Arial"/>
                <w:color w:val="000000"/>
                <w:szCs w:val="20"/>
              </w:rPr>
            </w:pPr>
            <w:r w:rsidRPr="00046DA5">
              <w:rPr>
                <w:rFonts w:cs="Arial"/>
                <w:color w:val="000000"/>
                <w:szCs w:val="20"/>
              </w:rPr>
              <w:t xml:space="preserve">4.1040 </w:t>
            </w:r>
          </w:p>
        </w:tc>
        <w:tc>
          <w:tcPr>
            <w:tcW w:w="1134" w:type="dxa"/>
            <w:tcBorders>
              <w:top w:val="nil"/>
              <w:left w:val="nil"/>
              <w:bottom w:val="single" w:sz="4" w:space="0" w:color="auto"/>
              <w:right w:val="single" w:sz="4" w:space="0" w:color="auto"/>
            </w:tcBorders>
            <w:shd w:val="clear" w:color="auto" w:fill="auto"/>
            <w:noWrap/>
          </w:tcPr>
          <w:p w14:paraId="4865D592" w14:textId="77777777" w:rsidR="00224745" w:rsidRPr="00046DA5" w:rsidRDefault="00224745" w:rsidP="00E64BC4">
            <w:pPr>
              <w:pStyle w:val="TableBody"/>
              <w:keepNext/>
              <w:keepLines/>
              <w:rPr>
                <w:rFonts w:cs="Arial"/>
                <w:szCs w:val="20"/>
              </w:rPr>
            </w:pPr>
            <w:r w:rsidRPr="00046DA5">
              <w:rPr>
                <w:rFonts w:cs="Arial"/>
                <w:color w:val="000000"/>
                <w:szCs w:val="20"/>
              </w:rPr>
              <w:t xml:space="preserve">1.8780 </w:t>
            </w:r>
          </w:p>
        </w:tc>
        <w:tc>
          <w:tcPr>
            <w:tcW w:w="1134" w:type="dxa"/>
            <w:tcBorders>
              <w:top w:val="nil"/>
              <w:left w:val="nil"/>
              <w:bottom w:val="single" w:sz="4" w:space="0" w:color="auto"/>
              <w:right w:val="single" w:sz="4" w:space="0" w:color="auto"/>
            </w:tcBorders>
            <w:shd w:val="clear" w:color="auto" w:fill="auto"/>
            <w:noWrap/>
          </w:tcPr>
          <w:p w14:paraId="05BF282C" w14:textId="77777777" w:rsidR="00224745" w:rsidRPr="00046DA5" w:rsidRDefault="00224745" w:rsidP="00E64BC4">
            <w:pPr>
              <w:pStyle w:val="TableBody"/>
              <w:keepNext/>
              <w:keepLines/>
              <w:rPr>
                <w:rFonts w:cs="Arial"/>
                <w:szCs w:val="20"/>
              </w:rPr>
            </w:pPr>
            <w:r w:rsidRPr="00046DA5">
              <w:rPr>
                <w:rFonts w:cs="Arial"/>
                <w:color w:val="000000"/>
                <w:szCs w:val="20"/>
              </w:rPr>
              <w:t xml:space="preserve">0.4210 </w:t>
            </w:r>
          </w:p>
        </w:tc>
        <w:tc>
          <w:tcPr>
            <w:tcW w:w="1134" w:type="dxa"/>
            <w:tcBorders>
              <w:top w:val="nil"/>
              <w:left w:val="nil"/>
              <w:bottom w:val="single" w:sz="4" w:space="0" w:color="auto"/>
              <w:right w:val="single" w:sz="4" w:space="0" w:color="auto"/>
            </w:tcBorders>
            <w:shd w:val="clear" w:color="auto" w:fill="auto"/>
            <w:noWrap/>
          </w:tcPr>
          <w:p w14:paraId="1174C334" w14:textId="77777777" w:rsidR="00224745" w:rsidRPr="00046DA5" w:rsidRDefault="00224745" w:rsidP="00E64BC4">
            <w:pPr>
              <w:pStyle w:val="TableBody"/>
              <w:keepNext/>
              <w:keepLines/>
              <w:rPr>
                <w:rFonts w:cs="Arial"/>
                <w:szCs w:val="20"/>
              </w:rPr>
            </w:pPr>
            <w:r w:rsidRPr="00046DA5">
              <w:rPr>
                <w:rFonts w:cs="Arial"/>
                <w:color w:val="000000"/>
                <w:szCs w:val="20"/>
              </w:rPr>
              <w:t xml:space="preserve">0.2100 </w:t>
            </w:r>
          </w:p>
        </w:tc>
      </w:tr>
      <w:tr w:rsidR="00224745" w:rsidRPr="00046DA5" w14:paraId="171591CE" w14:textId="77777777" w:rsidTr="00097F88">
        <w:tc>
          <w:tcPr>
            <w:tcW w:w="2160" w:type="dxa"/>
            <w:shd w:val="clear" w:color="auto" w:fill="F2F2F2" w:themeFill="background1" w:themeFillShade="F2"/>
            <w:noWrap/>
            <w:vAlign w:val="center"/>
          </w:tcPr>
          <w:p w14:paraId="6406F03F" w14:textId="77777777" w:rsidR="00224745" w:rsidRPr="00046DA5" w:rsidRDefault="00224745" w:rsidP="00E64BC4">
            <w:pPr>
              <w:pStyle w:val="TableBody"/>
              <w:keepNext/>
              <w:keepLines/>
              <w:rPr>
                <w:rFonts w:cs="Arial"/>
                <w:szCs w:val="20"/>
              </w:rPr>
            </w:pPr>
            <w:r w:rsidRPr="00046DA5">
              <w:rPr>
                <w:rFonts w:cs="Arial"/>
                <w:szCs w:val="20"/>
              </w:rPr>
              <w:t>&gt;399.9 to 403 MHz</w:t>
            </w:r>
          </w:p>
        </w:tc>
        <w:tc>
          <w:tcPr>
            <w:tcW w:w="1210" w:type="dxa"/>
            <w:tcBorders>
              <w:top w:val="nil"/>
              <w:left w:val="single" w:sz="4" w:space="0" w:color="auto"/>
              <w:bottom w:val="single" w:sz="4" w:space="0" w:color="auto"/>
              <w:right w:val="single" w:sz="4" w:space="0" w:color="auto"/>
            </w:tcBorders>
            <w:shd w:val="clear" w:color="auto" w:fill="F2F2F2" w:themeFill="background1" w:themeFillShade="F2"/>
            <w:noWrap/>
          </w:tcPr>
          <w:p w14:paraId="793B90E7" w14:textId="77777777" w:rsidR="00224745" w:rsidRPr="00046DA5" w:rsidRDefault="00224745" w:rsidP="00E64BC4">
            <w:pPr>
              <w:pStyle w:val="TableBody"/>
              <w:keepNext/>
              <w:keepLines/>
              <w:rPr>
                <w:rFonts w:cs="Arial"/>
                <w:szCs w:val="20"/>
              </w:rPr>
            </w:pPr>
            <w:r w:rsidRPr="00046DA5">
              <w:rPr>
                <w:rFonts w:cs="Arial"/>
                <w:color w:val="000000"/>
                <w:szCs w:val="20"/>
              </w:rPr>
              <w:t xml:space="preserve">10.0000 </w:t>
            </w:r>
          </w:p>
        </w:tc>
        <w:tc>
          <w:tcPr>
            <w:tcW w:w="1134"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14:paraId="7D32DCF5" w14:textId="77777777" w:rsidR="00224745" w:rsidRPr="00046DA5" w:rsidRDefault="00224745" w:rsidP="00E64BC4">
            <w:pPr>
              <w:pStyle w:val="TableBody"/>
              <w:keepNext/>
              <w:keepLines/>
              <w:rPr>
                <w:rFonts w:cs="Arial"/>
                <w:color w:val="000000"/>
                <w:szCs w:val="20"/>
              </w:rPr>
            </w:pPr>
            <w:r w:rsidRPr="00046DA5">
              <w:rPr>
                <w:rFonts w:cs="Arial"/>
                <w:color w:val="000000"/>
                <w:szCs w:val="20"/>
              </w:rPr>
              <w:t xml:space="preserve">5.6000 </w:t>
            </w:r>
          </w:p>
        </w:tc>
        <w:tc>
          <w:tcPr>
            <w:tcW w:w="1134" w:type="dxa"/>
            <w:tcBorders>
              <w:top w:val="nil"/>
              <w:left w:val="nil"/>
              <w:bottom w:val="single" w:sz="4" w:space="0" w:color="auto"/>
              <w:right w:val="single" w:sz="4" w:space="0" w:color="auto"/>
            </w:tcBorders>
            <w:shd w:val="clear" w:color="auto" w:fill="F2F2F2" w:themeFill="background1" w:themeFillShade="F2"/>
            <w:noWrap/>
          </w:tcPr>
          <w:p w14:paraId="2353AAB3" w14:textId="77777777" w:rsidR="00224745" w:rsidRPr="00046DA5" w:rsidRDefault="00224745" w:rsidP="00E64BC4">
            <w:pPr>
              <w:pStyle w:val="TableBody"/>
              <w:keepNext/>
              <w:keepLines/>
              <w:rPr>
                <w:rFonts w:cs="Arial"/>
                <w:szCs w:val="20"/>
              </w:rPr>
            </w:pPr>
            <w:r w:rsidRPr="00046DA5">
              <w:rPr>
                <w:rFonts w:cs="Arial"/>
                <w:color w:val="000000"/>
                <w:szCs w:val="20"/>
              </w:rPr>
              <w:t xml:space="preserve">2.5620 </w:t>
            </w:r>
          </w:p>
        </w:tc>
        <w:tc>
          <w:tcPr>
            <w:tcW w:w="1134" w:type="dxa"/>
            <w:tcBorders>
              <w:top w:val="nil"/>
              <w:left w:val="nil"/>
              <w:bottom w:val="single" w:sz="4" w:space="0" w:color="auto"/>
              <w:right w:val="single" w:sz="4" w:space="0" w:color="auto"/>
            </w:tcBorders>
            <w:shd w:val="clear" w:color="auto" w:fill="F2F2F2" w:themeFill="background1" w:themeFillShade="F2"/>
            <w:noWrap/>
          </w:tcPr>
          <w:p w14:paraId="5BC86D11" w14:textId="77777777" w:rsidR="00224745" w:rsidRPr="00046DA5" w:rsidRDefault="00224745" w:rsidP="00E64BC4">
            <w:pPr>
              <w:pStyle w:val="TableBody"/>
              <w:keepNext/>
              <w:keepLines/>
              <w:rPr>
                <w:rFonts w:cs="Arial"/>
                <w:szCs w:val="20"/>
              </w:rPr>
            </w:pPr>
            <w:r w:rsidRPr="00046DA5">
              <w:rPr>
                <w:rFonts w:cs="Arial"/>
                <w:color w:val="000000"/>
                <w:szCs w:val="20"/>
              </w:rPr>
              <w:t xml:space="preserve">0.4370 </w:t>
            </w:r>
          </w:p>
        </w:tc>
        <w:tc>
          <w:tcPr>
            <w:tcW w:w="1134" w:type="dxa"/>
            <w:tcBorders>
              <w:top w:val="nil"/>
              <w:left w:val="nil"/>
              <w:bottom w:val="single" w:sz="4" w:space="0" w:color="auto"/>
              <w:right w:val="single" w:sz="4" w:space="0" w:color="auto"/>
            </w:tcBorders>
            <w:shd w:val="clear" w:color="auto" w:fill="F2F2F2" w:themeFill="background1" w:themeFillShade="F2"/>
            <w:noWrap/>
          </w:tcPr>
          <w:p w14:paraId="330D0F6D" w14:textId="77777777" w:rsidR="00224745" w:rsidRPr="00046DA5" w:rsidRDefault="00224745" w:rsidP="00E64BC4">
            <w:pPr>
              <w:pStyle w:val="TableBody"/>
              <w:keepNext/>
              <w:keepLines/>
              <w:rPr>
                <w:rFonts w:cs="Arial"/>
                <w:szCs w:val="20"/>
              </w:rPr>
            </w:pPr>
            <w:r w:rsidRPr="00046DA5">
              <w:rPr>
                <w:rFonts w:cs="Arial"/>
                <w:color w:val="000000"/>
                <w:szCs w:val="20"/>
              </w:rPr>
              <w:t xml:space="preserve">0.2180 </w:t>
            </w:r>
          </w:p>
        </w:tc>
      </w:tr>
      <w:tr w:rsidR="00224745" w:rsidRPr="00046DA5" w14:paraId="6A88656C" w14:textId="77777777" w:rsidTr="00C852E9">
        <w:tc>
          <w:tcPr>
            <w:tcW w:w="2160" w:type="dxa"/>
            <w:shd w:val="clear" w:color="auto" w:fill="auto"/>
            <w:noWrap/>
            <w:vAlign w:val="center"/>
          </w:tcPr>
          <w:p w14:paraId="31875112" w14:textId="77777777" w:rsidR="00224745" w:rsidRPr="00046DA5" w:rsidRDefault="00224745" w:rsidP="00E64BC4">
            <w:pPr>
              <w:pStyle w:val="TableBody"/>
              <w:keepNext/>
              <w:keepLines/>
              <w:rPr>
                <w:rFonts w:cs="Arial"/>
                <w:szCs w:val="20"/>
              </w:rPr>
            </w:pPr>
            <w:r w:rsidRPr="00046DA5">
              <w:rPr>
                <w:rFonts w:cs="Arial"/>
                <w:szCs w:val="20"/>
              </w:rPr>
              <w:t>&gt;403 to 520 MHz</w:t>
            </w:r>
          </w:p>
        </w:tc>
        <w:tc>
          <w:tcPr>
            <w:tcW w:w="1210" w:type="dxa"/>
            <w:tcBorders>
              <w:top w:val="nil"/>
              <w:left w:val="single" w:sz="4" w:space="0" w:color="auto"/>
              <w:bottom w:val="single" w:sz="4" w:space="0" w:color="auto"/>
              <w:right w:val="single" w:sz="4" w:space="0" w:color="auto"/>
            </w:tcBorders>
            <w:shd w:val="clear" w:color="auto" w:fill="auto"/>
            <w:noWrap/>
          </w:tcPr>
          <w:p w14:paraId="2F3DF316" w14:textId="77777777" w:rsidR="00224745" w:rsidRPr="00046DA5" w:rsidRDefault="00224745" w:rsidP="00E64BC4">
            <w:pPr>
              <w:pStyle w:val="TableBody"/>
              <w:keepNext/>
              <w:keepLines/>
              <w:rPr>
                <w:rFonts w:cs="Arial"/>
                <w:color w:val="000000"/>
                <w:szCs w:val="20"/>
              </w:rPr>
            </w:pPr>
            <w:r w:rsidRPr="00046DA5">
              <w:rPr>
                <w:rFonts w:cs="Arial"/>
                <w:color w:val="000000"/>
                <w:szCs w:val="20"/>
              </w:rPr>
              <w:t>10.0000</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76A35AC5" w14:textId="77777777" w:rsidR="00224745" w:rsidRPr="00046DA5" w:rsidRDefault="00224745" w:rsidP="00E64BC4">
            <w:pPr>
              <w:pStyle w:val="TableBody"/>
              <w:keepNext/>
              <w:keepLines/>
              <w:rPr>
                <w:rFonts w:cs="Arial"/>
                <w:color w:val="000000"/>
                <w:szCs w:val="20"/>
              </w:rPr>
            </w:pPr>
            <w:r w:rsidRPr="00046DA5">
              <w:rPr>
                <w:rFonts w:cs="Arial"/>
                <w:color w:val="000000"/>
                <w:szCs w:val="20"/>
              </w:rPr>
              <w:t>7.4114</w:t>
            </w:r>
          </w:p>
        </w:tc>
        <w:tc>
          <w:tcPr>
            <w:tcW w:w="1134" w:type="dxa"/>
            <w:tcBorders>
              <w:top w:val="nil"/>
              <w:left w:val="nil"/>
              <w:bottom w:val="single" w:sz="4" w:space="0" w:color="auto"/>
              <w:right w:val="single" w:sz="4" w:space="0" w:color="auto"/>
            </w:tcBorders>
            <w:shd w:val="clear" w:color="auto" w:fill="auto"/>
            <w:noWrap/>
          </w:tcPr>
          <w:p w14:paraId="73DE3837" w14:textId="77777777" w:rsidR="00224745" w:rsidRPr="00046DA5" w:rsidRDefault="00224745" w:rsidP="00E64BC4">
            <w:pPr>
              <w:pStyle w:val="TableBody"/>
              <w:keepNext/>
              <w:keepLines/>
              <w:rPr>
                <w:rFonts w:cs="Arial"/>
                <w:color w:val="000000"/>
                <w:szCs w:val="20"/>
              </w:rPr>
            </w:pPr>
            <w:r w:rsidRPr="00046DA5">
              <w:rPr>
                <w:rFonts w:cs="Arial"/>
                <w:color w:val="000000"/>
                <w:szCs w:val="20"/>
              </w:rPr>
              <w:t>2.5620</w:t>
            </w:r>
          </w:p>
        </w:tc>
        <w:tc>
          <w:tcPr>
            <w:tcW w:w="1134" w:type="dxa"/>
            <w:tcBorders>
              <w:top w:val="nil"/>
              <w:left w:val="nil"/>
              <w:bottom w:val="single" w:sz="4" w:space="0" w:color="auto"/>
              <w:right w:val="single" w:sz="4" w:space="0" w:color="auto"/>
            </w:tcBorders>
            <w:shd w:val="clear" w:color="auto" w:fill="auto"/>
            <w:noWrap/>
          </w:tcPr>
          <w:p w14:paraId="2F1F918A" w14:textId="77777777" w:rsidR="00224745" w:rsidRPr="00046DA5" w:rsidRDefault="00224745" w:rsidP="00E64BC4">
            <w:pPr>
              <w:pStyle w:val="TableBody"/>
              <w:keepNext/>
              <w:keepLines/>
              <w:rPr>
                <w:rFonts w:cs="Arial"/>
                <w:color w:val="000000"/>
                <w:szCs w:val="20"/>
              </w:rPr>
            </w:pPr>
            <w:r w:rsidRPr="00046DA5">
              <w:rPr>
                <w:rFonts w:cs="Arial"/>
                <w:color w:val="000000"/>
                <w:szCs w:val="20"/>
              </w:rPr>
              <w:t>0.4370</w:t>
            </w:r>
          </w:p>
        </w:tc>
        <w:tc>
          <w:tcPr>
            <w:tcW w:w="1134" w:type="dxa"/>
            <w:tcBorders>
              <w:top w:val="nil"/>
              <w:left w:val="nil"/>
              <w:bottom w:val="single" w:sz="4" w:space="0" w:color="auto"/>
              <w:right w:val="single" w:sz="4" w:space="0" w:color="auto"/>
            </w:tcBorders>
            <w:shd w:val="clear" w:color="auto" w:fill="auto"/>
            <w:noWrap/>
          </w:tcPr>
          <w:p w14:paraId="691F22D6" w14:textId="77777777" w:rsidR="00224745" w:rsidRPr="00046DA5" w:rsidRDefault="00224745" w:rsidP="00E64BC4">
            <w:pPr>
              <w:pStyle w:val="TableBody"/>
              <w:keepNext/>
              <w:keepLines/>
              <w:rPr>
                <w:rFonts w:cs="Arial"/>
                <w:color w:val="000000"/>
                <w:szCs w:val="20"/>
              </w:rPr>
            </w:pPr>
            <w:r w:rsidRPr="00046DA5">
              <w:rPr>
                <w:rFonts w:cs="Arial"/>
                <w:color w:val="000000"/>
                <w:szCs w:val="20"/>
              </w:rPr>
              <w:t>0.2180</w:t>
            </w:r>
          </w:p>
        </w:tc>
      </w:tr>
      <w:tr w:rsidR="00224745" w:rsidRPr="00046DA5" w14:paraId="6C694226" w14:textId="77777777" w:rsidTr="00097F88">
        <w:tc>
          <w:tcPr>
            <w:tcW w:w="2160" w:type="dxa"/>
            <w:shd w:val="clear" w:color="auto" w:fill="F2F2F2" w:themeFill="background1" w:themeFillShade="F2"/>
            <w:noWrap/>
            <w:vAlign w:val="center"/>
          </w:tcPr>
          <w:p w14:paraId="0DA7DFD7" w14:textId="77777777" w:rsidR="00224745" w:rsidRPr="00046DA5" w:rsidRDefault="00224745" w:rsidP="00E64BC4">
            <w:pPr>
              <w:pStyle w:val="TableBody"/>
              <w:keepNext/>
              <w:keepLines/>
              <w:rPr>
                <w:rFonts w:cs="Arial"/>
                <w:szCs w:val="20"/>
              </w:rPr>
            </w:pPr>
            <w:r w:rsidRPr="00046DA5">
              <w:rPr>
                <w:rFonts w:cs="Arial"/>
                <w:szCs w:val="20"/>
              </w:rPr>
              <w:t>&gt;520 to 960 MHz</w:t>
            </w:r>
          </w:p>
        </w:tc>
        <w:tc>
          <w:tcPr>
            <w:tcW w:w="1210" w:type="dxa"/>
            <w:tcBorders>
              <w:top w:val="nil"/>
              <w:left w:val="single" w:sz="4" w:space="0" w:color="auto"/>
              <w:bottom w:val="single" w:sz="4" w:space="0" w:color="auto"/>
              <w:right w:val="single" w:sz="4" w:space="0" w:color="auto"/>
            </w:tcBorders>
            <w:shd w:val="clear" w:color="auto" w:fill="F2F2F2" w:themeFill="background1" w:themeFillShade="F2"/>
            <w:noWrap/>
          </w:tcPr>
          <w:p w14:paraId="7C42FB64" w14:textId="77777777" w:rsidR="00224745" w:rsidRPr="00046DA5" w:rsidRDefault="00224745" w:rsidP="00E64BC4">
            <w:pPr>
              <w:pStyle w:val="TableBody"/>
              <w:keepNext/>
              <w:keepLines/>
              <w:rPr>
                <w:rFonts w:cs="Arial"/>
                <w:szCs w:val="20"/>
              </w:rPr>
            </w:pPr>
            <w:r w:rsidRPr="00046DA5">
              <w:rPr>
                <w:rFonts w:cs="Arial"/>
                <w:color w:val="000000"/>
                <w:szCs w:val="20"/>
              </w:rPr>
              <w:t xml:space="preserve">10.0000 </w:t>
            </w:r>
          </w:p>
        </w:tc>
        <w:tc>
          <w:tcPr>
            <w:tcW w:w="1134"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14:paraId="30B325B0" w14:textId="77777777" w:rsidR="00224745" w:rsidRPr="00046DA5" w:rsidRDefault="00224745" w:rsidP="00E64BC4">
            <w:pPr>
              <w:pStyle w:val="TableBody"/>
              <w:keepNext/>
              <w:keepLines/>
              <w:rPr>
                <w:rFonts w:cs="Arial"/>
                <w:color w:val="000000"/>
                <w:szCs w:val="20"/>
              </w:rPr>
            </w:pPr>
            <w:r w:rsidRPr="00046DA5">
              <w:rPr>
                <w:rFonts w:cs="Arial"/>
                <w:color w:val="000000"/>
                <w:szCs w:val="20"/>
              </w:rPr>
              <w:t xml:space="preserve">5.6000 </w:t>
            </w:r>
          </w:p>
        </w:tc>
        <w:tc>
          <w:tcPr>
            <w:tcW w:w="1134" w:type="dxa"/>
            <w:tcBorders>
              <w:top w:val="nil"/>
              <w:left w:val="nil"/>
              <w:bottom w:val="single" w:sz="4" w:space="0" w:color="auto"/>
              <w:right w:val="single" w:sz="4" w:space="0" w:color="auto"/>
            </w:tcBorders>
            <w:shd w:val="clear" w:color="auto" w:fill="F2F2F2" w:themeFill="background1" w:themeFillShade="F2"/>
            <w:noWrap/>
          </w:tcPr>
          <w:p w14:paraId="63B99C3D" w14:textId="77777777" w:rsidR="00224745" w:rsidRPr="00046DA5" w:rsidRDefault="00224745" w:rsidP="00E64BC4">
            <w:pPr>
              <w:pStyle w:val="TableBody"/>
              <w:keepNext/>
              <w:keepLines/>
              <w:rPr>
                <w:rFonts w:cs="Arial"/>
                <w:szCs w:val="20"/>
              </w:rPr>
            </w:pPr>
            <w:r w:rsidRPr="00046DA5">
              <w:rPr>
                <w:rFonts w:cs="Arial"/>
                <w:color w:val="000000"/>
                <w:szCs w:val="20"/>
              </w:rPr>
              <w:t xml:space="preserve">2.5620 </w:t>
            </w:r>
          </w:p>
        </w:tc>
        <w:tc>
          <w:tcPr>
            <w:tcW w:w="1134" w:type="dxa"/>
            <w:tcBorders>
              <w:top w:val="nil"/>
              <w:left w:val="nil"/>
              <w:bottom w:val="single" w:sz="4" w:space="0" w:color="auto"/>
              <w:right w:val="single" w:sz="4" w:space="0" w:color="auto"/>
            </w:tcBorders>
            <w:shd w:val="clear" w:color="auto" w:fill="F2F2F2" w:themeFill="background1" w:themeFillShade="F2"/>
            <w:noWrap/>
          </w:tcPr>
          <w:p w14:paraId="62ABBF0D" w14:textId="77777777" w:rsidR="00224745" w:rsidRPr="00046DA5" w:rsidRDefault="00224745" w:rsidP="00E64BC4">
            <w:pPr>
              <w:pStyle w:val="TableBody"/>
              <w:keepNext/>
              <w:keepLines/>
              <w:rPr>
                <w:rFonts w:cs="Arial"/>
                <w:szCs w:val="20"/>
              </w:rPr>
            </w:pPr>
            <w:r w:rsidRPr="00046DA5">
              <w:rPr>
                <w:rFonts w:cs="Arial"/>
                <w:color w:val="000000"/>
                <w:szCs w:val="20"/>
              </w:rPr>
              <w:t xml:space="preserve">0.4370 </w:t>
            </w:r>
          </w:p>
        </w:tc>
        <w:tc>
          <w:tcPr>
            <w:tcW w:w="1134" w:type="dxa"/>
            <w:tcBorders>
              <w:top w:val="nil"/>
              <w:left w:val="nil"/>
              <w:bottom w:val="single" w:sz="4" w:space="0" w:color="auto"/>
              <w:right w:val="single" w:sz="4" w:space="0" w:color="auto"/>
            </w:tcBorders>
            <w:shd w:val="clear" w:color="auto" w:fill="F2F2F2" w:themeFill="background1" w:themeFillShade="F2"/>
            <w:noWrap/>
          </w:tcPr>
          <w:p w14:paraId="71CD4F54" w14:textId="77777777" w:rsidR="00224745" w:rsidRPr="00046DA5" w:rsidRDefault="00224745" w:rsidP="00E64BC4">
            <w:pPr>
              <w:pStyle w:val="TableBody"/>
              <w:keepNext/>
              <w:keepLines/>
              <w:rPr>
                <w:rFonts w:cs="Arial"/>
                <w:szCs w:val="20"/>
              </w:rPr>
            </w:pPr>
            <w:r w:rsidRPr="00046DA5">
              <w:rPr>
                <w:rFonts w:cs="Arial"/>
                <w:color w:val="000000"/>
                <w:szCs w:val="20"/>
              </w:rPr>
              <w:t xml:space="preserve">0.2180 </w:t>
            </w:r>
          </w:p>
        </w:tc>
      </w:tr>
      <w:tr w:rsidR="00224745" w:rsidRPr="00046DA5" w14:paraId="31B38B7C" w14:textId="77777777" w:rsidTr="00C852E9">
        <w:tc>
          <w:tcPr>
            <w:tcW w:w="2160" w:type="dxa"/>
            <w:shd w:val="clear" w:color="auto" w:fill="auto"/>
            <w:noWrap/>
            <w:vAlign w:val="center"/>
          </w:tcPr>
          <w:p w14:paraId="1D1B96BB" w14:textId="77777777" w:rsidR="00224745" w:rsidRPr="00046DA5" w:rsidRDefault="00224745" w:rsidP="00E64BC4">
            <w:pPr>
              <w:pStyle w:val="TableBody"/>
              <w:keepNext/>
              <w:keepLines/>
              <w:rPr>
                <w:rFonts w:cs="Arial"/>
                <w:szCs w:val="20"/>
              </w:rPr>
            </w:pPr>
            <w:r w:rsidRPr="00046DA5">
              <w:rPr>
                <w:rFonts w:cs="Arial"/>
                <w:szCs w:val="20"/>
              </w:rPr>
              <w:t>&gt;960 to 2,690 MHz</w:t>
            </w:r>
          </w:p>
        </w:tc>
        <w:tc>
          <w:tcPr>
            <w:tcW w:w="1210" w:type="dxa"/>
            <w:tcBorders>
              <w:top w:val="nil"/>
              <w:left w:val="single" w:sz="4" w:space="0" w:color="auto"/>
              <w:bottom w:val="single" w:sz="4" w:space="0" w:color="auto"/>
              <w:right w:val="single" w:sz="4" w:space="0" w:color="auto"/>
            </w:tcBorders>
            <w:shd w:val="clear" w:color="auto" w:fill="auto"/>
            <w:noWrap/>
          </w:tcPr>
          <w:p w14:paraId="46723F34" w14:textId="77777777" w:rsidR="00224745" w:rsidRPr="00046DA5" w:rsidRDefault="00224745" w:rsidP="00E64BC4">
            <w:pPr>
              <w:pStyle w:val="TableBody"/>
              <w:keepNext/>
              <w:keepLines/>
              <w:rPr>
                <w:rFonts w:cs="Arial"/>
                <w:szCs w:val="20"/>
              </w:rPr>
            </w:pPr>
            <w:r w:rsidRPr="00046DA5">
              <w:rPr>
                <w:rFonts w:cs="Arial"/>
                <w:color w:val="000000"/>
                <w:szCs w:val="20"/>
              </w:rPr>
              <w:t xml:space="preserve">9.9850 </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27EF7B5E" w14:textId="77777777" w:rsidR="00224745" w:rsidRPr="00046DA5" w:rsidRDefault="00224745" w:rsidP="00E64BC4">
            <w:pPr>
              <w:pStyle w:val="TableBody"/>
              <w:keepNext/>
              <w:keepLines/>
              <w:rPr>
                <w:rFonts w:cs="Arial"/>
                <w:color w:val="000000"/>
                <w:szCs w:val="20"/>
              </w:rPr>
            </w:pPr>
            <w:r w:rsidRPr="00046DA5">
              <w:rPr>
                <w:rFonts w:cs="Arial"/>
                <w:color w:val="000000"/>
                <w:szCs w:val="20"/>
              </w:rPr>
              <w:t xml:space="preserve">2.2410 </w:t>
            </w:r>
          </w:p>
        </w:tc>
        <w:tc>
          <w:tcPr>
            <w:tcW w:w="1134" w:type="dxa"/>
            <w:tcBorders>
              <w:top w:val="nil"/>
              <w:left w:val="nil"/>
              <w:bottom w:val="single" w:sz="4" w:space="0" w:color="auto"/>
              <w:right w:val="single" w:sz="4" w:space="0" w:color="auto"/>
            </w:tcBorders>
            <w:shd w:val="clear" w:color="auto" w:fill="auto"/>
            <w:noWrap/>
          </w:tcPr>
          <w:p w14:paraId="295C97F2" w14:textId="77777777" w:rsidR="00224745" w:rsidRPr="00046DA5" w:rsidRDefault="00224745" w:rsidP="00E64BC4">
            <w:pPr>
              <w:pStyle w:val="TableBody"/>
              <w:keepNext/>
              <w:keepLines/>
              <w:rPr>
                <w:rFonts w:cs="Arial"/>
                <w:szCs w:val="20"/>
              </w:rPr>
            </w:pPr>
            <w:r w:rsidRPr="00046DA5">
              <w:rPr>
                <w:rFonts w:cs="Arial"/>
                <w:color w:val="000000"/>
                <w:szCs w:val="20"/>
              </w:rPr>
              <w:t xml:space="preserve">1.0360 </w:t>
            </w:r>
          </w:p>
        </w:tc>
        <w:tc>
          <w:tcPr>
            <w:tcW w:w="1134" w:type="dxa"/>
            <w:tcBorders>
              <w:top w:val="nil"/>
              <w:left w:val="nil"/>
              <w:bottom w:val="single" w:sz="4" w:space="0" w:color="auto"/>
              <w:right w:val="single" w:sz="4" w:space="0" w:color="auto"/>
            </w:tcBorders>
            <w:shd w:val="clear" w:color="auto" w:fill="auto"/>
            <w:noWrap/>
          </w:tcPr>
          <w:p w14:paraId="603DEDBD" w14:textId="77777777" w:rsidR="00224745" w:rsidRPr="00046DA5" w:rsidRDefault="00224745" w:rsidP="00E64BC4">
            <w:pPr>
              <w:pStyle w:val="TableBody"/>
              <w:keepNext/>
              <w:keepLines/>
              <w:rPr>
                <w:rFonts w:cs="Arial"/>
                <w:szCs w:val="20"/>
              </w:rPr>
            </w:pPr>
            <w:r w:rsidRPr="00046DA5">
              <w:rPr>
                <w:rFonts w:cs="Arial"/>
                <w:color w:val="000000"/>
                <w:szCs w:val="20"/>
              </w:rPr>
              <w:t xml:space="preserve">0.5210 </w:t>
            </w:r>
          </w:p>
        </w:tc>
        <w:tc>
          <w:tcPr>
            <w:tcW w:w="1134" w:type="dxa"/>
            <w:tcBorders>
              <w:top w:val="nil"/>
              <w:left w:val="nil"/>
              <w:bottom w:val="single" w:sz="4" w:space="0" w:color="auto"/>
              <w:right w:val="single" w:sz="4" w:space="0" w:color="auto"/>
            </w:tcBorders>
            <w:shd w:val="clear" w:color="auto" w:fill="auto"/>
            <w:noWrap/>
          </w:tcPr>
          <w:p w14:paraId="42D648CC" w14:textId="77777777" w:rsidR="00224745" w:rsidRPr="00046DA5" w:rsidRDefault="00224745" w:rsidP="00E64BC4">
            <w:pPr>
              <w:pStyle w:val="TableBody"/>
              <w:keepNext/>
              <w:keepLines/>
              <w:rPr>
                <w:rFonts w:cs="Arial"/>
                <w:szCs w:val="20"/>
              </w:rPr>
            </w:pPr>
            <w:r w:rsidRPr="00046DA5">
              <w:rPr>
                <w:rFonts w:cs="Arial"/>
                <w:color w:val="000000"/>
                <w:szCs w:val="20"/>
              </w:rPr>
              <w:t xml:space="preserve">0.2600 </w:t>
            </w:r>
          </w:p>
        </w:tc>
      </w:tr>
      <w:tr w:rsidR="00224745" w:rsidRPr="00046DA5" w14:paraId="7774CCCF" w14:textId="77777777" w:rsidTr="00097F88">
        <w:tc>
          <w:tcPr>
            <w:tcW w:w="2160" w:type="dxa"/>
            <w:shd w:val="clear" w:color="auto" w:fill="F2F2F2" w:themeFill="background1" w:themeFillShade="F2"/>
            <w:noWrap/>
            <w:vAlign w:val="center"/>
          </w:tcPr>
          <w:p w14:paraId="4FFAD190" w14:textId="77777777" w:rsidR="00224745" w:rsidRPr="00046DA5" w:rsidRDefault="00224745" w:rsidP="00E64BC4">
            <w:pPr>
              <w:pStyle w:val="TableBody"/>
              <w:keepNext/>
              <w:keepLines/>
              <w:rPr>
                <w:rFonts w:cs="Arial"/>
                <w:szCs w:val="20"/>
              </w:rPr>
            </w:pPr>
            <w:r w:rsidRPr="00046DA5">
              <w:rPr>
                <w:rFonts w:cs="Arial"/>
                <w:szCs w:val="20"/>
              </w:rPr>
              <w:t>&gt;2,690 to 5,000 MHz</w:t>
            </w:r>
          </w:p>
        </w:tc>
        <w:tc>
          <w:tcPr>
            <w:tcW w:w="1210" w:type="dxa"/>
            <w:tcBorders>
              <w:top w:val="nil"/>
              <w:left w:val="single" w:sz="4" w:space="0" w:color="auto"/>
              <w:bottom w:val="single" w:sz="4" w:space="0" w:color="auto"/>
              <w:right w:val="single" w:sz="4" w:space="0" w:color="auto"/>
            </w:tcBorders>
            <w:shd w:val="clear" w:color="auto" w:fill="F2F2F2" w:themeFill="background1" w:themeFillShade="F2"/>
            <w:noWrap/>
          </w:tcPr>
          <w:p w14:paraId="64466005" w14:textId="77777777" w:rsidR="00224745" w:rsidRPr="00046DA5" w:rsidRDefault="00224745" w:rsidP="00E64BC4">
            <w:pPr>
              <w:pStyle w:val="TableBody"/>
              <w:keepNext/>
              <w:keepLines/>
              <w:rPr>
                <w:rFonts w:cs="Arial"/>
                <w:szCs w:val="20"/>
              </w:rPr>
            </w:pPr>
            <w:r w:rsidRPr="00046DA5">
              <w:rPr>
                <w:rFonts w:cs="Arial"/>
                <w:color w:val="000000"/>
                <w:szCs w:val="20"/>
              </w:rPr>
              <w:t xml:space="preserve">9.9740 </w:t>
            </w:r>
          </w:p>
        </w:tc>
        <w:tc>
          <w:tcPr>
            <w:tcW w:w="1134"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14:paraId="7ADE906E" w14:textId="77777777" w:rsidR="00224745" w:rsidRPr="00046DA5" w:rsidRDefault="00224745" w:rsidP="00E64BC4">
            <w:pPr>
              <w:pStyle w:val="TableBody"/>
              <w:keepNext/>
              <w:keepLines/>
              <w:rPr>
                <w:rFonts w:cs="Arial"/>
                <w:color w:val="000000"/>
                <w:szCs w:val="20"/>
              </w:rPr>
            </w:pPr>
            <w:r w:rsidRPr="00046DA5">
              <w:rPr>
                <w:rFonts w:cs="Arial"/>
                <w:color w:val="000000"/>
                <w:szCs w:val="20"/>
              </w:rPr>
              <w:t xml:space="preserve">1.8530 </w:t>
            </w:r>
          </w:p>
        </w:tc>
        <w:tc>
          <w:tcPr>
            <w:tcW w:w="1134" w:type="dxa"/>
            <w:tcBorders>
              <w:top w:val="nil"/>
              <w:left w:val="nil"/>
              <w:bottom w:val="single" w:sz="4" w:space="0" w:color="auto"/>
              <w:right w:val="single" w:sz="4" w:space="0" w:color="auto"/>
            </w:tcBorders>
            <w:shd w:val="clear" w:color="auto" w:fill="F2F2F2" w:themeFill="background1" w:themeFillShade="F2"/>
            <w:noWrap/>
          </w:tcPr>
          <w:p w14:paraId="4757CC63" w14:textId="77777777" w:rsidR="00224745" w:rsidRPr="00046DA5" w:rsidRDefault="00224745" w:rsidP="00E64BC4">
            <w:pPr>
              <w:pStyle w:val="TableBody"/>
              <w:keepNext/>
              <w:keepLines/>
              <w:rPr>
                <w:rFonts w:cs="Arial"/>
                <w:szCs w:val="20"/>
              </w:rPr>
            </w:pPr>
            <w:r w:rsidRPr="00046DA5">
              <w:rPr>
                <w:rFonts w:cs="Arial"/>
                <w:color w:val="000000"/>
                <w:szCs w:val="20"/>
              </w:rPr>
              <w:t xml:space="preserve">0.7510 </w:t>
            </w:r>
          </w:p>
        </w:tc>
        <w:tc>
          <w:tcPr>
            <w:tcW w:w="1134" w:type="dxa"/>
            <w:tcBorders>
              <w:top w:val="nil"/>
              <w:left w:val="nil"/>
              <w:bottom w:val="single" w:sz="4" w:space="0" w:color="auto"/>
              <w:right w:val="single" w:sz="4" w:space="0" w:color="auto"/>
            </w:tcBorders>
            <w:shd w:val="clear" w:color="auto" w:fill="F2F2F2" w:themeFill="background1" w:themeFillShade="F2"/>
            <w:noWrap/>
          </w:tcPr>
          <w:p w14:paraId="0E48D8B2" w14:textId="77777777" w:rsidR="00224745" w:rsidRPr="00046DA5" w:rsidRDefault="00224745" w:rsidP="00E64BC4">
            <w:pPr>
              <w:pStyle w:val="TableBody"/>
              <w:keepNext/>
              <w:keepLines/>
              <w:rPr>
                <w:rFonts w:cs="Arial"/>
                <w:szCs w:val="20"/>
              </w:rPr>
            </w:pPr>
            <w:r w:rsidRPr="00046DA5">
              <w:rPr>
                <w:rFonts w:cs="Arial"/>
                <w:color w:val="000000"/>
                <w:szCs w:val="20"/>
              </w:rPr>
              <w:t xml:space="preserve">0.6220 </w:t>
            </w:r>
          </w:p>
        </w:tc>
        <w:tc>
          <w:tcPr>
            <w:tcW w:w="1134" w:type="dxa"/>
            <w:tcBorders>
              <w:top w:val="nil"/>
              <w:left w:val="nil"/>
              <w:bottom w:val="single" w:sz="4" w:space="0" w:color="auto"/>
              <w:right w:val="single" w:sz="4" w:space="0" w:color="auto"/>
            </w:tcBorders>
            <w:shd w:val="clear" w:color="auto" w:fill="F2F2F2" w:themeFill="background1" w:themeFillShade="F2"/>
            <w:noWrap/>
          </w:tcPr>
          <w:p w14:paraId="1BADD944" w14:textId="77777777" w:rsidR="00224745" w:rsidRPr="00046DA5" w:rsidRDefault="00224745" w:rsidP="00E64BC4">
            <w:pPr>
              <w:pStyle w:val="TableBody"/>
              <w:keepNext/>
              <w:keepLines/>
              <w:rPr>
                <w:rFonts w:cs="Arial"/>
                <w:szCs w:val="20"/>
              </w:rPr>
            </w:pPr>
            <w:r w:rsidRPr="00046DA5">
              <w:rPr>
                <w:rFonts w:cs="Arial"/>
                <w:color w:val="000000"/>
                <w:szCs w:val="20"/>
              </w:rPr>
              <w:t xml:space="preserve">0.3110 </w:t>
            </w:r>
          </w:p>
        </w:tc>
      </w:tr>
      <w:tr w:rsidR="00224745" w:rsidRPr="00046DA5" w14:paraId="72B38A08" w14:textId="77777777" w:rsidTr="00C852E9">
        <w:tc>
          <w:tcPr>
            <w:tcW w:w="2160" w:type="dxa"/>
            <w:shd w:val="clear" w:color="auto" w:fill="auto"/>
            <w:noWrap/>
            <w:vAlign w:val="center"/>
          </w:tcPr>
          <w:p w14:paraId="56E20980" w14:textId="77777777" w:rsidR="00224745" w:rsidRPr="00046DA5" w:rsidRDefault="00224745" w:rsidP="00E64BC4">
            <w:pPr>
              <w:pStyle w:val="TableBody"/>
              <w:keepNext/>
              <w:keepLines/>
              <w:rPr>
                <w:rFonts w:cs="Arial"/>
                <w:szCs w:val="20"/>
              </w:rPr>
            </w:pPr>
            <w:r w:rsidRPr="00046DA5">
              <w:rPr>
                <w:rFonts w:cs="Arial"/>
                <w:szCs w:val="20"/>
              </w:rPr>
              <w:t>&gt;5.0 to 8.5 GHz</w:t>
            </w:r>
          </w:p>
        </w:tc>
        <w:tc>
          <w:tcPr>
            <w:tcW w:w="1210" w:type="dxa"/>
            <w:tcBorders>
              <w:top w:val="nil"/>
              <w:left w:val="single" w:sz="4" w:space="0" w:color="auto"/>
              <w:bottom w:val="single" w:sz="4" w:space="0" w:color="auto"/>
              <w:right w:val="single" w:sz="4" w:space="0" w:color="auto"/>
            </w:tcBorders>
            <w:shd w:val="clear" w:color="auto" w:fill="auto"/>
            <w:noWrap/>
          </w:tcPr>
          <w:p w14:paraId="38934758" w14:textId="77777777" w:rsidR="00224745" w:rsidRPr="00046DA5" w:rsidRDefault="00224745" w:rsidP="00E64BC4">
            <w:pPr>
              <w:pStyle w:val="TableBody"/>
              <w:keepNext/>
              <w:keepLines/>
              <w:rPr>
                <w:rFonts w:cs="Arial"/>
                <w:szCs w:val="20"/>
              </w:rPr>
            </w:pPr>
            <w:r w:rsidRPr="00046DA5">
              <w:rPr>
                <w:rFonts w:cs="Arial"/>
                <w:color w:val="000000"/>
                <w:szCs w:val="20"/>
              </w:rPr>
              <w:t xml:space="preserve">8.4210 </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0524DEA1" w14:textId="77777777" w:rsidR="00224745" w:rsidRPr="00046DA5" w:rsidRDefault="00224745" w:rsidP="00E64BC4">
            <w:pPr>
              <w:pStyle w:val="TableBody"/>
              <w:keepNext/>
              <w:keepLines/>
              <w:rPr>
                <w:rFonts w:cs="Arial"/>
                <w:color w:val="000000"/>
                <w:szCs w:val="20"/>
              </w:rPr>
            </w:pPr>
            <w:r w:rsidRPr="00046DA5">
              <w:rPr>
                <w:rFonts w:cs="Arial"/>
                <w:color w:val="000000"/>
                <w:szCs w:val="20"/>
              </w:rPr>
              <w:t xml:space="preserve">1.5570 </w:t>
            </w:r>
          </w:p>
        </w:tc>
        <w:tc>
          <w:tcPr>
            <w:tcW w:w="1134" w:type="dxa"/>
            <w:tcBorders>
              <w:top w:val="nil"/>
              <w:left w:val="nil"/>
              <w:bottom w:val="single" w:sz="4" w:space="0" w:color="auto"/>
              <w:right w:val="single" w:sz="4" w:space="0" w:color="auto"/>
            </w:tcBorders>
            <w:shd w:val="clear" w:color="auto" w:fill="auto"/>
            <w:noWrap/>
          </w:tcPr>
          <w:p w14:paraId="727D69ED" w14:textId="77777777" w:rsidR="00224745" w:rsidRPr="00046DA5" w:rsidRDefault="00224745" w:rsidP="00E64BC4">
            <w:pPr>
              <w:pStyle w:val="TableBody"/>
              <w:keepNext/>
              <w:keepLines/>
              <w:rPr>
                <w:rFonts w:cs="Arial"/>
                <w:szCs w:val="20"/>
              </w:rPr>
            </w:pPr>
            <w:r w:rsidRPr="00046DA5">
              <w:rPr>
                <w:rFonts w:cs="Arial"/>
                <w:color w:val="000000"/>
                <w:szCs w:val="20"/>
              </w:rPr>
              <w:t xml:space="preserve">0.7250 </w:t>
            </w:r>
          </w:p>
        </w:tc>
        <w:tc>
          <w:tcPr>
            <w:tcW w:w="1134" w:type="dxa"/>
            <w:tcBorders>
              <w:top w:val="nil"/>
              <w:left w:val="nil"/>
              <w:bottom w:val="single" w:sz="4" w:space="0" w:color="auto"/>
              <w:right w:val="single" w:sz="4" w:space="0" w:color="auto"/>
            </w:tcBorders>
            <w:shd w:val="clear" w:color="auto" w:fill="auto"/>
            <w:noWrap/>
          </w:tcPr>
          <w:p w14:paraId="5055A614" w14:textId="77777777" w:rsidR="00224745" w:rsidRPr="00046DA5" w:rsidRDefault="00224745" w:rsidP="00E64BC4">
            <w:pPr>
              <w:pStyle w:val="TableBody"/>
              <w:keepNext/>
              <w:keepLines/>
              <w:rPr>
                <w:rFonts w:cs="Arial"/>
                <w:szCs w:val="20"/>
              </w:rPr>
            </w:pPr>
            <w:r w:rsidRPr="00046DA5">
              <w:rPr>
                <w:rFonts w:cs="Arial"/>
                <w:color w:val="000000"/>
                <w:szCs w:val="20"/>
              </w:rPr>
              <w:t xml:space="preserve">0.3300 </w:t>
            </w:r>
          </w:p>
        </w:tc>
        <w:tc>
          <w:tcPr>
            <w:tcW w:w="1134" w:type="dxa"/>
            <w:tcBorders>
              <w:top w:val="nil"/>
              <w:left w:val="nil"/>
              <w:bottom w:val="single" w:sz="4" w:space="0" w:color="auto"/>
              <w:right w:val="single" w:sz="4" w:space="0" w:color="auto"/>
            </w:tcBorders>
            <w:shd w:val="clear" w:color="auto" w:fill="auto"/>
            <w:noWrap/>
          </w:tcPr>
          <w:p w14:paraId="00D12636" w14:textId="77777777" w:rsidR="00224745" w:rsidRPr="00046DA5" w:rsidRDefault="00224745" w:rsidP="00E64BC4">
            <w:pPr>
              <w:pStyle w:val="TableBody"/>
              <w:keepNext/>
              <w:keepLines/>
              <w:rPr>
                <w:rFonts w:cs="Arial"/>
                <w:szCs w:val="20"/>
              </w:rPr>
            </w:pPr>
            <w:r w:rsidRPr="00046DA5">
              <w:rPr>
                <w:rFonts w:cs="Arial"/>
                <w:color w:val="000000"/>
                <w:szCs w:val="20"/>
              </w:rPr>
              <w:t xml:space="preserve">0.1600 </w:t>
            </w:r>
          </w:p>
        </w:tc>
      </w:tr>
      <w:tr w:rsidR="00224745" w:rsidRPr="00046DA5" w14:paraId="0026B8B4" w14:textId="77777777" w:rsidTr="00097F88">
        <w:tc>
          <w:tcPr>
            <w:tcW w:w="2160" w:type="dxa"/>
            <w:shd w:val="clear" w:color="auto" w:fill="F2F2F2" w:themeFill="background1" w:themeFillShade="F2"/>
            <w:noWrap/>
            <w:vAlign w:val="center"/>
          </w:tcPr>
          <w:p w14:paraId="6CC33962" w14:textId="77777777" w:rsidR="00224745" w:rsidRPr="00046DA5" w:rsidRDefault="00224745" w:rsidP="00E64BC4">
            <w:pPr>
              <w:pStyle w:val="TableBody"/>
              <w:keepNext/>
              <w:keepLines/>
              <w:rPr>
                <w:rFonts w:cs="Arial"/>
                <w:szCs w:val="20"/>
              </w:rPr>
            </w:pPr>
            <w:r w:rsidRPr="00046DA5">
              <w:rPr>
                <w:rFonts w:cs="Arial"/>
                <w:szCs w:val="20"/>
              </w:rPr>
              <w:t>&gt;8.5 to 14.5 GHz</w:t>
            </w:r>
          </w:p>
        </w:tc>
        <w:tc>
          <w:tcPr>
            <w:tcW w:w="1210" w:type="dxa"/>
            <w:tcBorders>
              <w:top w:val="nil"/>
              <w:left w:val="single" w:sz="4" w:space="0" w:color="auto"/>
              <w:bottom w:val="single" w:sz="4" w:space="0" w:color="auto"/>
              <w:right w:val="single" w:sz="4" w:space="0" w:color="auto"/>
            </w:tcBorders>
            <w:shd w:val="clear" w:color="auto" w:fill="F2F2F2" w:themeFill="background1" w:themeFillShade="F2"/>
            <w:noWrap/>
          </w:tcPr>
          <w:p w14:paraId="187D6050" w14:textId="77777777" w:rsidR="00224745" w:rsidRPr="00046DA5" w:rsidRDefault="00224745" w:rsidP="00E64BC4">
            <w:pPr>
              <w:pStyle w:val="TableBody"/>
              <w:keepNext/>
              <w:keepLines/>
              <w:rPr>
                <w:rFonts w:cs="Arial"/>
                <w:szCs w:val="20"/>
              </w:rPr>
            </w:pPr>
            <w:r w:rsidRPr="00046DA5">
              <w:rPr>
                <w:rFonts w:cs="Arial"/>
                <w:color w:val="000000"/>
                <w:szCs w:val="20"/>
              </w:rPr>
              <w:t xml:space="preserve">3.7110 </w:t>
            </w:r>
          </w:p>
        </w:tc>
        <w:tc>
          <w:tcPr>
            <w:tcW w:w="1134"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14:paraId="1CE48C58" w14:textId="77777777" w:rsidR="00224745" w:rsidRPr="00046DA5" w:rsidRDefault="00224745" w:rsidP="00E64BC4">
            <w:pPr>
              <w:pStyle w:val="TableBody"/>
              <w:keepNext/>
              <w:keepLines/>
              <w:rPr>
                <w:rFonts w:cs="Arial"/>
                <w:color w:val="000000"/>
                <w:szCs w:val="20"/>
              </w:rPr>
            </w:pPr>
            <w:r w:rsidRPr="00046DA5">
              <w:rPr>
                <w:rFonts w:cs="Arial"/>
                <w:color w:val="000000"/>
                <w:szCs w:val="20"/>
              </w:rPr>
              <w:t xml:space="preserve">1.3360 </w:t>
            </w:r>
          </w:p>
        </w:tc>
        <w:tc>
          <w:tcPr>
            <w:tcW w:w="1134" w:type="dxa"/>
            <w:tcBorders>
              <w:top w:val="nil"/>
              <w:left w:val="nil"/>
              <w:bottom w:val="single" w:sz="4" w:space="0" w:color="auto"/>
              <w:right w:val="single" w:sz="4" w:space="0" w:color="auto"/>
            </w:tcBorders>
            <w:shd w:val="clear" w:color="auto" w:fill="F2F2F2" w:themeFill="background1" w:themeFillShade="F2"/>
            <w:noWrap/>
          </w:tcPr>
          <w:p w14:paraId="06E8D70D" w14:textId="77777777" w:rsidR="00224745" w:rsidRPr="00046DA5" w:rsidRDefault="00224745" w:rsidP="00E64BC4">
            <w:pPr>
              <w:pStyle w:val="TableBody"/>
              <w:keepNext/>
              <w:keepLines/>
              <w:rPr>
                <w:rFonts w:cs="Arial"/>
                <w:szCs w:val="20"/>
              </w:rPr>
            </w:pPr>
            <w:r w:rsidRPr="00046DA5">
              <w:rPr>
                <w:rFonts w:cs="Arial"/>
                <w:color w:val="000000"/>
                <w:szCs w:val="20"/>
              </w:rPr>
              <w:t xml:space="preserve">0.3160 </w:t>
            </w:r>
          </w:p>
        </w:tc>
        <w:tc>
          <w:tcPr>
            <w:tcW w:w="1134" w:type="dxa"/>
            <w:tcBorders>
              <w:top w:val="nil"/>
              <w:left w:val="nil"/>
              <w:bottom w:val="single" w:sz="4" w:space="0" w:color="auto"/>
              <w:right w:val="single" w:sz="4" w:space="0" w:color="auto"/>
            </w:tcBorders>
            <w:shd w:val="clear" w:color="auto" w:fill="F2F2F2" w:themeFill="background1" w:themeFillShade="F2"/>
            <w:noWrap/>
          </w:tcPr>
          <w:p w14:paraId="2D8EC15A" w14:textId="77777777" w:rsidR="00224745" w:rsidRPr="00046DA5" w:rsidRDefault="00224745" w:rsidP="00E64BC4">
            <w:pPr>
              <w:pStyle w:val="TableBody"/>
              <w:keepNext/>
              <w:keepLines/>
              <w:rPr>
                <w:rFonts w:cs="Arial"/>
                <w:szCs w:val="20"/>
              </w:rPr>
            </w:pPr>
            <w:r w:rsidRPr="00046DA5">
              <w:rPr>
                <w:rFonts w:cs="Arial"/>
                <w:color w:val="000000"/>
                <w:szCs w:val="20"/>
              </w:rPr>
              <w:t xml:space="preserve">0.0230 </w:t>
            </w:r>
          </w:p>
        </w:tc>
        <w:tc>
          <w:tcPr>
            <w:tcW w:w="1134" w:type="dxa"/>
            <w:tcBorders>
              <w:top w:val="nil"/>
              <w:left w:val="nil"/>
              <w:bottom w:val="single" w:sz="4" w:space="0" w:color="auto"/>
              <w:right w:val="single" w:sz="4" w:space="0" w:color="auto"/>
            </w:tcBorders>
            <w:shd w:val="clear" w:color="auto" w:fill="F2F2F2" w:themeFill="background1" w:themeFillShade="F2"/>
            <w:noWrap/>
          </w:tcPr>
          <w:p w14:paraId="589C52F0" w14:textId="77777777" w:rsidR="00224745" w:rsidRPr="00046DA5" w:rsidRDefault="00224745" w:rsidP="00E64BC4">
            <w:pPr>
              <w:pStyle w:val="TableBody"/>
              <w:keepNext/>
              <w:keepLines/>
              <w:rPr>
                <w:rFonts w:cs="Arial"/>
                <w:szCs w:val="20"/>
              </w:rPr>
            </w:pPr>
            <w:r w:rsidRPr="00046DA5">
              <w:rPr>
                <w:rFonts w:cs="Arial"/>
                <w:color w:val="000000"/>
                <w:szCs w:val="20"/>
              </w:rPr>
              <w:t xml:space="preserve">0.0110 </w:t>
            </w:r>
          </w:p>
        </w:tc>
      </w:tr>
      <w:tr w:rsidR="00224745" w:rsidRPr="00046DA5" w14:paraId="7E53125F" w14:textId="77777777" w:rsidTr="00C852E9">
        <w:tc>
          <w:tcPr>
            <w:tcW w:w="2160" w:type="dxa"/>
            <w:shd w:val="clear" w:color="auto" w:fill="auto"/>
            <w:noWrap/>
            <w:vAlign w:val="center"/>
          </w:tcPr>
          <w:p w14:paraId="68887A00" w14:textId="77777777" w:rsidR="00224745" w:rsidRPr="00046DA5" w:rsidRDefault="00224745" w:rsidP="00E64BC4">
            <w:pPr>
              <w:pStyle w:val="TableBody"/>
              <w:keepNext/>
              <w:keepLines/>
              <w:rPr>
                <w:rFonts w:cs="Arial"/>
                <w:szCs w:val="20"/>
              </w:rPr>
            </w:pPr>
            <w:r w:rsidRPr="00046DA5">
              <w:rPr>
                <w:rFonts w:cs="Arial"/>
                <w:szCs w:val="20"/>
              </w:rPr>
              <w:t>&gt;14.5 to 31.3 GHz</w:t>
            </w:r>
          </w:p>
        </w:tc>
        <w:tc>
          <w:tcPr>
            <w:tcW w:w="1210" w:type="dxa"/>
            <w:tcBorders>
              <w:top w:val="nil"/>
              <w:left w:val="single" w:sz="4" w:space="0" w:color="auto"/>
              <w:bottom w:val="single" w:sz="4" w:space="0" w:color="auto"/>
              <w:right w:val="single" w:sz="4" w:space="0" w:color="auto"/>
            </w:tcBorders>
            <w:shd w:val="clear" w:color="auto" w:fill="auto"/>
            <w:noWrap/>
          </w:tcPr>
          <w:p w14:paraId="56BD3D13" w14:textId="77777777" w:rsidR="00224745" w:rsidRPr="00046DA5" w:rsidRDefault="00224745" w:rsidP="00E64BC4">
            <w:pPr>
              <w:pStyle w:val="TableBody"/>
              <w:keepNext/>
              <w:keepLines/>
              <w:rPr>
                <w:rFonts w:cs="Arial"/>
                <w:szCs w:val="20"/>
              </w:rPr>
            </w:pPr>
            <w:r w:rsidRPr="00046DA5">
              <w:rPr>
                <w:rFonts w:cs="Arial"/>
                <w:color w:val="000000"/>
                <w:szCs w:val="20"/>
              </w:rPr>
              <w:t xml:space="preserve">3.7110 </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34DCD96B" w14:textId="77777777" w:rsidR="00224745" w:rsidRPr="00046DA5" w:rsidRDefault="00224745" w:rsidP="00E64BC4">
            <w:pPr>
              <w:pStyle w:val="TableBody"/>
              <w:keepNext/>
              <w:keepLines/>
              <w:rPr>
                <w:rFonts w:cs="Arial"/>
                <w:color w:val="000000"/>
                <w:szCs w:val="20"/>
              </w:rPr>
            </w:pPr>
            <w:r w:rsidRPr="00046DA5">
              <w:rPr>
                <w:rFonts w:cs="Arial"/>
                <w:color w:val="000000"/>
                <w:szCs w:val="20"/>
              </w:rPr>
              <w:t xml:space="preserve">0.9880 </w:t>
            </w:r>
          </w:p>
        </w:tc>
        <w:tc>
          <w:tcPr>
            <w:tcW w:w="1134" w:type="dxa"/>
            <w:tcBorders>
              <w:top w:val="nil"/>
              <w:left w:val="nil"/>
              <w:bottom w:val="single" w:sz="4" w:space="0" w:color="auto"/>
              <w:right w:val="single" w:sz="4" w:space="0" w:color="auto"/>
            </w:tcBorders>
            <w:shd w:val="clear" w:color="auto" w:fill="auto"/>
            <w:noWrap/>
          </w:tcPr>
          <w:p w14:paraId="178DBDB5" w14:textId="77777777" w:rsidR="00224745" w:rsidRPr="00046DA5" w:rsidRDefault="00224745" w:rsidP="00E64BC4">
            <w:pPr>
              <w:pStyle w:val="TableBody"/>
              <w:keepNext/>
              <w:keepLines/>
              <w:rPr>
                <w:rFonts w:cs="Arial"/>
                <w:szCs w:val="20"/>
              </w:rPr>
            </w:pPr>
            <w:r w:rsidRPr="00046DA5">
              <w:rPr>
                <w:rFonts w:cs="Arial"/>
                <w:color w:val="000000"/>
                <w:szCs w:val="20"/>
              </w:rPr>
              <w:t xml:space="preserve">0.2170 </w:t>
            </w:r>
          </w:p>
        </w:tc>
        <w:tc>
          <w:tcPr>
            <w:tcW w:w="1134" w:type="dxa"/>
            <w:tcBorders>
              <w:top w:val="nil"/>
              <w:left w:val="nil"/>
              <w:bottom w:val="single" w:sz="4" w:space="0" w:color="auto"/>
              <w:right w:val="single" w:sz="4" w:space="0" w:color="auto"/>
            </w:tcBorders>
            <w:shd w:val="clear" w:color="auto" w:fill="auto"/>
            <w:noWrap/>
          </w:tcPr>
          <w:p w14:paraId="33B38872" w14:textId="77777777" w:rsidR="00224745" w:rsidRPr="00046DA5" w:rsidRDefault="00224745" w:rsidP="00E64BC4">
            <w:pPr>
              <w:pStyle w:val="TableBody"/>
              <w:keepNext/>
              <w:keepLines/>
              <w:rPr>
                <w:rFonts w:cs="Arial"/>
                <w:szCs w:val="20"/>
              </w:rPr>
            </w:pPr>
            <w:r w:rsidRPr="00046DA5">
              <w:rPr>
                <w:rFonts w:cs="Arial"/>
                <w:color w:val="000000"/>
                <w:szCs w:val="20"/>
              </w:rPr>
              <w:t xml:space="preserve">0.0230 </w:t>
            </w:r>
          </w:p>
        </w:tc>
        <w:tc>
          <w:tcPr>
            <w:tcW w:w="1134" w:type="dxa"/>
            <w:tcBorders>
              <w:top w:val="nil"/>
              <w:left w:val="nil"/>
              <w:bottom w:val="single" w:sz="4" w:space="0" w:color="auto"/>
              <w:right w:val="single" w:sz="4" w:space="0" w:color="auto"/>
            </w:tcBorders>
            <w:shd w:val="clear" w:color="auto" w:fill="auto"/>
            <w:noWrap/>
          </w:tcPr>
          <w:p w14:paraId="09864007" w14:textId="77777777" w:rsidR="00224745" w:rsidRPr="00046DA5" w:rsidRDefault="00224745" w:rsidP="00E64BC4">
            <w:pPr>
              <w:pStyle w:val="TableBody"/>
              <w:keepNext/>
              <w:keepLines/>
              <w:rPr>
                <w:rFonts w:cs="Arial"/>
                <w:szCs w:val="20"/>
              </w:rPr>
            </w:pPr>
            <w:r w:rsidRPr="00046DA5">
              <w:rPr>
                <w:rFonts w:cs="Arial"/>
                <w:color w:val="000000"/>
                <w:szCs w:val="20"/>
              </w:rPr>
              <w:t xml:space="preserve">0.0110 </w:t>
            </w:r>
          </w:p>
        </w:tc>
      </w:tr>
      <w:tr w:rsidR="00224745" w:rsidRPr="00046DA5" w14:paraId="48401A4A" w14:textId="77777777" w:rsidTr="00097F88">
        <w:tc>
          <w:tcPr>
            <w:tcW w:w="2160" w:type="dxa"/>
            <w:shd w:val="clear" w:color="auto" w:fill="F2F2F2" w:themeFill="background1" w:themeFillShade="F2"/>
            <w:noWrap/>
            <w:vAlign w:val="center"/>
          </w:tcPr>
          <w:p w14:paraId="53F4D1CD" w14:textId="77777777" w:rsidR="00224745" w:rsidRPr="00046DA5" w:rsidRDefault="00224745" w:rsidP="00E64BC4">
            <w:pPr>
              <w:pStyle w:val="TableBody"/>
              <w:keepNext/>
              <w:keepLines/>
              <w:rPr>
                <w:rFonts w:cs="Arial"/>
                <w:szCs w:val="20"/>
              </w:rPr>
            </w:pPr>
            <w:r w:rsidRPr="00046DA5">
              <w:rPr>
                <w:rFonts w:cs="Arial"/>
                <w:szCs w:val="20"/>
              </w:rPr>
              <w:t>&gt;31.3 to 51.4 GHz</w:t>
            </w:r>
          </w:p>
        </w:tc>
        <w:tc>
          <w:tcPr>
            <w:tcW w:w="1210" w:type="dxa"/>
            <w:tcBorders>
              <w:top w:val="nil"/>
              <w:left w:val="single" w:sz="4" w:space="0" w:color="auto"/>
              <w:bottom w:val="single" w:sz="4" w:space="0" w:color="auto"/>
              <w:right w:val="single" w:sz="4" w:space="0" w:color="auto"/>
            </w:tcBorders>
            <w:shd w:val="clear" w:color="auto" w:fill="F2F2F2" w:themeFill="background1" w:themeFillShade="F2"/>
            <w:noWrap/>
          </w:tcPr>
          <w:p w14:paraId="72219916" w14:textId="77777777" w:rsidR="00224745" w:rsidRPr="00046DA5" w:rsidRDefault="00224745" w:rsidP="00E64BC4">
            <w:pPr>
              <w:pStyle w:val="TableBody"/>
              <w:keepNext/>
              <w:keepLines/>
              <w:rPr>
                <w:rFonts w:cs="Arial"/>
                <w:szCs w:val="20"/>
              </w:rPr>
            </w:pPr>
            <w:r w:rsidRPr="00046DA5">
              <w:rPr>
                <w:rFonts w:cs="Arial"/>
                <w:color w:val="000000"/>
                <w:szCs w:val="20"/>
              </w:rPr>
              <w:t xml:space="preserve">1.0120 </w:t>
            </w:r>
          </w:p>
        </w:tc>
        <w:tc>
          <w:tcPr>
            <w:tcW w:w="1134"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14:paraId="0DFAC540" w14:textId="77777777" w:rsidR="00224745" w:rsidRPr="00046DA5" w:rsidRDefault="00224745" w:rsidP="00E64BC4">
            <w:pPr>
              <w:pStyle w:val="TableBody"/>
              <w:keepNext/>
              <w:keepLines/>
              <w:rPr>
                <w:rFonts w:cs="Arial"/>
                <w:color w:val="000000"/>
                <w:szCs w:val="20"/>
              </w:rPr>
            </w:pPr>
            <w:r w:rsidRPr="00046DA5">
              <w:rPr>
                <w:rFonts w:cs="Arial"/>
                <w:color w:val="000000"/>
                <w:szCs w:val="20"/>
              </w:rPr>
              <w:t xml:space="preserve">0.5390 </w:t>
            </w:r>
          </w:p>
        </w:tc>
        <w:tc>
          <w:tcPr>
            <w:tcW w:w="1134" w:type="dxa"/>
            <w:tcBorders>
              <w:top w:val="nil"/>
              <w:left w:val="nil"/>
              <w:bottom w:val="single" w:sz="4" w:space="0" w:color="auto"/>
              <w:right w:val="single" w:sz="4" w:space="0" w:color="auto"/>
            </w:tcBorders>
            <w:shd w:val="clear" w:color="auto" w:fill="F2F2F2" w:themeFill="background1" w:themeFillShade="F2"/>
            <w:noWrap/>
          </w:tcPr>
          <w:p w14:paraId="686DDD39" w14:textId="77777777" w:rsidR="00224745" w:rsidRPr="00046DA5" w:rsidRDefault="00224745" w:rsidP="00E64BC4">
            <w:pPr>
              <w:pStyle w:val="TableBody"/>
              <w:keepNext/>
              <w:keepLines/>
              <w:rPr>
                <w:rFonts w:cs="Arial"/>
                <w:szCs w:val="20"/>
              </w:rPr>
            </w:pPr>
            <w:r w:rsidRPr="00046DA5">
              <w:rPr>
                <w:rFonts w:cs="Arial"/>
                <w:color w:val="000000"/>
                <w:szCs w:val="20"/>
              </w:rPr>
              <w:t xml:space="preserve">0.1170 </w:t>
            </w:r>
          </w:p>
        </w:tc>
        <w:tc>
          <w:tcPr>
            <w:tcW w:w="1134" w:type="dxa"/>
            <w:tcBorders>
              <w:top w:val="nil"/>
              <w:left w:val="nil"/>
              <w:bottom w:val="single" w:sz="4" w:space="0" w:color="auto"/>
              <w:right w:val="single" w:sz="4" w:space="0" w:color="auto"/>
            </w:tcBorders>
            <w:shd w:val="clear" w:color="auto" w:fill="F2F2F2" w:themeFill="background1" w:themeFillShade="F2"/>
            <w:noWrap/>
          </w:tcPr>
          <w:p w14:paraId="59CCBDA8" w14:textId="77777777" w:rsidR="00224745" w:rsidRPr="00046DA5" w:rsidRDefault="00224745" w:rsidP="00E64BC4">
            <w:pPr>
              <w:pStyle w:val="TableBody"/>
              <w:keepNext/>
              <w:keepLines/>
              <w:rPr>
                <w:rFonts w:cs="Arial"/>
                <w:szCs w:val="20"/>
              </w:rPr>
            </w:pPr>
            <w:r w:rsidRPr="00046DA5">
              <w:rPr>
                <w:rFonts w:cs="Arial"/>
                <w:color w:val="000000"/>
                <w:szCs w:val="20"/>
              </w:rPr>
              <w:t xml:space="preserve">0.0040 </w:t>
            </w:r>
          </w:p>
        </w:tc>
        <w:tc>
          <w:tcPr>
            <w:tcW w:w="1134" w:type="dxa"/>
            <w:tcBorders>
              <w:top w:val="nil"/>
              <w:left w:val="nil"/>
              <w:bottom w:val="single" w:sz="4" w:space="0" w:color="auto"/>
              <w:right w:val="single" w:sz="4" w:space="0" w:color="auto"/>
            </w:tcBorders>
            <w:shd w:val="clear" w:color="auto" w:fill="F2F2F2" w:themeFill="background1" w:themeFillShade="F2"/>
            <w:noWrap/>
          </w:tcPr>
          <w:p w14:paraId="1E94A9BB" w14:textId="77777777" w:rsidR="00224745" w:rsidRPr="00046DA5" w:rsidRDefault="00224745" w:rsidP="00E64BC4">
            <w:pPr>
              <w:pStyle w:val="TableBody"/>
              <w:keepNext/>
              <w:keepLines/>
              <w:rPr>
                <w:rFonts w:cs="Arial"/>
                <w:szCs w:val="20"/>
              </w:rPr>
            </w:pPr>
            <w:r w:rsidRPr="00046DA5">
              <w:rPr>
                <w:rFonts w:cs="Arial"/>
                <w:color w:val="000000"/>
                <w:szCs w:val="20"/>
              </w:rPr>
              <w:t xml:space="preserve">0.0020 </w:t>
            </w:r>
          </w:p>
        </w:tc>
      </w:tr>
      <w:tr w:rsidR="00224745" w:rsidRPr="00046DA5" w14:paraId="79033C73" w14:textId="77777777" w:rsidTr="00C852E9">
        <w:tc>
          <w:tcPr>
            <w:tcW w:w="2160" w:type="dxa"/>
            <w:shd w:val="clear" w:color="auto" w:fill="auto"/>
            <w:noWrap/>
            <w:vAlign w:val="center"/>
          </w:tcPr>
          <w:p w14:paraId="5E3D5AEE" w14:textId="77777777" w:rsidR="00224745" w:rsidRPr="00046DA5" w:rsidRDefault="00224745" w:rsidP="00E64BC4">
            <w:pPr>
              <w:pStyle w:val="TableBody"/>
              <w:keepNext/>
              <w:keepLines/>
              <w:rPr>
                <w:rFonts w:cs="Arial"/>
                <w:szCs w:val="20"/>
              </w:rPr>
            </w:pPr>
            <w:r w:rsidRPr="00046DA5">
              <w:rPr>
                <w:rFonts w:cs="Arial"/>
                <w:szCs w:val="20"/>
              </w:rPr>
              <w:t>Above 51.4 GHz</w:t>
            </w:r>
          </w:p>
        </w:tc>
        <w:tc>
          <w:tcPr>
            <w:tcW w:w="1210" w:type="dxa"/>
            <w:tcBorders>
              <w:top w:val="nil"/>
              <w:left w:val="single" w:sz="4" w:space="0" w:color="auto"/>
              <w:bottom w:val="single" w:sz="4" w:space="0" w:color="auto"/>
              <w:right w:val="single" w:sz="4" w:space="0" w:color="auto"/>
            </w:tcBorders>
            <w:shd w:val="clear" w:color="auto" w:fill="auto"/>
            <w:noWrap/>
          </w:tcPr>
          <w:p w14:paraId="72D63253" w14:textId="77777777" w:rsidR="00224745" w:rsidRPr="00046DA5" w:rsidRDefault="00224745" w:rsidP="00E64BC4">
            <w:pPr>
              <w:pStyle w:val="TableBody"/>
              <w:keepNext/>
              <w:keepLines/>
              <w:rPr>
                <w:rFonts w:cs="Arial"/>
                <w:szCs w:val="20"/>
              </w:rPr>
            </w:pPr>
            <w:r w:rsidRPr="00046DA5">
              <w:rPr>
                <w:rFonts w:cs="Arial"/>
                <w:color w:val="000000"/>
                <w:szCs w:val="20"/>
              </w:rPr>
              <w:t xml:space="preserve">0.1000 </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1E55A080" w14:textId="77777777" w:rsidR="00224745" w:rsidRPr="00046DA5" w:rsidRDefault="00224745" w:rsidP="00E64BC4">
            <w:pPr>
              <w:pStyle w:val="TableBody"/>
              <w:keepNext/>
              <w:keepLines/>
              <w:rPr>
                <w:rFonts w:cs="Arial"/>
                <w:color w:val="000000"/>
                <w:szCs w:val="20"/>
              </w:rPr>
            </w:pPr>
            <w:r w:rsidRPr="00046DA5">
              <w:rPr>
                <w:rFonts w:cs="Arial"/>
                <w:color w:val="000000"/>
                <w:szCs w:val="20"/>
              </w:rPr>
              <w:t xml:space="preserve">0.0100 </w:t>
            </w:r>
          </w:p>
        </w:tc>
        <w:tc>
          <w:tcPr>
            <w:tcW w:w="1134" w:type="dxa"/>
            <w:tcBorders>
              <w:top w:val="nil"/>
              <w:left w:val="nil"/>
              <w:bottom w:val="single" w:sz="4" w:space="0" w:color="auto"/>
              <w:right w:val="single" w:sz="4" w:space="0" w:color="auto"/>
            </w:tcBorders>
            <w:shd w:val="clear" w:color="auto" w:fill="auto"/>
            <w:noWrap/>
          </w:tcPr>
          <w:p w14:paraId="55FB1C33" w14:textId="77777777" w:rsidR="00224745" w:rsidRPr="00046DA5" w:rsidRDefault="00224745" w:rsidP="00E64BC4">
            <w:pPr>
              <w:pStyle w:val="TableBody"/>
              <w:keepNext/>
              <w:keepLines/>
              <w:rPr>
                <w:rFonts w:cs="Arial"/>
                <w:szCs w:val="20"/>
              </w:rPr>
            </w:pPr>
            <w:r w:rsidRPr="00046DA5">
              <w:rPr>
                <w:rFonts w:cs="Arial"/>
                <w:color w:val="000000"/>
                <w:szCs w:val="20"/>
              </w:rPr>
              <w:t xml:space="preserve">0.0100 </w:t>
            </w:r>
          </w:p>
        </w:tc>
        <w:tc>
          <w:tcPr>
            <w:tcW w:w="1134" w:type="dxa"/>
            <w:tcBorders>
              <w:top w:val="nil"/>
              <w:left w:val="nil"/>
              <w:bottom w:val="single" w:sz="4" w:space="0" w:color="auto"/>
              <w:right w:val="single" w:sz="4" w:space="0" w:color="auto"/>
            </w:tcBorders>
            <w:shd w:val="clear" w:color="auto" w:fill="auto"/>
            <w:noWrap/>
          </w:tcPr>
          <w:p w14:paraId="1D75B83B" w14:textId="77777777" w:rsidR="00224745" w:rsidRPr="00046DA5" w:rsidRDefault="00224745" w:rsidP="00E64BC4">
            <w:pPr>
              <w:pStyle w:val="TableBody"/>
              <w:keepNext/>
              <w:keepLines/>
              <w:rPr>
                <w:rFonts w:cs="Arial"/>
                <w:szCs w:val="20"/>
              </w:rPr>
            </w:pPr>
            <w:r w:rsidRPr="00046DA5">
              <w:rPr>
                <w:rFonts w:cs="Arial"/>
                <w:color w:val="000000"/>
                <w:szCs w:val="20"/>
              </w:rPr>
              <w:t xml:space="preserve">0.0010 </w:t>
            </w:r>
          </w:p>
        </w:tc>
        <w:tc>
          <w:tcPr>
            <w:tcW w:w="1134" w:type="dxa"/>
            <w:tcBorders>
              <w:top w:val="nil"/>
              <w:left w:val="nil"/>
              <w:bottom w:val="single" w:sz="4" w:space="0" w:color="auto"/>
              <w:right w:val="single" w:sz="4" w:space="0" w:color="auto"/>
            </w:tcBorders>
            <w:shd w:val="clear" w:color="auto" w:fill="auto"/>
            <w:noWrap/>
          </w:tcPr>
          <w:p w14:paraId="482971E5" w14:textId="77777777" w:rsidR="00224745" w:rsidRPr="00046DA5" w:rsidRDefault="00224745" w:rsidP="00E64BC4">
            <w:pPr>
              <w:pStyle w:val="TableBody"/>
              <w:keepNext/>
              <w:keepLines/>
              <w:rPr>
                <w:rFonts w:cs="Arial"/>
                <w:szCs w:val="20"/>
              </w:rPr>
            </w:pPr>
            <w:r w:rsidRPr="00046DA5">
              <w:rPr>
                <w:rFonts w:cs="Arial"/>
                <w:color w:val="000000"/>
                <w:szCs w:val="20"/>
              </w:rPr>
              <w:t xml:space="preserve">0.0010 </w:t>
            </w:r>
          </w:p>
        </w:tc>
      </w:tr>
    </w:tbl>
    <w:p w14:paraId="0C32F4F4" w14:textId="3ABB09C4" w:rsidR="00224745" w:rsidRPr="00046DA5" w:rsidRDefault="00224745" w:rsidP="00046DA5">
      <w:pPr>
        <w:pStyle w:val="ACMASpaceaftertable"/>
        <w:spacing w:after="120"/>
      </w:pPr>
    </w:p>
    <w:p w14:paraId="1E2D72BD" w14:textId="77777777" w:rsidR="00141D78" w:rsidRPr="00046DA5" w:rsidRDefault="00141D78" w:rsidP="00E64BC4">
      <w:pPr>
        <w:pStyle w:val="Heading3"/>
      </w:pPr>
      <w:r w:rsidRPr="00046DA5">
        <w:t>Spectrum locations</w:t>
      </w:r>
    </w:p>
    <w:p w14:paraId="0A2E009C" w14:textId="61745FA7" w:rsidR="00FA6195" w:rsidRPr="00046DA5" w:rsidRDefault="00FA6195" w:rsidP="00E64BC4">
      <w:pPr>
        <w:pStyle w:val="Paragraph"/>
      </w:pPr>
      <w:r w:rsidRPr="00046DA5">
        <w:t xml:space="preserve">The number of spectrum locations are a function of the different use profiles </w:t>
      </w:r>
      <w:r w:rsidR="00BE59CD" w:rsidRPr="00046DA5">
        <w:t xml:space="preserve">or service characteristics </w:t>
      </w:r>
      <w:r w:rsidRPr="00046DA5">
        <w:t>across different bands. However, since the 1990s</w:t>
      </w:r>
      <w:r w:rsidR="009335CC" w:rsidRPr="00046DA5">
        <w:t>,</w:t>
      </w:r>
      <w:r w:rsidRPr="00046DA5">
        <w:t xml:space="preserve"> some of the use profiles</w:t>
      </w:r>
      <w:r w:rsidR="00BE59CD" w:rsidRPr="00046DA5">
        <w:t>/service characteristics</w:t>
      </w:r>
      <w:r w:rsidRPr="00046DA5">
        <w:t xml:space="preserve"> have changed</w:t>
      </w:r>
      <w:r w:rsidR="009335CC" w:rsidRPr="00046DA5">
        <w:t>; f</w:t>
      </w:r>
      <w:r w:rsidR="00E4292B" w:rsidRPr="00046DA5">
        <w:t>or example,</w:t>
      </w:r>
      <w:r w:rsidRPr="00046DA5">
        <w:t xml:space="preserve"> greater use of fixed wireless and mobile services in higher bands and greater use of satellite to provide </w:t>
      </w:r>
      <w:r w:rsidRPr="00046DA5">
        <w:lastRenderedPageBreak/>
        <w:t>consumer</w:t>
      </w:r>
      <w:r w:rsidR="009335CC" w:rsidRPr="00046DA5">
        <w:t>-</w:t>
      </w:r>
      <w:r w:rsidRPr="00046DA5">
        <w:t>related services</w:t>
      </w:r>
      <w:r w:rsidR="00C53844" w:rsidRPr="00046DA5">
        <w:t xml:space="preserve">. </w:t>
      </w:r>
      <w:r w:rsidRPr="00046DA5">
        <w:t>In addition, the ACMA’s opportunity cost pricing initiatives have also added to the spectrum locations and/or significantly changed the location weights related to some taxes</w:t>
      </w:r>
      <w:r w:rsidR="00C53844" w:rsidRPr="00046DA5">
        <w:t xml:space="preserve">. </w:t>
      </w:r>
      <w:r w:rsidRPr="00046DA5">
        <w:t xml:space="preserve">For example, the opportunity cost initiatives in the </w:t>
      </w:r>
      <w:r w:rsidR="009335CC" w:rsidRPr="00046DA5">
        <w:t>400 </w:t>
      </w:r>
      <w:r w:rsidRPr="00046DA5">
        <w:t xml:space="preserve">MHz band lead to higher taxes in the </w:t>
      </w:r>
      <w:r w:rsidR="00046DA5" w:rsidRPr="00046DA5">
        <w:t>high-density</w:t>
      </w:r>
      <w:r w:rsidRPr="00046DA5">
        <w:t xml:space="preserve"> area and a reduction in taxes to minimum annual tax in remote density areas. The opportunity cost work in the Ka</w:t>
      </w:r>
      <w:r w:rsidR="009335CC" w:rsidRPr="00046DA5">
        <w:t>-</w:t>
      </w:r>
      <w:r w:rsidRPr="00046DA5">
        <w:t xml:space="preserve">band lead to significant reduction in taxes and the introduction of a new </w:t>
      </w:r>
      <w:r w:rsidR="009335CC" w:rsidRPr="00046DA5">
        <w:t>‘</w:t>
      </w:r>
      <w:r w:rsidRPr="00046DA5">
        <w:t>break point</w:t>
      </w:r>
      <w:r w:rsidR="009335CC" w:rsidRPr="00046DA5">
        <w:t>’</w:t>
      </w:r>
      <w:r w:rsidRPr="00046DA5">
        <w:t xml:space="preserve"> where the taxes apply.</w:t>
      </w:r>
    </w:p>
    <w:p w14:paraId="1CCE4CF9" w14:textId="108CD380" w:rsidR="006C6690" w:rsidRPr="00046DA5" w:rsidRDefault="007C58B3" w:rsidP="00E64BC4">
      <w:pPr>
        <w:pStyle w:val="Paragraph"/>
        <w:spacing w:after="80"/>
      </w:pPr>
      <w:r w:rsidRPr="00046DA5">
        <w:t xml:space="preserve">The advantage of different spectrum locations is that </w:t>
      </w:r>
      <w:r w:rsidR="00660B2E" w:rsidRPr="00046DA5">
        <w:t xml:space="preserve">it </w:t>
      </w:r>
      <w:r w:rsidRPr="00046DA5">
        <w:t>allows for different price signals across all frequency ranges and can aid in the efficient use of spectrum</w:t>
      </w:r>
      <w:r w:rsidR="00C53844" w:rsidRPr="00046DA5">
        <w:t xml:space="preserve">. </w:t>
      </w:r>
      <w:r w:rsidRPr="00046DA5">
        <w:t xml:space="preserve">Conversely, </w:t>
      </w:r>
      <w:r w:rsidR="006C6690" w:rsidRPr="00046DA5">
        <w:t xml:space="preserve">more </w:t>
      </w:r>
      <w:r w:rsidRPr="00046DA5">
        <w:t xml:space="preserve">spectrum locations </w:t>
      </w:r>
      <w:r w:rsidR="006C6690" w:rsidRPr="00046DA5">
        <w:t xml:space="preserve">with different tax rates </w:t>
      </w:r>
      <w:r w:rsidRPr="00046DA5">
        <w:t>adds to the complexity of the pricing regime</w:t>
      </w:r>
      <w:r w:rsidR="006C6690" w:rsidRPr="00046DA5">
        <w:t>. This highlights the balance that must be achieved in the guiding principle</w:t>
      </w:r>
      <w:r w:rsidR="009656E7" w:rsidRPr="00046DA5">
        <w:t>s</w:t>
      </w:r>
      <w:r w:rsidR="007C6AE3" w:rsidRPr="00046DA5">
        <w:t xml:space="preserve"> outlined </w:t>
      </w:r>
      <w:r w:rsidR="00054818" w:rsidRPr="00046DA5">
        <w:t>in the draft spectrum pricing guidelines section of this paper</w:t>
      </w:r>
      <w:r w:rsidR="006C6690" w:rsidRPr="00046DA5">
        <w:t xml:space="preserve">: </w:t>
      </w:r>
    </w:p>
    <w:p w14:paraId="26CDB546" w14:textId="02B0ED57" w:rsidR="007C58B3" w:rsidRPr="00046DA5" w:rsidRDefault="006C6690" w:rsidP="00E64BC4">
      <w:pPr>
        <w:pStyle w:val="Bulletlevel1"/>
      </w:pPr>
      <w:r w:rsidRPr="00046DA5">
        <w:t xml:space="preserve">having different spectrum locations </w:t>
      </w:r>
      <w:r w:rsidR="009656E7" w:rsidRPr="00046DA5">
        <w:t>can promote efficiency by better</w:t>
      </w:r>
      <w:r w:rsidRPr="00046DA5">
        <w:t xml:space="preserve"> reflect</w:t>
      </w:r>
      <w:r w:rsidR="009656E7" w:rsidRPr="00046DA5">
        <w:t>ing</w:t>
      </w:r>
      <w:r w:rsidRPr="00046DA5">
        <w:t xml:space="preserve"> the </w:t>
      </w:r>
      <w:r w:rsidR="00E4292B" w:rsidRPr="00046DA5">
        <w:t xml:space="preserve">use and </w:t>
      </w:r>
      <w:r w:rsidRPr="00046DA5">
        <w:t xml:space="preserve">value of the spectrum </w:t>
      </w:r>
    </w:p>
    <w:p w14:paraId="0AD4AF20" w14:textId="14512BF1" w:rsidR="006C6690" w:rsidRPr="00046DA5" w:rsidRDefault="009656E7" w:rsidP="00E64BC4">
      <w:pPr>
        <w:pStyle w:val="Bulletlevel1last"/>
      </w:pPr>
      <w:r w:rsidRPr="00046DA5">
        <w:t>limiting the number of spectrum locations can pro</w:t>
      </w:r>
      <w:r w:rsidR="006C6690" w:rsidRPr="00046DA5">
        <w:t xml:space="preserve">mote </w:t>
      </w:r>
      <w:r w:rsidR="00D47116" w:rsidRPr="00046DA5">
        <w:t xml:space="preserve">greater </w:t>
      </w:r>
      <w:r w:rsidR="006C6690" w:rsidRPr="00046DA5">
        <w:t>consistency and simplicity</w:t>
      </w:r>
      <w:r w:rsidR="009335CC" w:rsidRPr="00046DA5">
        <w:t>.</w:t>
      </w:r>
      <w:r w:rsidRPr="00046DA5">
        <w:t xml:space="preserve"> </w:t>
      </w:r>
    </w:p>
    <w:p w14:paraId="2E5593FE" w14:textId="166B91A4" w:rsidR="000B3F11" w:rsidRPr="00046DA5" w:rsidRDefault="00E4292B" w:rsidP="00E64BC4">
      <w:pPr>
        <w:pStyle w:val="Paragraph"/>
      </w:pPr>
      <w:r w:rsidRPr="00046DA5">
        <w:t>The ACMA is aiming to provide a</w:t>
      </w:r>
      <w:r w:rsidR="009656E7" w:rsidRPr="00046DA5">
        <w:t xml:space="preserve"> taxation regime </w:t>
      </w:r>
      <w:r w:rsidRPr="00046DA5">
        <w:t xml:space="preserve">that is </w:t>
      </w:r>
      <w:r w:rsidR="009656E7" w:rsidRPr="00046DA5">
        <w:t>simple enough to promote the efficient use of spectrum.</w:t>
      </w:r>
      <w:r w:rsidRPr="00046DA5">
        <w:t xml:space="preserve"> </w:t>
      </w:r>
      <w:r w:rsidR="000B3F11" w:rsidRPr="00046DA5">
        <w:t>Given the change in use profiles across much of the spectrum, the ACMA will be reviewing all spectrum locations</w:t>
      </w:r>
      <w:r w:rsidR="00C53844" w:rsidRPr="00046DA5">
        <w:t xml:space="preserve">. </w:t>
      </w:r>
      <w:r w:rsidR="000B3F11" w:rsidRPr="00046DA5">
        <w:t xml:space="preserve">The work associated with </w:t>
      </w:r>
      <w:r w:rsidR="009335CC" w:rsidRPr="00046DA5">
        <w:t>f</w:t>
      </w:r>
      <w:r w:rsidR="000B3F11" w:rsidRPr="00046DA5">
        <w:t xml:space="preserve">ocus </w:t>
      </w:r>
      <w:r w:rsidR="009335CC" w:rsidRPr="00046DA5">
        <w:t>a</w:t>
      </w:r>
      <w:r w:rsidR="000B3F11" w:rsidRPr="00046DA5">
        <w:t xml:space="preserve">rea </w:t>
      </w:r>
      <w:r w:rsidR="00E92755" w:rsidRPr="00046DA5">
        <w:t>1</w:t>
      </w:r>
      <w:r w:rsidR="000B3F11" w:rsidRPr="00046DA5">
        <w:t xml:space="preserve"> suggests that different spectrum locations may be required to reflect the changing use profile of these various bands</w:t>
      </w:r>
      <w:r w:rsidR="00C53844" w:rsidRPr="00046DA5">
        <w:t xml:space="preserve">. </w:t>
      </w:r>
      <w:r w:rsidR="000B3F11" w:rsidRPr="00046DA5">
        <w:t xml:space="preserve">However, </w:t>
      </w:r>
      <w:r w:rsidR="00D34C3C" w:rsidRPr="00046DA5">
        <w:t>in considering this focus area</w:t>
      </w:r>
      <w:r w:rsidR="009335CC" w:rsidRPr="00046DA5">
        <w:t>,</w:t>
      </w:r>
      <w:r w:rsidR="00D34C3C" w:rsidRPr="00046DA5">
        <w:t xml:space="preserve"> the ACMA</w:t>
      </w:r>
      <w:r w:rsidR="000B3F11" w:rsidRPr="00046DA5">
        <w:t xml:space="preserve"> will also </w:t>
      </w:r>
      <w:r w:rsidR="00D34C3C" w:rsidRPr="00046DA5">
        <w:t xml:space="preserve">be </w:t>
      </w:r>
      <w:r w:rsidR="000B3F11" w:rsidRPr="00046DA5">
        <w:t>consider</w:t>
      </w:r>
      <w:r w:rsidR="00D34C3C" w:rsidRPr="00046DA5">
        <w:t>ing</w:t>
      </w:r>
      <w:r w:rsidR="000B3F11" w:rsidRPr="00046DA5">
        <w:t xml:space="preserve"> whether the spectrum locations below 5</w:t>
      </w:r>
      <w:r w:rsidR="009335CC" w:rsidRPr="00046DA5">
        <w:t xml:space="preserve"> </w:t>
      </w:r>
      <w:r w:rsidR="000B3F11" w:rsidRPr="00046DA5">
        <w:t>GHz remain appropriate too.</w:t>
      </w:r>
    </w:p>
    <w:p w14:paraId="48232771" w14:textId="7DECF20A" w:rsidR="00A203D6" w:rsidRPr="00046DA5" w:rsidRDefault="00A203D6" w:rsidP="00E64BC4">
      <w:pPr>
        <w:pStyle w:val="Paragraph"/>
        <w:keepNext/>
        <w:keepLines/>
        <w:shd w:val="clear" w:color="auto" w:fill="F2F2F2" w:themeFill="background1" w:themeFillShade="F2"/>
        <w:spacing w:after="0"/>
        <w:rPr>
          <w:b/>
        </w:rPr>
      </w:pPr>
      <w:r w:rsidRPr="00046DA5">
        <w:rPr>
          <w:b/>
        </w:rPr>
        <w:t xml:space="preserve">Question </w:t>
      </w:r>
      <w:r w:rsidR="00190BB0" w:rsidRPr="00046DA5">
        <w:rPr>
          <w:b/>
        </w:rPr>
        <w:t>10</w:t>
      </w:r>
    </w:p>
    <w:p w14:paraId="7336370E" w14:textId="418D1469" w:rsidR="00CB18FB" w:rsidRPr="00046DA5" w:rsidRDefault="009335CC" w:rsidP="00E64BC4">
      <w:pPr>
        <w:pStyle w:val="Paragraph"/>
        <w:keepNext/>
        <w:keepLines/>
        <w:shd w:val="clear" w:color="auto" w:fill="F2F2F2" w:themeFill="background1" w:themeFillShade="F2"/>
      </w:pPr>
      <w:r w:rsidRPr="00046DA5">
        <w:t xml:space="preserve">Do </w:t>
      </w:r>
      <w:r w:rsidR="00CB18FB" w:rsidRPr="00046DA5">
        <w:t xml:space="preserve">current spectrum locations </w:t>
      </w:r>
      <w:r w:rsidR="007869FC" w:rsidRPr="00046DA5">
        <w:t xml:space="preserve">or frequency ranges </w:t>
      </w:r>
      <w:r w:rsidR="00CB18FB" w:rsidRPr="00046DA5">
        <w:t>remain appropriate?</w:t>
      </w:r>
      <w:r w:rsidR="004F4894" w:rsidRPr="00046DA5">
        <w:t xml:space="preserve"> If </w:t>
      </w:r>
      <w:r w:rsidRPr="00046DA5">
        <w:t>not,</w:t>
      </w:r>
      <w:r w:rsidR="004F4894" w:rsidRPr="00046DA5">
        <w:t xml:space="preserve"> what changes should be made and why</w:t>
      </w:r>
      <w:r w:rsidRPr="00046DA5">
        <w:t>?</w:t>
      </w:r>
    </w:p>
    <w:p w14:paraId="7D1B8A8C" w14:textId="060E75E7" w:rsidR="00490EAF" w:rsidRPr="00046DA5" w:rsidRDefault="00490EAF" w:rsidP="00E64BC4">
      <w:pPr>
        <w:pStyle w:val="Paragraph"/>
        <w:keepNext/>
        <w:shd w:val="clear" w:color="auto" w:fill="F2F2F2" w:themeFill="background1" w:themeFillShade="F2"/>
        <w:spacing w:after="0"/>
        <w:rPr>
          <w:b/>
        </w:rPr>
      </w:pPr>
      <w:r w:rsidRPr="00046DA5">
        <w:rPr>
          <w:b/>
        </w:rPr>
        <w:t xml:space="preserve">Question </w:t>
      </w:r>
      <w:r w:rsidR="00105A33" w:rsidRPr="00046DA5">
        <w:rPr>
          <w:b/>
        </w:rPr>
        <w:t>1</w:t>
      </w:r>
      <w:r w:rsidR="00190BB0" w:rsidRPr="00046DA5">
        <w:rPr>
          <w:b/>
        </w:rPr>
        <w:t>1</w:t>
      </w:r>
    </w:p>
    <w:p w14:paraId="071E0879" w14:textId="37760FF6" w:rsidR="00CB18FB" w:rsidRPr="00046DA5" w:rsidRDefault="00CB18FB" w:rsidP="00E64BC4">
      <w:pPr>
        <w:pStyle w:val="Paragraph"/>
        <w:shd w:val="clear" w:color="auto" w:fill="F2F2F2" w:themeFill="background1" w:themeFillShade="F2"/>
      </w:pPr>
      <w:r w:rsidRPr="00046DA5">
        <w:t>What factors should the ACMA consider in determining new spectrum locations</w:t>
      </w:r>
      <w:r w:rsidR="007869FC" w:rsidRPr="00046DA5">
        <w:t xml:space="preserve"> or frequency ranges</w:t>
      </w:r>
      <w:r w:rsidRPr="00046DA5">
        <w:t>?</w:t>
      </w:r>
    </w:p>
    <w:p w14:paraId="249F27EE" w14:textId="73CDD397" w:rsidR="00490EAF" w:rsidRPr="00046DA5" w:rsidRDefault="00490EAF" w:rsidP="00E64BC4">
      <w:pPr>
        <w:pStyle w:val="Paragraph"/>
        <w:keepNext/>
        <w:shd w:val="clear" w:color="auto" w:fill="F2F2F2" w:themeFill="background1" w:themeFillShade="F2"/>
        <w:spacing w:after="0"/>
        <w:rPr>
          <w:b/>
        </w:rPr>
      </w:pPr>
      <w:r w:rsidRPr="00046DA5">
        <w:rPr>
          <w:b/>
        </w:rPr>
        <w:t xml:space="preserve">Question </w:t>
      </w:r>
      <w:r w:rsidR="00105A33" w:rsidRPr="00046DA5">
        <w:rPr>
          <w:b/>
        </w:rPr>
        <w:t>1</w:t>
      </w:r>
      <w:r w:rsidR="00190BB0" w:rsidRPr="00046DA5">
        <w:rPr>
          <w:b/>
        </w:rPr>
        <w:t>2</w:t>
      </w:r>
    </w:p>
    <w:p w14:paraId="01D87921" w14:textId="5C54CDEB" w:rsidR="00940FF0" w:rsidRPr="00046DA5" w:rsidRDefault="00A070B1" w:rsidP="00E64BC4">
      <w:pPr>
        <w:pStyle w:val="Paragraph"/>
        <w:shd w:val="clear" w:color="auto" w:fill="F2F2F2" w:themeFill="background1" w:themeFillShade="F2"/>
      </w:pPr>
      <w:r w:rsidRPr="00046DA5">
        <w:t>Do the different tax rates associated with different spectrum locations</w:t>
      </w:r>
      <w:r w:rsidR="007869FC" w:rsidRPr="00046DA5">
        <w:t xml:space="preserve"> or frequency ranges</w:t>
      </w:r>
      <w:r w:rsidRPr="00046DA5">
        <w:t xml:space="preserve"> influence </w:t>
      </w:r>
      <w:r w:rsidR="00A203D6" w:rsidRPr="00046DA5">
        <w:t>decisions about deploying radiocommunications equipment</w:t>
      </w:r>
      <w:r w:rsidR="00940FF0" w:rsidRPr="00046DA5">
        <w:t>?</w:t>
      </w:r>
      <w:r w:rsidRPr="00046DA5">
        <w:t xml:space="preserve"> </w:t>
      </w:r>
    </w:p>
    <w:p w14:paraId="6CAAD6BD" w14:textId="76F57B7C" w:rsidR="00141D78" w:rsidRPr="00046DA5" w:rsidRDefault="00141D78" w:rsidP="00E64BC4">
      <w:pPr>
        <w:pStyle w:val="Heading3"/>
      </w:pPr>
      <w:r w:rsidRPr="00046DA5">
        <w:t>Density areas and new pricing constructs</w:t>
      </w:r>
    </w:p>
    <w:p w14:paraId="70FD01CD" w14:textId="13315984" w:rsidR="00141D78" w:rsidRPr="00046DA5" w:rsidRDefault="00141D78" w:rsidP="00E64BC4">
      <w:pPr>
        <w:pStyle w:val="Paragraph"/>
      </w:pPr>
      <w:r w:rsidRPr="00046DA5">
        <w:t xml:space="preserve">While the ACMA considers that the </w:t>
      </w:r>
      <w:r w:rsidR="003E15EC" w:rsidRPr="00046DA5">
        <w:t xml:space="preserve">economics of the </w:t>
      </w:r>
      <w:r w:rsidRPr="00046DA5">
        <w:t>tax formula is structurally sound, this review process provides an opportunity to consider whether the tax formula is appropriate for all licences and services, particularly with regard to applying density areas. A major feature of the tax formula is that it accounts for differing values of spectrum across different geographic locations.</w:t>
      </w:r>
    </w:p>
    <w:p w14:paraId="353AFA1A" w14:textId="491838FD" w:rsidR="00141D78" w:rsidRPr="00046DA5" w:rsidRDefault="00141D78" w:rsidP="00E64BC4">
      <w:pPr>
        <w:pStyle w:val="Paragraph"/>
      </w:pPr>
      <w:r w:rsidRPr="00046DA5">
        <w:t>The ACMA has one set of density areas, namely: Australia</w:t>
      </w:r>
      <w:r w:rsidR="00D2233E" w:rsidRPr="00046DA5">
        <w:t>-</w:t>
      </w:r>
      <w:r w:rsidRPr="00046DA5">
        <w:t xml:space="preserve">wide, </w:t>
      </w:r>
      <w:r w:rsidR="00D2233E" w:rsidRPr="00046DA5">
        <w:t>h</w:t>
      </w:r>
      <w:r w:rsidRPr="00046DA5">
        <w:t xml:space="preserve">igh, </w:t>
      </w:r>
      <w:r w:rsidR="00D2233E" w:rsidRPr="00046DA5">
        <w:t>m</w:t>
      </w:r>
      <w:r w:rsidRPr="00046DA5">
        <w:t xml:space="preserve">edium, </w:t>
      </w:r>
      <w:r w:rsidR="00D2233E" w:rsidRPr="00046DA5">
        <w:t>l</w:t>
      </w:r>
      <w:r w:rsidRPr="00046DA5">
        <w:t xml:space="preserve">ow and </w:t>
      </w:r>
      <w:r w:rsidR="00D2233E" w:rsidRPr="00046DA5">
        <w:t>r</w:t>
      </w:r>
      <w:r w:rsidRPr="00046DA5">
        <w:t>emote</w:t>
      </w:r>
      <w:r w:rsidR="00C53844" w:rsidRPr="00046DA5">
        <w:t xml:space="preserve">. </w:t>
      </w:r>
      <w:r w:rsidRPr="00046DA5">
        <w:t xml:space="preserve">The maps identifying these different density areas can be found in Appendix </w:t>
      </w:r>
      <w:r w:rsidR="003A287D" w:rsidRPr="00046DA5">
        <w:t>B</w:t>
      </w:r>
      <w:r w:rsidRPr="00046DA5">
        <w:t>. The density areas are defined by a range of fixed coordinates and were originally determined in the 1990s, with the remote density area being defined in 2004.</w:t>
      </w:r>
    </w:p>
    <w:p w14:paraId="32998F30" w14:textId="414F1275" w:rsidR="00141D78" w:rsidRPr="00046DA5" w:rsidRDefault="00141D78" w:rsidP="00E64BC4">
      <w:pPr>
        <w:pStyle w:val="Paragraph"/>
      </w:pPr>
      <w:r w:rsidRPr="00046DA5">
        <w:t xml:space="preserve">The general principle of applying density areas is that areas with higher population </w:t>
      </w:r>
      <w:r w:rsidR="003A75CE" w:rsidRPr="00046DA5">
        <w:t xml:space="preserve">usually </w:t>
      </w:r>
      <w:r w:rsidRPr="00046DA5">
        <w:t>have more radiocommunications services, implying greater value and risk of congestion</w:t>
      </w:r>
      <w:r w:rsidR="00C53844" w:rsidRPr="00046DA5">
        <w:t xml:space="preserve">. </w:t>
      </w:r>
      <w:r w:rsidRPr="00046DA5">
        <w:t xml:space="preserve">This suggests that higher prices may be appropriate to promote the efficient use of spectrum. </w:t>
      </w:r>
    </w:p>
    <w:p w14:paraId="103480C4" w14:textId="682BE4B1" w:rsidR="00D34C3C" w:rsidRPr="00046DA5" w:rsidRDefault="00141D78" w:rsidP="00E64BC4">
      <w:pPr>
        <w:pStyle w:val="Paragraph"/>
      </w:pPr>
      <w:r w:rsidRPr="00046DA5">
        <w:lastRenderedPageBreak/>
        <w:t xml:space="preserve">However, one set of density areas may not reflect the demand for all radiocommunications services or business activities. For example, the demand for </w:t>
      </w:r>
      <w:r w:rsidR="00214F75" w:rsidRPr="00046DA5">
        <w:t xml:space="preserve">some </w:t>
      </w:r>
      <w:r w:rsidRPr="00046DA5">
        <w:t xml:space="preserve">radiocommunications services more directly related to providing consumer products </w:t>
      </w:r>
      <w:r w:rsidR="00214F75" w:rsidRPr="00046DA5">
        <w:t xml:space="preserve">is likely to imply that the transmitters are also relatively close to the </w:t>
      </w:r>
      <w:r w:rsidRPr="00046DA5">
        <w:t>population centres</w:t>
      </w:r>
      <w:r w:rsidR="00214F75" w:rsidRPr="00046DA5">
        <w:t xml:space="preserve"> being served</w:t>
      </w:r>
      <w:r w:rsidR="002C1A80" w:rsidRPr="00046DA5">
        <w:t xml:space="preserve">. </w:t>
      </w:r>
      <w:r w:rsidR="002644D5" w:rsidRPr="00046DA5">
        <w:t>Other services that are providing communications for industry are more likely to be located near those industries</w:t>
      </w:r>
      <w:r w:rsidR="002C1A80" w:rsidRPr="00046DA5">
        <w:t xml:space="preserve">. </w:t>
      </w:r>
      <w:r w:rsidR="002644D5" w:rsidRPr="00046DA5">
        <w:t xml:space="preserve">Mining activities are a typical example of where there can be higher levels of radiocommunications activities away from population centres. </w:t>
      </w:r>
    </w:p>
    <w:p w14:paraId="4816F2D0" w14:textId="1FCBAAD8" w:rsidR="00141D78" w:rsidRPr="00046DA5" w:rsidRDefault="002644D5" w:rsidP="00E64BC4">
      <w:pPr>
        <w:pStyle w:val="Paragraph"/>
      </w:pPr>
      <w:r w:rsidRPr="00046DA5">
        <w:t xml:space="preserve">Another example relates to </w:t>
      </w:r>
      <w:r w:rsidR="00214F75" w:rsidRPr="00046DA5">
        <w:t>the wide are</w:t>
      </w:r>
      <w:r w:rsidRPr="00046DA5">
        <w:t>a</w:t>
      </w:r>
      <w:r w:rsidR="00214F75" w:rsidRPr="00046DA5">
        <w:t xml:space="preserve"> coverage</w:t>
      </w:r>
      <w:r w:rsidRPr="00046DA5">
        <w:t xml:space="preserve"> that can be required for some </w:t>
      </w:r>
      <w:r w:rsidR="00141D78" w:rsidRPr="00046DA5">
        <w:t>broadcasting related services</w:t>
      </w:r>
      <w:r w:rsidR="002C1A80" w:rsidRPr="00046DA5">
        <w:t xml:space="preserve">. </w:t>
      </w:r>
      <w:r w:rsidRPr="00046DA5">
        <w:t>Over time</w:t>
      </w:r>
      <w:r w:rsidR="003A75CE" w:rsidRPr="00046DA5">
        <w:t>,</w:t>
      </w:r>
      <w:r w:rsidRPr="00046DA5">
        <w:t xml:space="preserve"> the broadcasting industry has highlighted</w:t>
      </w:r>
      <w:r w:rsidR="00141D78" w:rsidRPr="00046DA5">
        <w:t xml:space="preserve"> </w:t>
      </w:r>
      <w:r w:rsidRPr="00046DA5">
        <w:t xml:space="preserve">examples where transmitters </w:t>
      </w:r>
      <w:r w:rsidR="003A75CE" w:rsidRPr="00046DA5">
        <w:t xml:space="preserve">may be </w:t>
      </w:r>
      <w:r w:rsidR="00CF329A" w:rsidRPr="00046DA5">
        <w:t xml:space="preserve">in different density areas to </w:t>
      </w:r>
      <w:r w:rsidRPr="00046DA5">
        <w:t xml:space="preserve">the population </w:t>
      </w:r>
      <w:r w:rsidR="00145176" w:rsidRPr="00046DA5">
        <w:t>centres the broadcaster is serving to provide adequate coverage.</w:t>
      </w:r>
      <w:r w:rsidR="00141D78" w:rsidRPr="00046DA5">
        <w:t xml:space="preserve"> Such examples highlight that different density areas could apply for different services</w:t>
      </w:r>
      <w:r w:rsidR="00C53844" w:rsidRPr="00046DA5">
        <w:t xml:space="preserve">. </w:t>
      </w:r>
      <w:r w:rsidR="00141D78" w:rsidRPr="00046DA5">
        <w:t xml:space="preserve">In some </w:t>
      </w:r>
      <w:r w:rsidR="00391E12" w:rsidRPr="00046DA5">
        <w:t>instances,</w:t>
      </w:r>
      <w:r w:rsidR="00141D78" w:rsidRPr="00046DA5">
        <w:t xml:space="preserve"> a different pricing construct such as $/MHz/Pop may be a more accurate measure of the value and demand for the spectrum. </w:t>
      </w:r>
    </w:p>
    <w:p w14:paraId="336DEF41" w14:textId="58F8C91D" w:rsidR="00141D78" w:rsidRPr="00046DA5" w:rsidRDefault="00141D78" w:rsidP="00E64BC4">
      <w:pPr>
        <w:pStyle w:val="Paragraph"/>
      </w:pPr>
      <w:r w:rsidRPr="00046DA5">
        <w:t xml:space="preserve">The review also provides an opportunity to consider how </w:t>
      </w:r>
      <w:r w:rsidR="00660B2E" w:rsidRPr="00046DA5">
        <w:t xml:space="preserve">to </w:t>
      </w:r>
      <w:r w:rsidRPr="00046DA5">
        <w:t xml:space="preserve">best develop new density areas or other approaches that have similar attributes to the density areas but may more readily be able to be developed and updated to account for changes in demand. Other approaches could include the development of measures of congestion that can be applied across Australia so that taxes increase as congestion in an area increases. While the approach would need to be adapted to fulfil this purpose, an example of a measure of congestion that the ACMA is considering </w:t>
      </w:r>
      <w:r w:rsidR="00BE59CD" w:rsidRPr="00046DA5">
        <w:t>relates to the</w:t>
      </w:r>
      <w:r w:rsidRPr="00046DA5">
        <w:t xml:space="preserve"> monitoring framework </w:t>
      </w:r>
      <w:r w:rsidR="003C5AD0" w:rsidRPr="00046DA5">
        <w:t xml:space="preserve">developed </w:t>
      </w:r>
      <w:r w:rsidRPr="00046DA5">
        <w:t xml:space="preserve">for the </w:t>
      </w:r>
      <w:r w:rsidR="00391E12" w:rsidRPr="00046DA5">
        <w:t>high-density</w:t>
      </w:r>
      <w:r w:rsidRPr="00046DA5">
        <w:t xml:space="preserve"> areas of the 400 MHz band. The monitoring framework is described in more detail under </w:t>
      </w:r>
      <w:r w:rsidR="003A75CE" w:rsidRPr="00046DA5">
        <w:t>f</w:t>
      </w:r>
      <w:r w:rsidRPr="00046DA5">
        <w:t xml:space="preserve">ocus </w:t>
      </w:r>
      <w:r w:rsidR="003A75CE" w:rsidRPr="00046DA5">
        <w:t>a</w:t>
      </w:r>
      <w:r w:rsidRPr="00046DA5">
        <w:t xml:space="preserve">rea </w:t>
      </w:r>
      <w:r w:rsidR="00D34C3C" w:rsidRPr="00046DA5">
        <w:t>3</w:t>
      </w:r>
      <w:r w:rsidRPr="00046DA5">
        <w:t>.</w:t>
      </w:r>
    </w:p>
    <w:p w14:paraId="6B2B005C" w14:textId="77777777" w:rsidR="00022D27" w:rsidRPr="00046DA5" w:rsidRDefault="00022D27" w:rsidP="00E64BC4">
      <w:pPr>
        <w:pStyle w:val="Heading3"/>
      </w:pPr>
      <w:r w:rsidRPr="00046DA5">
        <w:t>Consistency in pricing approaches</w:t>
      </w:r>
    </w:p>
    <w:p w14:paraId="4414B2B1" w14:textId="5B48405D" w:rsidR="00022D27" w:rsidRPr="00046DA5" w:rsidRDefault="00022D27" w:rsidP="00E64BC4">
      <w:pPr>
        <w:pStyle w:val="Paragraph"/>
      </w:pPr>
      <w:r w:rsidRPr="00046DA5">
        <w:t>As noted, the ACMA uses various pricing constructs and methods for setting apparatus licence taxes, including the tax formula, fixed taxes and $/MHz/Pop.</w:t>
      </w:r>
    </w:p>
    <w:p w14:paraId="1B80545A" w14:textId="32F03B01" w:rsidR="00141D78" w:rsidRPr="00046DA5" w:rsidRDefault="00022D27" w:rsidP="00E64BC4">
      <w:pPr>
        <w:pStyle w:val="Paragraph"/>
      </w:pPr>
      <w:r w:rsidRPr="00046DA5">
        <w:t>The ACMA considers that it</w:t>
      </w:r>
      <w:r w:rsidR="00141D78" w:rsidRPr="00046DA5">
        <w:t xml:space="preserve"> may be appropriate to consider different pricing constructs </w:t>
      </w:r>
      <w:r w:rsidR="003A75CE" w:rsidRPr="00046DA5">
        <w:t>for</w:t>
      </w:r>
      <w:r w:rsidR="00141D78" w:rsidRPr="00046DA5">
        <w:t xml:space="preserve"> similar services provided under different licence types</w:t>
      </w:r>
      <w:r w:rsidR="00C53844" w:rsidRPr="00046DA5">
        <w:t xml:space="preserve">. </w:t>
      </w:r>
      <w:r w:rsidR="00141D78" w:rsidRPr="00046DA5">
        <w:t>For example, point</w:t>
      </w:r>
      <w:r w:rsidR="003A75CE" w:rsidRPr="00046DA5">
        <w:t>-</w:t>
      </w:r>
      <w:r w:rsidR="00141D78" w:rsidRPr="00046DA5">
        <w:t>to</w:t>
      </w:r>
      <w:r w:rsidR="003A75CE" w:rsidRPr="00046DA5">
        <w:t>-</w:t>
      </w:r>
      <w:r w:rsidR="00141D78" w:rsidRPr="00046DA5">
        <w:t xml:space="preserve">multipoint services and some deployments of mobile services can be </w:t>
      </w:r>
      <w:r w:rsidRPr="00046DA5">
        <w:t xml:space="preserve">licensed </w:t>
      </w:r>
      <w:r w:rsidR="00141D78" w:rsidRPr="00046DA5">
        <w:t>under the point</w:t>
      </w:r>
      <w:r w:rsidR="003A75CE" w:rsidRPr="00046DA5">
        <w:t>-</w:t>
      </w:r>
      <w:r w:rsidR="00141D78" w:rsidRPr="00046DA5">
        <w:t>to</w:t>
      </w:r>
      <w:r w:rsidR="003A75CE" w:rsidRPr="00046DA5">
        <w:t>-</w:t>
      </w:r>
      <w:r w:rsidR="00141D78" w:rsidRPr="00046DA5">
        <w:t xml:space="preserve">multipoint licence type. However, under both spectrum licensing and the apparatus licensing of </w:t>
      </w:r>
      <w:r w:rsidR="00BD46AD" w:rsidRPr="00046DA5">
        <w:t>Public Mobile Telecommunications Service (</w:t>
      </w:r>
      <w:r w:rsidR="00141D78" w:rsidRPr="00046DA5">
        <w:t>PMTS</w:t>
      </w:r>
      <w:r w:rsidR="00BD46AD" w:rsidRPr="00046DA5">
        <w:t>)</w:t>
      </w:r>
      <w:r w:rsidR="00141D78" w:rsidRPr="00046DA5">
        <w:t xml:space="preserve"> Class B services, area</w:t>
      </w:r>
      <w:r w:rsidR="003A75CE" w:rsidRPr="00046DA5">
        <w:t>-</w:t>
      </w:r>
      <w:r w:rsidR="00141D78" w:rsidRPr="00046DA5">
        <w:t xml:space="preserve">based mobile services are typically priced using the $/MHz/Pop approach. Therefore, should apparatus licences that </w:t>
      </w:r>
      <w:r w:rsidR="00B37156" w:rsidRPr="00046DA5">
        <w:t xml:space="preserve">are </w:t>
      </w:r>
      <w:r w:rsidR="002D2A55" w:rsidRPr="00046DA5">
        <w:t>like</w:t>
      </w:r>
      <w:r w:rsidR="00B37156" w:rsidRPr="00046DA5">
        <w:t xml:space="preserve"> </w:t>
      </w:r>
      <w:r w:rsidR="00141D78" w:rsidRPr="00046DA5">
        <w:t>area-based licences be taxed using the same pricing construct (</w:t>
      </w:r>
      <w:r w:rsidR="003A75CE" w:rsidRPr="00046DA5">
        <w:t>that is,</w:t>
      </w:r>
      <w:r w:rsidR="00141D78" w:rsidRPr="00046DA5">
        <w:t xml:space="preserve"> $/MHz/Pop)?</w:t>
      </w:r>
    </w:p>
    <w:p w14:paraId="0D84C31E" w14:textId="4025CBBA" w:rsidR="009735C5" w:rsidRPr="00046DA5" w:rsidRDefault="00022D27" w:rsidP="00E64BC4">
      <w:pPr>
        <w:pStyle w:val="Paragraph"/>
      </w:pPr>
      <w:r w:rsidRPr="00046DA5">
        <w:t>Representations from some open narrowcasters have highlighted the similarities in the services they provide and those of commercial broadcasters</w:t>
      </w:r>
      <w:r w:rsidR="00030BC3" w:rsidRPr="00046DA5">
        <w:t>,</w:t>
      </w:r>
      <w:r w:rsidR="009735C5" w:rsidRPr="00046DA5">
        <w:t xml:space="preserve"> and that apparatus licence taxes should provide for parity pricing between the services</w:t>
      </w:r>
      <w:r w:rsidR="00C53844" w:rsidRPr="00046DA5">
        <w:t xml:space="preserve">. </w:t>
      </w:r>
      <w:r w:rsidRPr="00046DA5">
        <w:t xml:space="preserve">Spectrum pricing </w:t>
      </w:r>
      <w:r w:rsidR="009735C5" w:rsidRPr="00046DA5">
        <w:t xml:space="preserve">arrangements </w:t>
      </w:r>
      <w:r w:rsidRPr="00046DA5">
        <w:t xml:space="preserve">for commercial broadcasters are determined by the </w:t>
      </w:r>
      <w:r w:rsidR="005F4F90" w:rsidRPr="00C12E56">
        <w:t>Minister for Communications, Cyber Safety and the Arts</w:t>
      </w:r>
      <w:r w:rsidRPr="00046DA5">
        <w:t xml:space="preserve"> under the </w:t>
      </w:r>
      <w:r w:rsidR="009735C5" w:rsidRPr="00046DA5">
        <w:t>Commercial Broadcasting (Tax) (Individual Transmitter Amounts) Determination 2017</w:t>
      </w:r>
      <w:r w:rsidR="00C53844" w:rsidRPr="00046DA5">
        <w:t xml:space="preserve">. </w:t>
      </w:r>
      <w:r w:rsidR="009735C5" w:rsidRPr="00046DA5">
        <w:t>These commercial broadcasting taxes are not part of the scope of this review. Apparatus licence taxes for open narrowcasters are determined using a mix of pricing constructs, including the tax formula and fixed taxes for different geographic areas.</w:t>
      </w:r>
    </w:p>
    <w:p w14:paraId="2530BBF7" w14:textId="3A3B3C4B" w:rsidR="00141D78" w:rsidRPr="00046DA5" w:rsidRDefault="00141D78" w:rsidP="00046DA5">
      <w:pPr>
        <w:pStyle w:val="Paragraph"/>
        <w:keepNext/>
        <w:keepLines/>
        <w:shd w:val="clear" w:color="auto" w:fill="F2F2F2" w:themeFill="background1" w:themeFillShade="F2"/>
        <w:spacing w:after="0"/>
        <w:rPr>
          <w:b/>
        </w:rPr>
      </w:pPr>
      <w:r w:rsidRPr="00046DA5">
        <w:rPr>
          <w:b/>
        </w:rPr>
        <w:lastRenderedPageBreak/>
        <w:t xml:space="preserve">Question </w:t>
      </w:r>
      <w:r w:rsidR="00105A33" w:rsidRPr="00046DA5">
        <w:rPr>
          <w:b/>
        </w:rPr>
        <w:t>1</w:t>
      </w:r>
      <w:r w:rsidR="00190BB0" w:rsidRPr="00046DA5">
        <w:rPr>
          <w:b/>
        </w:rPr>
        <w:t>3</w:t>
      </w:r>
    </w:p>
    <w:p w14:paraId="34A6CCC7" w14:textId="47BFF8FB" w:rsidR="00A24D87" w:rsidRPr="00046DA5" w:rsidRDefault="007065AA" w:rsidP="00046DA5">
      <w:pPr>
        <w:pStyle w:val="Paragraph"/>
        <w:keepNext/>
        <w:keepLines/>
        <w:shd w:val="clear" w:color="auto" w:fill="F2F2F2" w:themeFill="background1" w:themeFillShade="F2"/>
        <w:rPr>
          <w:rFonts w:cs="Times New Roman"/>
        </w:rPr>
      </w:pPr>
      <w:r w:rsidRPr="00046DA5">
        <w:rPr>
          <w:rFonts w:cs="Times New Roman"/>
        </w:rPr>
        <w:t>H</w:t>
      </w:r>
      <w:r w:rsidR="00A24D87" w:rsidRPr="00046DA5">
        <w:rPr>
          <w:rFonts w:cs="Times New Roman"/>
        </w:rPr>
        <w:t xml:space="preserve">ow </w:t>
      </w:r>
      <w:r w:rsidRPr="00046DA5">
        <w:rPr>
          <w:rFonts w:cs="Times New Roman"/>
        </w:rPr>
        <w:t xml:space="preserve">does </w:t>
      </w:r>
      <w:r w:rsidR="00A24D87" w:rsidRPr="00046DA5">
        <w:rPr>
          <w:rFonts w:cs="Times New Roman"/>
        </w:rPr>
        <w:t>the value of spectrum changes across geographic locations?</w:t>
      </w:r>
      <w:r w:rsidR="00456A01" w:rsidRPr="00046DA5">
        <w:rPr>
          <w:rFonts w:cs="Times New Roman"/>
        </w:rPr>
        <w:t xml:space="preserve"> </w:t>
      </w:r>
    </w:p>
    <w:p w14:paraId="296E5C59" w14:textId="0D84ED94" w:rsidR="00490EAF" w:rsidRPr="00046DA5" w:rsidRDefault="00490EAF" w:rsidP="00046DA5">
      <w:pPr>
        <w:pStyle w:val="Paragraph"/>
        <w:keepNext/>
        <w:keepLines/>
        <w:shd w:val="clear" w:color="auto" w:fill="F2F2F2" w:themeFill="background1" w:themeFillShade="F2"/>
        <w:spacing w:after="0"/>
        <w:rPr>
          <w:b/>
        </w:rPr>
      </w:pPr>
      <w:r w:rsidRPr="00046DA5">
        <w:rPr>
          <w:b/>
        </w:rPr>
        <w:t xml:space="preserve">Question </w:t>
      </w:r>
      <w:r w:rsidR="00105A33" w:rsidRPr="00046DA5">
        <w:rPr>
          <w:b/>
        </w:rPr>
        <w:t>1</w:t>
      </w:r>
      <w:r w:rsidR="00190BB0" w:rsidRPr="00046DA5">
        <w:rPr>
          <w:b/>
        </w:rPr>
        <w:t>4</w:t>
      </w:r>
    </w:p>
    <w:p w14:paraId="59A7C035" w14:textId="7B07F183" w:rsidR="00141D78" w:rsidRPr="00046DA5" w:rsidRDefault="00A24D87" w:rsidP="00046DA5">
      <w:pPr>
        <w:pStyle w:val="Paragraph"/>
        <w:keepNext/>
        <w:keepLines/>
        <w:shd w:val="clear" w:color="auto" w:fill="F2F2F2" w:themeFill="background1" w:themeFillShade="F2"/>
        <w:spacing w:after="80"/>
        <w:rPr>
          <w:rFonts w:cs="Times New Roman"/>
        </w:rPr>
      </w:pPr>
      <w:r w:rsidRPr="00046DA5">
        <w:rPr>
          <w:rFonts w:cs="Times New Roman"/>
        </w:rPr>
        <w:t xml:space="preserve">The ACMA </w:t>
      </w:r>
      <w:r w:rsidR="00456A01" w:rsidRPr="00046DA5">
        <w:rPr>
          <w:rFonts w:cs="Times New Roman"/>
        </w:rPr>
        <w:t xml:space="preserve">also </w:t>
      </w:r>
      <w:r w:rsidRPr="00046DA5">
        <w:rPr>
          <w:rFonts w:cs="Times New Roman"/>
        </w:rPr>
        <w:t xml:space="preserve">seeks views from stakeholders </w:t>
      </w:r>
      <w:r w:rsidR="00141D78" w:rsidRPr="00046DA5">
        <w:rPr>
          <w:rFonts w:cs="Times New Roman"/>
        </w:rPr>
        <w:t>about:</w:t>
      </w:r>
    </w:p>
    <w:p w14:paraId="1385840D" w14:textId="2F561EA1" w:rsidR="00141D78" w:rsidRPr="00046DA5" w:rsidRDefault="007065AA" w:rsidP="00046DA5">
      <w:pPr>
        <w:pStyle w:val="Bulletlevel1"/>
        <w:keepNext/>
        <w:keepLines/>
        <w:shd w:val="clear" w:color="auto" w:fill="F2F2F2" w:themeFill="background1" w:themeFillShade="F2"/>
      </w:pPr>
      <w:r w:rsidRPr="00046DA5">
        <w:t xml:space="preserve">should </w:t>
      </w:r>
      <w:r w:rsidR="00141D78" w:rsidRPr="00046DA5">
        <w:t xml:space="preserve">density areas </w:t>
      </w:r>
      <w:r w:rsidRPr="00046DA5">
        <w:t xml:space="preserve">be refined </w:t>
      </w:r>
      <w:r w:rsidR="00141D78" w:rsidRPr="00046DA5">
        <w:t>for different services/bands</w:t>
      </w:r>
      <w:r w:rsidRPr="00046DA5">
        <w:t>?</w:t>
      </w:r>
    </w:p>
    <w:p w14:paraId="336920D3" w14:textId="54B6E4CD" w:rsidR="00D36F87" w:rsidRPr="00046DA5" w:rsidRDefault="00D36F87" w:rsidP="00046DA5">
      <w:pPr>
        <w:pStyle w:val="Bulletlevel1"/>
        <w:keepNext/>
        <w:keepLines/>
        <w:shd w:val="clear" w:color="auto" w:fill="F2F2F2" w:themeFill="background1" w:themeFillShade="F2"/>
      </w:pPr>
      <w:r w:rsidRPr="00046DA5">
        <w:t>rather than having density areas</w:t>
      </w:r>
      <w:r w:rsidR="007065AA" w:rsidRPr="00046DA5">
        <w:t>,</w:t>
      </w:r>
      <w:r w:rsidRPr="00046DA5">
        <w:t xml:space="preserve"> </w:t>
      </w:r>
      <w:r w:rsidR="007065AA" w:rsidRPr="00046DA5">
        <w:t xml:space="preserve">do </w:t>
      </w:r>
      <w:r w:rsidRPr="00046DA5">
        <w:t>models of congestion (like that used in the 400 MHz work) potentially better reflect demand for services and the value of spectrum? If so, what features would such a model have?</w:t>
      </w:r>
    </w:p>
    <w:p w14:paraId="026C9900" w14:textId="55DABE71" w:rsidR="00141D78" w:rsidRPr="00046DA5" w:rsidRDefault="007065AA" w:rsidP="00046DA5">
      <w:pPr>
        <w:pStyle w:val="Bulletlevel1"/>
        <w:keepNext/>
        <w:keepLines/>
        <w:shd w:val="clear" w:color="auto" w:fill="F2F2F2" w:themeFill="background1" w:themeFillShade="F2"/>
      </w:pPr>
      <w:r w:rsidRPr="00046DA5">
        <w:t xml:space="preserve">whether </w:t>
      </w:r>
      <w:r w:rsidR="00141D78" w:rsidRPr="00046DA5">
        <w:t>different pricing constructs such as $/MHz/Pop for different licence types</w:t>
      </w:r>
      <w:r w:rsidRPr="00046DA5">
        <w:t xml:space="preserve"> should be considered</w:t>
      </w:r>
      <w:r w:rsidR="009D2137" w:rsidRPr="00046DA5">
        <w:t>?</w:t>
      </w:r>
    </w:p>
    <w:p w14:paraId="06C93332" w14:textId="43C8DEDA" w:rsidR="009735C5" w:rsidRPr="00046DA5" w:rsidRDefault="009735C5" w:rsidP="00046DA5">
      <w:pPr>
        <w:pStyle w:val="Bulletlevel1"/>
        <w:keepNext/>
        <w:keepLines/>
        <w:shd w:val="clear" w:color="auto" w:fill="F2F2F2" w:themeFill="background1" w:themeFillShade="F2"/>
      </w:pPr>
      <w:r w:rsidRPr="00046DA5">
        <w:t>whether there should be parity in pricing arrangements between services like commercial broadcasting taxes and open narrowcasting taxes</w:t>
      </w:r>
      <w:r w:rsidR="00440A8D" w:rsidRPr="00046DA5">
        <w:t>?</w:t>
      </w:r>
    </w:p>
    <w:p w14:paraId="125BCAC7" w14:textId="0C1A16F5" w:rsidR="00D34C3C" w:rsidRPr="00046DA5" w:rsidRDefault="007065AA" w:rsidP="00046DA5">
      <w:pPr>
        <w:pStyle w:val="Bulletlevel1last"/>
        <w:keepNext/>
        <w:keepLines/>
        <w:shd w:val="clear" w:color="auto" w:fill="F2F2F2" w:themeFill="background1" w:themeFillShade="F2"/>
      </w:pPr>
      <w:r w:rsidRPr="00046DA5">
        <w:t xml:space="preserve">whether </w:t>
      </w:r>
      <w:r w:rsidR="00D34C3C" w:rsidRPr="00046DA5">
        <w:t xml:space="preserve">there </w:t>
      </w:r>
      <w:r w:rsidRPr="00046DA5">
        <w:t xml:space="preserve">are </w:t>
      </w:r>
      <w:r w:rsidR="00D34C3C" w:rsidRPr="00046DA5">
        <w:t>other services</w:t>
      </w:r>
      <w:r w:rsidR="00C8093C" w:rsidRPr="00046DA5">
        <w:t xml:space="preserve"> where the ACMA should be considering providing greater parity in pricing</w:t>
      </w:r>
      <w:r w:rsidR="003E15EC" w:rsidRPr="00046DA5">
        <w:t>?</w:t>
      </w:r>
    </w:p>
    <w:p w14:paraId="2A81B789" w14:textId="5FEF6C99" w:rsidR="00C96CDB" w:rsidRPr="00046DA5" w:rsidRDefault="00C96CDB" w:rsidP="00046DA5">
      <w:pPr>
        <w:pStyle w:val="Heading2"/>
        <w:pageBreakBefore/>
      </w:pPr>
      <w:bookmarkStart w:id="44" w:name="_Toc33758210"/>
      <w:r w:rsidRPr="00046DA5">
        <w:lastRenderedPageBreak/>
        <w:t xml:space="preserve">Focus </w:t>
      </w:r>
      <w:r w:rsidR="00125281" w:rsidRPr="00046DA5">
        <w:t>a</w:t>
      </w:r>
      <w:r w:rsidRPr="00046DA5">
        <w:t>rea 5: New technologies</w:t>
      </w:r>
      <w:r w:rsidR="00094332" w:rsidRPr="00046DA5">
        <w:t xml:space="preserve"> and trials</w:t>
      </w:r>
      <w:bookmarkEnd w:id="44"/>
    </w:p>
    <w:p w14:paraId="36E74F9F" w14:textId="77777777" w:rsidR="0085460B" w:rsidRPr="00046DA5" w:rsidRDefault="00C96CDB" w:rsidP="00C852E9">
      <w:pPr>
        <w:pStyle w:val="Paragraph"/>
        <w:spacing w:after="120"/>
      </w:pPr>
      <w:r w:rsidRPr="00046DA5">
        <w:t>Technology developments are increasingly occurring and the ACMA wishes to encourage those developments</w:t>
      </w:r>
      <w:r w:rsidR="00C53844" w:rsidRPr="00046DA5">
        <w:t xml:space="preserve">. </w:t>
      </w:r>
      <w:r w:rsidR="00A81725" w:rsidRPr="00046DA5">
        <w:t>As noted in the FYSO</w:t>
      </w:r>
      <w:r w:rsidR="0085460B" w:rsidRPr="00046DA5">
        <w:t>:</w:t>
      </w:r>
    </w:p>
    <w:p w14:paraId="686750B8" w14:textId="2C178E02" w:rsidR="00A81725" w:rsidRPr="00046DA5" w:rsidRDefault="00A81725" w:rsidP="00C852E9">
      <w:pPr>
        <w:pStyle w:val="Paragraph"/>
        <w:ind w:left="426" w:right="1150"/>
        <w:rPr>
          <w:sz w:val="18"/>
          <w:szCs w:val="18"/>
        </w:rPr>
      </w:pPr>
      <w:r w:rsidRPr="00046DA5">
        <w:rPr>
          <w:sz w:val="18"/>
          <w:szCs w:val="18"/>
        </w:rPr>
        <w:t>As technology develops, it is able to use available spectrum more efficiently. Examples include more efficient radiocommunications transmission and encoding technologies, and improved antenna technology that provides greater options in the use of high frequency bands.</w:t>
      </w:r>
      <w:r w:rsidRPr="00046DA5">
        <w:rPr>
          <w:rStyle w:val="FootnoteReference"/>
          <w:sz w:val="18"/>
          <w:szCs w:val="18"/>
        </w:rPr>
        <w:footnoteReference w:id="14"/>
      </w:r>
    </w:p>
    <w:p w14:paraId="4D6ACE39" w14:textId="653591C9" w:rsidR="00C96CDB" w:rsidRPr="00046DA5" w:rsidRDefault="00C96CDB" w:rsidP="00C96CDB">
      <w:r w:rsidRPr="00046DA5">
        <w:t>Currently</w:t>
      </w:r>
      <w:r w:rsidR="0085460B" w:rsidRPr="00046DA5">
        <w:t>,</w:t>
      </w:r>
      <w:r w:rsidRPr="00046DA5">
        <w:t xml:space="preserve"> our scientific tri</w:t>
      </w:r>
      <w:r w:rsidR="00660B2E" w:rsidRPr="00046DA5">
        <w:t>a</w:t>
      </w:r>
      <w:r w:rsidRPr="00046DA5">
        <w:t>l licensing arrangements for assigned licences is based on the tax formula and</w:t>
      </w:r>
      <w:r w:rsidR="0085460B" w:rsidRPr="00046DA5">
        <w:t>,</w:t>
      </w:r>
      <w:r w:rsidRPr="00046DA5">
        <w:t xml:space="preserve"> therefore</w:t>
      </w:r>
      <w:r w:rsidR="0085460B" w:rsidRPr="00046DA5">
        <w:t>,</w:t>
      </w:r>
      <w:r w:rsidRPr="00046DA5">
        <w:t xml:space="preserve"> taxes vary based on the amount of bandwidth, the frequency range and the length of time of the trials</w:t>
      </w:r>
      <w:r w:rsidR="00C53844" w:rsidRPr="00046DA5">
        <w:t xml:space="preserve">. </w:t>
      </w:r>
      <w:r w:rsidRPr="00046DA5">
        <w:t xml:space="preserve">Despite some changes to the trial pricing arrangements in recent years, </w:t>
      </w:r>
      <w:r w:rsidR="00A203D6" w:rsidRPr="00046DA5">
        <w:t>the ACMA has</w:t>
      </w:r>
      <w:r w:rsidRPr="00046DA5">
        <w:t xml:space="preserve"> observed that the cost of trial licences may still be prohibitive for some potential licensees</w:t>
      </w:r>
      <w:r w:rsidR="0085460B" w:rsidRPr="00046DA5">
        <w:t>—</w:t>
      </w:r>
      <w:r w:rsidRPr="00046DA5">
        <w:t>this appears to be particularly so</w:t>
      </w:r>
      <w:r w:rsidR="0085460B" w:rsidRPr="00046DA5">
        <w:t>,</w:t>
      </w:r>
      <w:r w:rsidRPr="00046DA5">
        <w:t xml:space="preserve"> given many new technologies use large amounts of bandwidths</w:t>
      </w:r>
      <w:r w:rsidR="00C53844" w:rsidRPr="00046DA5">
        <w:t xml:space="preserve">. </w:t>
      </w:r>
    </w:p>
    <w:p w14:paraId="1576372D" w14:textId="33F06808" w:rsidR="00C96CDB" w:rsidRPr="00046DA5" w:rsidRDefault="00C96CDB" w:rsidP="00C96CDB">
      <w:r w:rsidRPr="00046DA5">
        <w:t>The ACMA remains of the view that there should be some price signal attributed to trial licensing</w:t>
      </w:r>
      <w:r w:rsidR="00C53844" w:rsidRPr="00046DA5">
        <w:t xml:space="preserve">. </w:t>
      </w:r>
      <w:r w:rsidRPr="00046DA5">
        <w:t xml:space="preserve">While the ACMA acknowledges that trial licensing is provided on a </w:t>
      </w:r>
      <w:r w:rsidR="0085460B" w:rsidRPr="00046DA5">
        <w:t>‘</w:t>
      </w:r>
      <w:r w:rsidRPr="00046DA5">
        <w:t>no protection basis</w:t>
      </w:r>
      <w:r w:rsidR="0085460B" w:rsidRPr="00046DA5">
        <w:t>’</w:t>
      </w:r>
      <w:r w:rsidR="00413AA9" w:rsidRPr="00046DA5">
        <w:t>, in that the trial must not interfere with existing radiocommunications services and may need to accept some interference</w:t>
      </w:r>
      <w:r w:rsidRPr="00046DA5">
        <w:t xml:space="preserve">, ACMA staff attempt to coordinate </w:t>
      </w:r>
      <w:r w:rsidR="00EB04C9" w:rsidRPr="00046DA5">
        <w:t xml:space="preserve">other </w:t>
      </w:r>
      <w:r w:rsidRPr="00046DA5">
        <w:t>services so as not to interfere with existing tri</w:t>
      </w:r>
      <w:r w:rsidR="00660B2E" w:rsidRPr="00046DA5">
        <w:t>a</w:t>
      </w:r>
      <w:r w:rsidRPr="00046DA5">
        <w:t>ls</w:t>
      </w:r>
      <w:r w:rsidR="00C53844" w:rsidRPr="00046DA5">
        <w:t xml:space="preserve">. </w:t>
      </w:r>
      <w:r w:rsidRPr="00046DA5">
        <w:t>Therefore</w:t>
      </w:r>
      <w:r w:rsidR="00630028" w:rsidRPr="00046DA5">
        <w:t>,</w:t>
      </w:r>
      <w:r w:rsidRPr="00046DA5">
        <w:t xml:space="preserve"> the longer the tr</w:t>
      </w:r>
      <w:r w:rsidR="00630028" w:rsidRPr="00046DA5">
        <w:t>ia</w:t>
      </w:r>
      <w:r w:rsidRPr="00046DA5">
        <w:t>l</w:t>
      </w:r>
      <w:r w:rsidR="009735C5" w:rsidRPr="00046DA5">
        <w:t xml:space="preserve"> and the greater the bandwidth utilised</w:t>
      </w:r>
      <w:r w:rsidRPr="00046DA5">
        <w:t>, the greater the likelihood that some coordination will be needed</w:t>
      </w:r>
      <w:r w:rsidR="0085460B" w:rsidRPr="00046DA5">
        <w:t>,</w:t>
      </w:r>
      <w:r w:rsidR="00413AA9" w:rsidRPr="00046DA5">
        <w:t xml:space="preserve"> which in turn implies that some price signal remains appropriate</w:t>
      </w:r>
      <w:r w:rsidR="00C53844" w:rsidRPr="00046DA5">
        <w:t xml:space="preserve">. </w:t>
      </w:r>
    </w:p>
    <w:p w14:paraId="732F8459" w14:textId="2312503A" w:rsidR="00C96CDB" w:rsidRPr="00046DA5" w:rsidRDefault="00413AA9" w:rsidP="00C96CDB">
      <w:r w:rsidRPr="00046DA5">
        <w:t>There are currently 37 scientific assigned licence trials being conducted, ranging from a few days to one year.</w:t>
      </w:r>
      <w:r w:rsidR="00CB219B" w:rsidRPr="00046DA5">
        <w:t xml:space="preserve"> </w:t>
      </w:r>
      <w:r w:rsidR="00B260CA" w:rsidRPr="00046DA5">
        <w:t>On</w:t>
      </w:r>
      <w:r w:rsidR="0085460B" w:rsidRPr="00046DA5">
        <w:t>e</w:t>
      </w:r>
      <w:r w:rsidR="00B260CA" w:rsidRPr="00046DA5">
        <w:t xml:space="preserve"> alternative set of pricing arrangements for scientific assigned licences is providing some reduction in taxes associated with short</w:t>
      </w:r>
      <w:r w:rsidR="0085460B" w:rsidRPr="00046DA5">
        <w:t>-</w:t>
      </w:r>
      <w:r w:rsidR="00B260CA" w:rsidRPr="00046DA5">
        <w:t xml:space="preserve">term trials. </w:t>
      </w:r>
      <w:r w:rsidR="00C96CDB" w:rsidRPr="00046DA5">
        <w:t>The ACMA is proposing to introduce new pricing arrangements for short</w:t>
      </w:r>
      <w:r w:rsidR="0085460B" w:rsidRPr="00046DA5">
        <w:t>-</w:t>
      </w:r>
      <w:r w:rsidR="00C96CDB" w:rsidRPr="00046DA5">
        <w:t>term trials</w:t>
      </w:r>
      <w:r w:rsidR="00145176" w:rsidRPr="00046DA5">
        <w:t xml:space="preserve"> to better reflect the potential denial characteristics for product demonstrations</w:t>
      </w:r>
      <w:r w:rsidR="00C53844" w:rsidRPr="00046DA5">
        <w:t xml:space="preserve">. </w:t>
      </w:r>
      <w:r w:rsidR="00145176" w:rsidRPr="00046DA5">
        <w:t xml:space="preserve">As an </w:t>
      </w:r>
      <w:r w:rsidR="00B260CA" w:rsidRPr="00046DA5">
        <w:t>example</w:t>
      </w:r>
      <w:r w:rsidR="002C15DD" w:rsidRPr="00046DA5">
        <w:t>,</w:t>
      </w:r>
      <w:r w:rsidR="00B260CA" w:rsidRPr="00046DA5">
        <w:t xml:space="preserve"> f</w:t>
      </w:r>
      <w:r w:rsidR="00C96CDB" w:rsidRPr="00046DA5">
        <w:t>or tri</w:t>
      </w:r>
      <w:r w:rsidR="00660B2E" w:rsidRPr="00046DA5">
        <w:t>a</w:t>
      </w:r>
      <w:r w:rsidR="00C96CDB" w:rsidRPr="00046DA5">
        <w:t>ls of less than 60 days</w:t>
      </w:r>
      <w:r w:rsidR="0085460B" w:rsidRPr="00046DA5">
        <w:t>,</w:t>
      </w:r>
      <w:r w:rsidR="00C96CDB" w:rsidRPr="00046DA5">
        <w:t xml:space="preserve"> the ACMA is proposing that the tax be set at the minimum </w:t>
      </w:r>
      <w:r w:rsidR="00F60FFB" w:rsidRPr="00046DA5">
        <w:t xml:space="preserve">annual </w:t>
      </w:r>
      <w:r w:rsidR="00C96CDB" w:rsidRPr="00046DA5">
        <w:t>tax</w:t>
      </w:r>
      <w:r w:rsidR="00C53844" w:rsidRPr="00046DA5">
        <w:t xml:space="preserve">. </w:t>
      </w:r>
      <w:r w:rsidR="00C96CDB" w:rsidRPr="00046DA5">
        <w:t xml:space="preserve">To avoid licensees trying </w:t>
      </w:r>
      <w:r w:rsidR="002F3ED3" w:rsidRPr="00046DA5">
        <w:t xml:space="preserve">to effectively extend trials at the lower price, </w:t>
      </w:r>
      <w:r w:rsidR="008C069D" w:rsidRPr="00046DA5">
        <w:t>ACMA proposes that it would generally not renew such licences</w:t>
      </w:r>
      <w:r w:rsidR="00660B2E" w:rsidRPr="00046DA5">
        <w:t>.</w:t>
      </w:r>
      <w:r w:rsidR="00145176" w:rsidRPr="00046DA5">
        <w:t xml:space="preserve"> Should there be general support for such a change in taxes in response to this paper, the ACMA would formally consult on the amendments required to the tax determinations. </w:t>
      </w:r>
    </w:p>
    <w:p w14:paraId="25DF5267" w14:textId="3F9B028F" w:rsidR="00AF4C90" w:rsidRPr="00046DA5" w:rsidRDefault="00AF4C90" w:rsidP="00526982">
      <w:pPr>
        <w:pStyle w:val="Paragraph"/>
        <w:keepNext/>
        <w:keepLines/>
        <w:shd w:val="clear" w:color="auto" w:fill="F2F2F2" w:themeFill="background1" w:themeFillShade="F2"/>
        <w:spacing w:after="0"/>
        <w:rPr>
          <w:b/>
        </w:rPr>
      </w:pPr>
      <w:r w:rsidRPr="00046DA5">
        <w:rPr>
          <w:b/>
        </w:rPr>
        <w:t xml:space="preserve">Question </w:t>
      </w:r>
      <w:r w:rsidR="00105A33" w:rsidRPr="00046DA5">
        <w:rPr>
          <w:b/>
        </w:rPr>
        <w:t>1</w:t>
      </w:r>
      <w:r w:rsidR="00190BB0" w:rsidRPr="00046DA5">
        <w:rPr>
          <w:b/>
        </w:rPr>
        <w:t>5</w:t>
      </w:r>
    </w:p>
    <w:p w14:paraId="094A5869" w14:textId="0EFBA464" w:rsidR="00A80685" w:rsidRPr="00046DA5" w:rsidRDefault="0085460B" w:rsidP="00526982">
      <w:pPr>
        <w:pStyle w:val="Paragraph"/>
        <w:keepNext/>
        <w:keepLines/>
        <w:shd w:val="clear" w:color="auto" w:fill="F2F2F2" w:themeFill="background1" w:themeFillShade="F2"/>
        <w:spacing w:after="80"/>
        <w:rPr>
          <w:rFonts w:cs="Times New Roman"/>
        </w:rPr>
      </w:pPr>
      <w:r w:rsidRPr="00046DA5">
        <w:rPr>
          <w:rFonts w:cs="Times New Roman"/>
        </w:rPr>
        <w:t>Do stakeholders have views</w:t>
      </w:r>
      <w:r w:rsidR="00AF4C90" w:rsidRPr="00046DA5">
        <w:rPr>
          <w:rFonts w:cs="Times New Roman"/>
        </w:rPr>
        <w:t xml:space="preserve"> on</w:t>
      </w:r>
      <w:r w:rsidR="00A80685" w:rsidRPr="00046DA5">
        <w:rPr>
          <w:rFonts w:cs="Times New Roman"/>
        </w:rPr>
        <w:t>:</w:t>
      </w:r>
    </w:p>
    <w:p w14:paraId="4D0DF590" w14:textId="66DE4141" w:rsidR="00A80685" w:rsidRPr="00046DA5" w:rsidRDefault="00413AA9" w:rsidP="00526982">
      <w:pPr>
        <w:pStyle w:val="Bulletlevel1"/>
        <w:keepNext/>
        <w:keepLines/>
        <w:shd w:val="clear" w:color="auto" w:fill="F2F2F2" w:themeFill="background1" w:themeFillShade="F2"/>
      </w:pPr>
      <w:r w:rsidRPr="00046DA5">
        <w:t>the current pricing arrangements for sc</w:t>
      </w:r>
      <w:r w:rsidR="00A80685" w:rsidRPr="00046DA5">
        <w:t>ientific assigned licences</w:t>
      </w:r>
      <w:r w:rsidR="00DD0457" w:rsidRPr="00046DA5">
        <w:t xml:space="preserve"> for new technologies</w:t>
      </w:r>
      <w:r w:rsidR="0085460B" w:rsidRPr="00046DA5">
        <w:t>?</w:t>
      </w:r>
      <w:r w:rsidR="00AF4C90" w:rsidRPr="00046DA5">
        <w:t xml:space="preserve"> </w:t>
      </w:r>
    </w:p>
    <w:p w14:paraId="0368F7D6" w14:textId="777A4BE7" w:rsidR="00AF4C90" w:rsidRPr="00046DA5" w:rsidRDefault="00AF4C90" w:rsidP="00526982">
      <w:pPr>
        <w:pStyle w:val="Bulletlevel1last"/>
        <w:keepNext/>
        <w:keepLines/>
        <w:shd w:val="clear" w:color="auto" w:fill="F2F2F2" w:themeFill="background1" w:themeFillShade="F2"/>
      </w:pPr>
      <w:r w:rsidRPr="00046DA5">
        <w:t>the proposal for new short-term</w:t>
      </w:r>
      <w:r w:rsidR="000D4ADD" w:rsidRPr="00046DA5">
        <w:t xml:space="preserve"> scientific </w:t>
      </w:r>
      <w:r w:rsidR="00A81725" w:rsidRPr="00046DA5">
        <w:t xml:space="preserve">assigned </w:t>
      </w:r>
      <w:r w:rsidR="000D4ADD" w:rsidRPr="00046DA5">
        <w:t>licence</w:t>
      </w:r>
      <w:r w:rsidRPr="00046DA5">
        <w:t xml:space="preserve"> trials</w:t>
      </w:r>
      <w:r w:rsidR="00CB219B" w:rsidRPr="00046DA5">
        <w:t xml:space="preserve"> and alternative pricing proposals</w:t>
      </w:r>
      <w:r w:rsidR="0085460B" w:rsidRPr="00046DA5">
        <w:t>?</w:t>
      </w:r>
    </w:p>
    <w:p w14:paraId="7CCA9754" w14:textId="29BECF56" w:rsidR="0017116F" w:rsidRPr="00046DA5" w:rsidRDefault="0017116F" w:rsidP="00046DA5">
      <w:pPr>
        <w:pStyle w:val="Heading2"/>
        <w:pageBreakBefore/>
      </w:pPr>
      <w:bookmarkStart w:id="45" w:name="_Toc33758211"/>
      <w:r w:rsidRPr="00046DA5">
        <w:lastRenderedPageBreak/>
        <w:t xml:space="preserve">Focus </w:t>
      </w:r>
      <w:r w:rsidR="0085460B" w:rsidRPr="00046DA5">
        <w:t>a</w:t>
      </w:r>
      <w:r w:rsidRPr="00046DA5">
        <w:t>rea 6: Transparency and ease of calculating taxes</w:t>
      </w:r>
      <w:bookmarkEnd w:id="45"/>
    </w:p>
    <w:p w14:paraId="031C6030" w14:textId="54A42F49" w:rsidR="0017116F" w:rsidRPr="00046DA5" w:rsidRDefault="0017116F" w:rsidP="00E64BC4">
      <w:pPr>
        <w:pStyle w:val="Paragraph"/>
      </w:pPr>
      <w:r w:rsidRPr="00046DA5">
        <w:t xml:space="preserve">In addition to publishing guidelines about its approach to pricing, the ACMA will continue to provide detailed calculations </w:t>
      </w:r>
      <w:r w:rsidR="0085460B" w:rsidRPr="00046DA5">
        <w:t>about</w:t>
      </w:r>
      <w:r w:rsidRPr="00046DA5">
        <w:t xml:space="preserve"> its pricing decisions in consultation papers and explanatory statements.</w:t>
      </w:r>
    </w:p>
    <w:p w14:paraId="4F7A3013" w14:textId="13A6E6CA" w:rsidR="00CE4179" w:rsidRPr="00046DA5" w:rsidRDefault="00CE4179" w:rsidP="00E64BC4">
      <w:pPr>
        <w:pStyle w:val="Paragraph"/>
      </w:pPr>
      <w:r w:rsidRPr="00046DA5">
        <w:t xml:space="preserve">The ACMA already publishes the Apparatus Licence Fee Schedule. The </w:t>
      </w:r>
      <w:r w:rsidR="0085460B" w:rsidRPr="00046DA5">
        <w:t>s</w:t>
      </w:r>
      <w:r w:rsidRPr="00046DA5">
        <w:t xml:space="preserve">chedule provides details about the taxes and charges associated with apparatus licences. The ACMA will continue to publish the Apparatus Licence Fee </w:t>
      </w:r>
      <w:r w:rsidR="00046DA5" w:rsidRPr="00046DA5">
        <w:t>Schedule and</w:t>
      </w:r>
      <w:r w:rsidR="0085460B" w:rsidRPr="00046DA5">
        <w:t xml:space="preserve"> </w:t>
      </w:r>
      <w:r w:rsidRPr="00046DA5">
        <w:t>proposes to provide details of how taxes have been previously determined</w:t>
      </w:r>
      <w:r w:rsidR="00120C04" w:rsidRPr="00046DA5">
        <w:t xml:space="preserve"> to </w:t>
      </w:r>
      <w:r w:rsidR="00BC434F" w:rsidRPr="00046DA5">
        <w:t xml:space="preserve">support </w:t>
      </w:r>
      <w:r w:rsidRPr="00046DA5">
        <w:t xml:space="preserve">understanding </w:t>
      </w:r>
      <w:r w:rsidR="00BC434F" w:rsidRPr="00046DA5">
        <w:t xml:space="preserve">of </w:t>
      </w:r>
      <w:r w:rsidRPr="00046DA5">
        <w:t>the apparatus licence taxes regime.</w:t>
      </w:r>
    </w:p>
    <w:p w14:paraId="72A2CFDA" w14:textId="2FD59A55" w:rsidR="0017116F" w:rsidRPr="00046DA5" w:rsidRDefault="00EB04C9" w:rsidP="00E64BC4">
      <w:pPr>
        <w:pStyle w:val="Paragraph"/>
      </w:pPr>
      <w:r w:rsidRPr="00046DA5">
        <w:t>The Apparatus Licence Fee Schedule provides information so that a licensee can manually estimate the apparatus licence taxes that may apply. Previously</w:t>
      </w:r>
      <w:r w:rsidR="0085460B" w:rsidRPr="00046DA5">
        <w:t>,</w:t>
      </w:r>
      <w:r w:rsidRPr="00046DA5">
        <w:t xml:space="preserve"> the ACMA has provided an Apparatus Licence Fee Calculator</w:t>
      </w:r>
      <w:r w:rsidR="0085460B" w:rsidRPr="00046DA5">
        <w:t>, which</w:t>
      </w:r>
      <w:r w:rsidRPr="00046DA5">
        <w:t xml:space="preserve"> provided estimate</w:t>
      </w:r>
      <w:r w:rsidR="000049DA" w:rsidRPr="00046DA5">
        <w:t>s</w:t>
      </w:r>
      <w:r w:rsidRPr="00046DA5">
        <w:t xml:space="preserve"> of the potential taxes for the licensee</w:t>
      </w:r>
      <w:r w:rsidR="000049DA" w:rsidRPr="00046DA5">
        <w:t xml:space="preserve"> rather than the licensee undertaking manual calculations</w:t>
      </w:r>
      <w:r w:rsidRPr="00046DA5">
        <w:t xml:space="preserve">. </w:t>
      </w:r>
      <w:r w:rsidR="000E0728" w:rsidRPr="00046DA5">
        <w:t>T</w:t>
      </w:r>
      <w:r w:rsidR="0017116F" w:rsidRPr="00046DA5">
        <w:t>he ACMA is proposing to develop a new calculator</w:t>
      </w:r>
      <w:r w:rsidR="0085460B" w:rsidRPr="00046DA5">
        <w:t>,</w:t>
      </w:r>
      <w:r w:rsidR="0017116F" w:rsidRPr="00046DA5">
        <w:t xml:space="preserve"> </w:t>
      </w:r>
      <w:r w:rsidR="00EB485A" w:rsidRPr="00046DA5">
        <w:t>given the advantages of being able to readily calculate the possible taxes for a new licence. Any calculator that might be provided should only be used as guide.</w:t>
      </w:r>
    </w:p>
    <w:p w14:paraId="11ED6781" w14:textId="38BDFFD7" w:rsidR="0017116F" w:rsidRPr="00046DA5" w:rsidRDefault="0017116F" w:rsidP="00E64BC4">
      <w:pPr>
        <w:pStyle w:val="Paragraph"/>
        <w:keepNext/>
        <w:keepLines/>
        <w:shd w:val="clear" w:color="auto" w:fill="F2F2F2" w:themeFill="background1" w:themeFillShade="F2"/>
        <w:spacing w:after="0"/>
        <w:rPr>
          <w:b/>
        </w:rPr>
      </w:pPr>
      <w:r w:rsidRPr="00046DA5">
        <w:rPr>
          <w:b/>
        </w:rPr>
        <w:t xml:space="preserve">Question </w:t>
      </w:r>
      <w:r w:rsidR="00105A33" w:rsidRPr="00046DA5">
        <w:rPr>
          <w:b/>
        </w:rPr>
        <w:t>1</w:t>
      </w:r>
      <w:r w:rsidR="00190BB0" w:rsidRPr="00046DA5">
        <w:rPr>
          <w:b/>
        </w:rPr>
        <w:t>6</w:t>
      </w:r>
    </w:p>
    <w:p w14:paraId="6A408C8C" w14:textId="7D1C7E7F" w:rsidR="0017116F" w:rsidRPr="00046DA5" w:rsidRDefault="0085460B" w:rsidP="00E64BC4">
      <w:pPr>
        <w:pStyle w:val="Paragraph"/>
        <w:keepNext/>
        <w:keepLines/>
        <w:shd w:val="clear" w:color="auto" w:fill="F2F2F2" w:themeFill="background1" w:themeFillShade="F2"/>
      </w:pPr>
      <w:r w:rsidRPr="00046DA5">
        <w:t>Do</w:t>
      </w:r>
      <w:r w:rsidR="0017116F" w:rsidRPr="00046DA5">
        <w:t xml:space="preserve"> these proposals promote transparency and ease in calculating taxes</w:t>
      </w:r>
      <w:r w:rsidRPr="00046DA5">
        <w:t>?</w:t>
      </w:r>
    </w:p>
    <w:p w14:paraId="411A79F5" w14:textId="2D26F335" w:rsidR="0020730A" w:rsidRPr="00046DA5" w:rsidRDefault="008A773D" w:rsidP="003917D3">
      <w:pPr>
        <w:pStyle w:val="Heading1"/>
      </w:pPr>
      <w:bookmarkStart w:id="46" w:name="_Toc33758212"/>
      <w:r w:rsidRPr="00046DA5">
        <w:lastRenderedPageBreak/>
        <w:t xml:space="preserve">Next </w:t>
      </w:r>
      <w:r w:rsidR="0085460B" w:rsidRPr="00046DA5">
        <w:t>s</w:t>
      </w:r>
      <w:r w:rsidRPr="00046DA5">
        <w:t>teps</w:t>
      </w:r>
      <w:bookmarkEnd w:id="46"/>
    </w:p>
    <w:p w14:paraId="54A9E2CC" w14:textId="037DFD96" w:rsidR="008B6F01" w:rsidRPr="00046DA5" w:rsidRDefault="008B6F01" w:rsidP="008B6F01">
      <w:r w:rsidRPr="00046DA5">
        <w:t>Submissions to this consultation process are requested by</w:t>
      </w:r>
      <w:r w:rsidR="00C17A4A">
        <w:t xml:space="preserve"> </w:t>
      </w:r>
      <w:r w:rsidR="000F138B">
        <w:rPr>
          <w:b/>
        </w:rPr>
        <w:t xml:space="preserve">30 June </w:t>
      </w:r>
      <w:r w:rsidRPr="00C17A4A">
        <w:rPr>
          <w:b/>
        </w:rPr>
        <w:t>2020</w:t>
      </w:r>
      <w:r w:rsidRPr="00046DA5">
        <w:t xml:space="preserve">. </w:t>
      </w:r>
    </w:p>
    <w:p w14:paraId="5194C94E" w14:textId="36B2AAE6" w:rsidR="008B6F01" w:rsidRPr="00046DA5" w:rsidRDefault="0085460B" w:rsidP="00075914">
      <w:pPr>
        <w:spacing w:after="80"/>
      </w:pPr>
      <w:r w:rsidRPr="00046DA5">
        <w:t>In</w:t>
      </w:r>
      <w:r w:rsidR="008B6F01" w:rsidRPr="00046DA5">
        <w:t xml:space="preserve"> </w:t>
      </w:r>
      <w:r w:rsidRPr="00046DA5">
        <w:t xml:space="preserve">response </w:t>
      </w:r>
      <w:r w:rsidR="008B6F01" w:rsidRPr="00046DA5">
        <w:t>to the submissions to this consultation process</w:t>
      </w:r>
      <w:r w:rsidRPr="00046DA5">
        <w:t>,</w:t>
      </w:r>
      <w:r w:rsidR="008B6F01" w:rsidRPr="00046DA5">
        <w:t xml:space="preserve"> the ACMA will release an outcomes paper. </w:t>
      </w:r>
      <w:r w:rsidR="005A5B65" w:rsidRPr="00046DA5">
        <w:t>T</w:t>
      </w:r>
      <w:r w:rsidR="008B6F01" w:rsidRPr="00046DA5">
        <w:t xml:space="preserve">he </w:t>
      </w:r>
      <w:r w:rsidR="002351FF" w:rsidRPr="00046DA5">
        <w:t xml:space="preserve">outcomes </w:t>
      </w:r>
      <w:r w:rsidR="008B6F01" w:rsidRPr="00046DA5">
        <w:t>paper will:</w:t>
      </w:r>
    </w:p>
    <w:p w14:paraId="3A6EDC5A" w14:textId="235E5AFB" w:rsidR="005A5B65" w:rsidRPr="00046DA5" w:rsidRDefault="005A5B65" w:rsidP="008B6F01">
      <w:pPr>
        <w:pStyle w:val="ListBullet"/>
      </w:pPr>
      <w:r w:rsidRPr="00046DA5">
        <w:t xml:space="preserve">respond to issues raised by submitters </w:t>
      </w:r>
    </w:p>
    <w:p w14:paraId="53FB9252" w14:textId="5E95F899" w:rsidR="008B6F01" w:rsidRPr="00046DA5" w:rsidRDefault="005A5B65" w:rsidP="008B6F01">
      <w:pPr>
        <w:pStyle w:val="ListBullet"/>
      </w:pPr>
      <w:r w:rsidRPr="00046DA5">
        <w:t xml:space="preserve">outline </w:t>
      </w:r>
      <w:r w:rsidR="008B6F01" w:rsidRPr="00046DA5">
        <w:t xml:space="preserve">the spectrum pricing guidelines </w:t>
      </w:r>
    </w:p>
    <w:p w14:paraId="75293D96" w14:textId="32694C5D" w:rsidR="008B6F01" w:rsidRPr="00046DA5" w:rsidRDefault="008B6F01" w:rsidP="008B6F01">
      <w:pPr>
        <w:pStyle w:val="ListBullet"/>
      </w:pPr>
      <w:r w:rsidRPr="00046DA5">
        <w:t>confirm the focus areas to be considered as part of the implementation of the Spectrum Pricing Review</w:t>
      </w:r>
    </w:p>
    <w:p w14:paraId="4A2C8F9D" w14:textId="748331BD" w:rsidR="008B6F01" w:rsidRPr="00046DA5" w:rsidRDefault="005A5B65" w:rsidP="008B6F01">
      <w:pPr>
        <w:pStyle w:val="ListBullet"/>
      </w:pPr>
      <w:r w:rsidRPr="00046DA5">
        <w:t xml:space="preserve">outline the </w:t>
      </w:r>
      <w:r w:rsidR="008B6F01" w:rsidRPr="00046DA5">
        <w:t>work program to consider the changes to the prices relating to the focus areas</w:t>
      </w:r>
      <w:r w:rsidRPr="00046DA5">
        <w:t>, including:</w:t>
      </w:r>
    </w:p>
    <w:p w14:paraId="2A8E5812" w14:textId="77777777" w:rsidR="008B6F01" w:rsidRPr="00046DA5" w:rsidRDefault="008B6F01" w:rsidP="008B6F01">
      <w:pPr>
        <w:pStyle w:val="ListBullet"/>
        <w:tabs>
          <w:tab w:val="clear" w:pos="295"/>
          <w:tab w:val="num" w:pos="579"/>
        </w:tabs>
        <w:ind w:left="579"/>
      </w:pPr>
      <w:r w:rsidRPr="00046DA5">
        <w:t>the further analysis that will be required to propose new taxes</w:t>
      </w:r>
    </w:p>
    <w:p w14:paraId="31D582CE" w14:textId="68180722" w:rsidR="008B6F01" w:rsidRPr="00046DA5" w:rsidRDefault="008B6F01" w:rsidP="00075914">
      <w:pPr>
        <w:pStyle w:val="ListBullet"/>
        <w:tabs>
          <w:tab w:val="clear" w:pos="295"/>
          <w:tab w:val="num" w:pos="579"/>
        </w:tabs>
        <w:spacing w:after="240"/>
        <w:ind w:left="579"/>
      </w:pPr>
      <w:r w:rsidRPr="00046DA5">
        <w:t xml:space="preserve">the consultation processes required to consider any proposed new taxes, </w:t>
      </w:r>
      <w:r w:rsidR="005A5B65" w:rsidRPr="00046DA5">
        <w:t xml:space="preserve">and </w:t>
      </w:r>
      <w:r w:rsidRPr="00046DA5">
        <w:t>the timing of those consultation processes.</w:t>
      </w:r>
    </w:p>
    <w:p w14:paraId="5273B4C0" w14:textId="6B1C58D8" w:rsidR="0069394A" w:rsidRPr="00046DA5" w:rsidRDefault="000E0728" w:rsidP="0069394A">
      <w:r w:rsidRPr="00046DA5">
        <w:t xml:space="preserve">This work program will also be included in the future editions of the </w:t>
      </w:r>
      <w:hyperlink r:id="rId35" w:history="1">
        <w:r w:rsidRPr="00046DA5">
          <w:rPr>
            <w:rStyle w:val="Hyperlink"/>
          </w:rPr>
          <w:t>FYSO</w:t>
        </w:r>
      </w:hyperlink>
      <w:r w:rsidRPr="00046DA5">
        <w:t xml:space="preserve"> to enable stakeholders to monitor the progress of its implementation and provide further comment.</w:t>
      </w:r>
      <w:r w:rsidR="00C96CDB" w:rsidRPr="00046DA5">
        <w:br w:type="page"/>
      </w:r>
    </w:p>
    <w:p w14:paraId="3A022034" w14:textId="5C00D597" w:rsidR="006C1631" w:rsidRPr="00046DA5" w:rsidRDefault="006C1631" w:rsidP="006C1631">
      <w:pPr>
        <w:pStyle w:val="Heading1"/>
      </w:pPr>
      <w:bookmarkStart w:id="47" w:name="_Toc33758213"/>
      <w:r w:rsidRPr="00046DA5">
        <w:lastRenderedPageBreak/>
        <w:t>Invitation to comment</w:t>
      </w:r>
      <w:bookmarkEnd w:id="47"/>
    </w:p>
    <w:p w14:paraId="7E9A48D9" w14:textId="77777777" w:rsidR="006C1631" w:rsidRPr="00046DA5" w:rsidRDefault="006C1631" w:rsidP="006C1631">
      <w:pPr>
        <w:pStyle w:val="Heading2"/>
      </w:pPr>
      <w:bookmarkStart w:id="48" w:name="_Toc433122131"/>
      <w:bookmarkStart w:id="49" w:name="_Toc348105637"/>
      <w:bookmarkStart w:id="50" w:name="_Toc300909556"/>
      <w:bookmarkStart w:id="51" w:name="_Toc298924673"/>
      <w:bookmarkStart w:id="52" w:name="_Toc33758214"/>
      <w:bookmarkStart w:id="53" w:name="_Toc348105638"/>
      <w:bookmarkStart w:id="54" w:name="_Toc300909557"/>
      <w:bookmarkStart w:id="55" w:name="_Toc298924674"/>
      <w:bookmarkStart w:id="56" w:name="_Toc274296357"/>
      <w:r w:rsidRPr="00046DA5">
        <w:t>Making a submission</w:t>
      </w:r>
      <w:bookmarkEnd w:id="48"/>
      <w:bookmarkEnd w:id="49"/>
      <w:bookmarkEnd w:id="50"/>
      <w:bookmarkEnd w:id="51"/>
      <w:bookmarkEnd w:id="52"/>
    </w:p>
    <w:p w14:paraId="7FE9A47D" w14:textId="4368278B" w:rsidR="006C1631" w:rsidRPr="00046DA5" w:rsidRDefault="006C1631" w:rsidP="006C1631">
      <w:r w:rsidRPr="00046DA5">
        <w:t xml:space="preserve">The ACMA invites comments on the issues set out in this </w:t>
      </w:r>
      <w:r w:rsidR="00B5254F" w:rsidRPr="00046DA5">
        <w:t xml:space="preserve">consultation </w:t>
      </w:r>
      <w:r w:rsidRPr="00046DA5">
        <w:t xml:space="preserve">paper. </w:t>
      </w:r>
    </w:p>
    <w:p w14:paraId="415852C2" w14:textId="77777777" w:rsidR="0070133D" w:rsidRPr="00046DA5" w:rsidRDefault="004A685A" w:rsidP="0070133D">
      <w:pPr>
        <w:pStyle w:val="Bulletlevel1"/>
      </w:pPr>
      <w:hyperlink r:id="rId36" w:history="1">
        <w:r w:rsidR="0070133D" w:rsidRPr="00046DA5">
          <w:rPr>
            <w:rStyle w:val="Hyperlink"/>
          </w:rPr>
          <w:t>Online submissions</w:t>
        </w:r>
      </w:hyperlink>
      <w:r w:rsidR="0070133D" w:rsidRPr="00046DA5">
        <w:t xml:space="preserve"> can be made via the comment function or by uploading a document. Submissions in Microsoft Word or Rich Text Format are preferred.</w:t>
      </w:r>
    </w:p>
    <w:p w14:paraId="746BC659" w14:textId="77777777" w:rsidR="006C1631" w:rsidRPr="00046DA5" w:rsidRDefault="006C1631" w:rsidP="0070133D">
      <w:pPr>
        <w:pStyle w:val="Bulletlevel1"/>
      </w:pPr>
      <w:r w:rsidRPr="00046DA5">
        <w:t xml:space="preserve">Submissions by post can be sent to: </w:t>
      </w:r>
    </w:p>
    <w:p w14:paraId="65A5376B" w14:textId="77777777" w:rsidR="006C1631" w:rsidRPr="00046DA5" w:rsidRDefault="006C1631" w:rsidP="006C1631">
      <w:pPr>
        <w:tabs>
          <w:tab w:val="num" w:pos="295"/>
        </w:tabs>
        <w:spacing w:after="0"/>
        <w:ind w:left="295"/>
        <w:rPr>
          <w:szCs w:val="20"/>
        </w:rPr>
      </w:pPr>
      <w:r w:rsidRPr="00046DA5">
        <w:rPr>
          <w:szCs w:val="20"/>
        </w:rPr>
        <w:t>The Manager</w:t>
      </w:r>
    </w:p>
    <w:p w14:paraId="0E4C0414" w14:textId="38F48233" w:rsidR="006C1631" w:rsidRPr="00046DA5" w:rsidRDefault="00AD00AD" w:rsidP="006C1631">
      <w:pPr>
        <w:spacing w:after="0"/>
        <w:ind w:left="295"/>
        <w:rPr>
          <w:szCs w:val="20"/>
        </w:rPr>
      </w:pPr>
      <w:r w:rsidRPr="00046DA5">
        <w:rPr>
          <w:szCs w:val="20"/>
        </w:rPr>
        <w:t>Economics</w:t>
      </w:r>
      <w:r w:rsidR="003878C0" w:rsidRPr="00046DA5">
        <w:rPr>
          <w:szCs w:val="20"/>
        </w:rPr>
        <w:t xml:space="preserve"> and Market Analysis</w:t>
      </w:r>
    </w:p>
    <w:p w14:paraId="15451E94" w14:textId="77777777" w:rsidR="006C1631" w:rsidRPr="00046DA5" w:rsidRDefault="006C1631" w:rsidP="006C1631">
      <w:pPr>
        <w:spacing w:after="0"/>
        <w:ind w:left="295"/>
        <w:rPr>
          <w:szCs w:val="20"/>
        </w:rPr>
      </w:pPr>
      <w:r w:rsidRPr="00046DA5">
        <w:rPr>
          <w:szCs w:val="20"/>
        </w:rPr>
        <w:t>Australian Communications and Media Authority</w:t>
      </w:r>
    </w:p>
    <w:p w14:paraId="6986EB04" w14:textId="77777777" w:rsidR="00B70028" w:rsidRPr="00046DA5" w:rsidRDefault="00374CCD" w:rsidP="00C22F8E">
      <w:pPr>
        <w:spacing w:after="0"/>
        <w:ind w:left="295"/>
        <w:rPr>
          <w:szCs w:val="20"/>
        </w:rPr>
      </w:pPr>
      <w:r w:rsidRPr="00046DA5">
        <w:rPr>
          <w:szCs w:val="20"/>
        </w:rPr>
        <w:t xml:space="preserve">PO Box 13112 Law Courts, </w:t>
      </w:r>
    </w:p>
    <w:p w14:paraId="239BBF2A" w14:textId="1B7819EA" w:rsidR="00C22F8E" w:rsidRPr="00046DA5" w:rsidRDefault="00374CCD" w:rsidP="00C22F8E">
      <w:pPr>
        <w:spacing w:after="0"/>
        <w:ind w:left="295"/>
        <w:rPr>
          <w:szCs w:val="20"/>
        </w:rPr>
      </w:pPr>
      <w:r w:rsidRPr="00046DA5">
        <w:rPr>
          <w:szCs w:val="20"/>
        </w:rPr>
        <w:t>Melbourne Vic 8010</w:t>
      </w:r>
    </w:p>
    <w:p w14:paraId="408127F9" w14:textId="3FF7AB6C" w:rsidR="006C1631" w:rsidRPr="00046DA5" w:rsidRDefault="006C1631" w:rsidP="00C22F8E">
      <w:pPr>
        <w:spacing w:after="0"/>
        <w:ind w:left="295"/>
        <w:rPr>
          <w:szCs w:val="20"/>
        </w:rPr>
      </w:pPr>
    </w:p>
    <w:p w14:paraId="35E74736" w14:textId="07BAE99B" w:rsidR="006C1631" w:rsidRDefault="006C1631" w:rsidP="006C1631">
      <w:pPr>
        <w:rPr>
          <w:b/>
        </w:rPr>
      </w:pPr>
      <w:r w:rsidRPr="00046DA5">
        <w:t xml:space="preserve">The closing date for submissions is COB, </w:t>
      </w:r>
      <w:r w:rsidR="007F0A6B">
        <w:rPr>
          <w:b/>
          <w:bCs/>
        </w:rPr>
        <w:t>Tuesday</w:t>
      </w:r>
      <w:bookmarkStart w:id="57" w:name="_GoBack"/>
      <w:bookmarkEnd w:id="57"/>
      <w:r w:rsidR="001B4D8E" w:rsidRPr="00046DA5">
        <w:rPr>
          <w:b/>
        </w:rPr>
        <w:t>,</w:t>
      </w:r>
      <w:r w:rsidRPr="00046DA5">
        <w:rPr>
          <w:b/>
        </w:rPr>
        <w:t xml:space="preserve"> </w:t>
      </w:r>
      <w:r w:rsidR="00DC5A2E">
        <w:rPr>
          <w:b/>
        </w:rPr>
        <w:t xml:space="preserve">30 June </w:t>
      </w:r>
      <w:r w:rsidRPr="00046DA5">
        <w:rPr>
          <w:b/>
        </w:rPr>
        <w:t>20</w:t>
      </w:r>
      <w:r w:rsidR="00D0719A" w:rsidRPr="00046DA5">
        <w:rPr>
          <w:b/>
        </w:rPr>
        <w:t>20</w:t>
      </w:r>
      <w:r w:rsidRPr="00046DA5">
        <w:rPr>
          <w:b/>
        </w:rPr>
        <w:t>.</w:t>
      </w:r>
    </w:p>
    <w:p w14:paraId="6DB8DCC8" w14:textId="61D93DF4" w:rsidR="00CE253E" w:rsidRPr="00046DA5" w:rsidRDefault="00353E36" w:rsidP="006C1631">
      <w:r>
        <w:t>The original closing date of Wednesday 15 April 2020 has been extended to allow industry sectors to prioritise their business-critical functions during the COVID-19 pandemic.</w:t>
      </w:r>
    </w:p>
    <w:p w14:paraId="04A3AE99" w14:textId="7C53450B" w:rsidR="006C1631" w:rsidRPr="00046DA5" w:rsidRDefault="006C1631" w:rsidP="006C1631">
      <w:pPr>
        <w:rPr>
          <w:szCs w:val="20"/>
        </w:rPr>
      </w:pPr>
      <w:r w:rsidRPr="00046DA5">
        <w:t xml:space="preserve">Consultation enquiries can be emailed </w:t>
      </w:r>
      <w:r w:rsidRPr="00046DA5">
        <w:rPr>
          <w:szCs w:val="20"/>
        </w:rPr>
        <w:t xml:space="preserve">to </w:t>
      </w:r>
      <w:hyperlink r:id="rId37" w:history="1">
        <w:r w:rsidR="00AF1352" w:rsidRPr="00046DA5">
          <w:rPr>
            <w:rStyle w:val="Hyperlink"/>
            <w:szCs w:val="20"/>
          </w:rPr>
          <w:t>spectrumpricing@acma.gov.au</w:t>
        </w:r>
      </w:hyperlink>
      <w:r w:rsidRPr="00046DA5">
        <w:rPr>
          <w:szCs w:val="20"/>
        </w:rPr>
        <w:t>.</w:t>
      </w:r>
    </w:p>
    <w:p w14:paraId="166DDE1B" w14:textId="77777777" w:rsidR="006C1631" w:rsidRPr="00046DA5" w:rsidRDefault="006C1631" w:rsidP="005B2F0D">
      <w:pPr>
        <w:pStyle w:val="Heading4"/>
      </w:pPr>
      <w:bookmarkStart w:id="58" w:name="_Toc348105639"/>
      <w:bookmarkStart w:id="59" w:name="_Toc300909558"/>
      <w:bookmarkEnd w:id="53"/>
      <w:bookmarkEnd w:id="54"/>
      <w:r w:rsidRPr="00046DA5">
        <w:t>Publication of submissions</w:t>
      </w:r>
      <w:bookmarkEnd w:id="55"/>
      <w:bookmarkEnd w:id="56"/>
      <w:bookmarkEnd w:id="58"/>
      <w:bookmarkEnd w:id="59"/>
    </w:p>
    <w:p w14:paraId="0FEE5FF8" w14:textId="77777777" w:rsidR="006C1631" w:rsidRPr="00046DA5" w:rsidRDefault="006C1631" w:rsidP="006C1631">
      <w:bookmarkStart w:id="60" w:name="_Toc348105640"/>
      <w:bookmarkStart w:id="61" w:name="_Toc300909559"/>
      <w:bookmarkStart w:id="62" w:name="_Toc265246234"/>
      <w:r w:rsidRPr="00046DA5">
        <w:t>The ACMA publishes submissions on our website</w:t>
      </w:r>
      <w:r w:rsidRPr="00046DA5">
        <w:rPr>
          <w:rFonts w:cs="Arial"/>
        </w:rPr>
        <w:t>, including personal information (such as names and contact details)</w:t>
      </w:r>
      <w:r w:rsidRPr="00046DA5">
        <w:t xml:space="preserve">, except for information that you have claimed (and we have accepted) is confidential. </w:t>
      </w:r>
    </w:p>
    <w:p w14:paraId="46E45C60" w14:textId="77777777" w:rsidR="006C1631" w:rsidRPr="00046DA5" w:rsidRDefault="006C1631" w:rsidP="006C1631">
      <w:r w:rsidRPr="00046DA5">
        <w:t>Confidential information will not be published or otherwise released unless required or authorised by law.</w:t>
      </w:r>
    </w:p>
    <w:p w14:paraId="41B899F4" w14:textId="77777777" w:rsidR="006C1631" w:rsidRPr="00046DA5" w:rsidRDefault="006C1631" w:rsidP="005B2F0D">
      <w:pPr>
        <w:pStyle w:val="Heading4"/>
      </w:pPr>
      <w:r w:rsidRPr="00046DA5">
        <w:t>Privacy</w:t>
      </w:r>
    </w:p>
    <w:p w14:paraId="61F6FFA1" w14:textId="77777777" w:rsidR="006C1631" w:rsidRPr="00046DA5" w:rsidRDefault="004A685A" w:rsidP="005B2F0D">
      <w:pPr>
        <w:pStyle w:val="Paragraph"/>
      </w:pPr>
      <w:hyperlink r:id="rId38" w:history="1">
        <w:r w:rsidR="006C1631" w:rsidRPr="00046DA5">
          <w:rPr>
            <w:rStyle w:val="Hyperlink"/>
            <w:i/>
          </w:rPr>
          <w:t>Privacy and consultation</w:t>
        </w:r>
      </w:hyperlink>
      <w:r w:rsidR="006C1631" w:rsidRPr="00046DA5">
        <w:t xml:space="preserve"> provides information about the ACMA’s collection of personal information during consultation and how we handle that information.</w:t>
      </w:r>
    </w:p>
    <w:bookmarkEnd w:id="60"/>
    <w:bookmarkEnd w:id="61"/>
    <w:bookmarkEnd w:id="62"/>
    <w:p w14:paraId="5BB9A318" w14:textId="77777777" w:rsidR="00A4193E" w:rsidRPr="00046DA5" w:rsidRDefault="006C1631" w:rsidP="005B2F0D">
      <w:pPr>
        <w:pStyle w:val="Paragraph"/>
      </w:pPr>
      <w:r w:rsidRPr="00046DA5">
        <w:t xml:space="preserve">Information on the </w:t>
      </w:r>
      <w:r w:rsidRPr="00046DA5">
        <w:rPr>
          <w:i/>
        </w:rPr>
        <w:t xml:space="preserve">Privacy Act 1988 </w:t>
      </w:r>
      <w:r w:rsidRPr="00046DA5">
        <w:t xml:space="preserve">and the ACMA’s privacy policy (including how to access or correct personal information, how to make a privacy complaint and how we will deal with the complaint) is available at </w:t>
      </w:r>
      <w:hyperlink r:id="rId39" w:tooltip="ACMA Privacy Policy" w:history="1">
        <w:r w:rsidRPr="00046DA5">
          <w:rPr>
            <w:rStyle w:val="Hyperlink"/>
          </w:rPr>
          <w:t>acma.gov.au/privacypolicy</w:t>
        </w:r>
      </w:hyperlink>
      <w:r w:rsidRPr="00046DA5">
        <w:t>.</w:t>
      </w:r>
      <w:r w:rsidR="00A4193E" w:rsidRPr="00046DA5">
        <w:t xml:space="preserve"> </w:t>
      </w:r>
    </w:p>
    <w:p w14:paraId="67E794B8" w14:textId="3FDE0AC6" w:rsidR="00B83419" w:rsidRPr="00046DA5" w:rsidRDefault="00B83419" w:rsidP="00594A01">
      <w:pPr>
        <w:pStyle w:val="Heading1"/>
        <w:rPr>
          <w:bCs w:val="0"/>
        </w:rPr>
      </w:pPr>
      <w:bookmarkStart w:id="63" w:name="_Toc33758215"/>
      <w:r w:rsidRPr="00046DA5">
        <w:lastRenderedPageBreak/>
        <w:t xml:space="preserve">Appendix A: </w:t>
      </w:r>
      <w:r w:rsidRPr="00046DA5">
        <w:rPr>
          <w:bCs w:val="0"/>
        </w:rPr>
        <w:t>Assigned licence tax formula</w:t>
      </w:r>
      <w:bookmarkEnd w:id="63"/>
    </w:p>
    <w:p w14:paraId="3A415493" w14:textId="77777777" w:rsidR="00B83419" w:rsidRPr="00046DA5" w:rsidRDefault="00B83419" w:rsidP="00B83419">
      <w:pPr>
        <w:rPr>
          <w:rFonts w:cs="Arial"/>
        </w:rPr>
      </w:pPr>
      <w:r w:rsidRPr="00046DA5">
        <w:rPr>
          <w:rFonts w:cs="Arial"/>
        </w:rPr>
        <w:t>The annual tax is calculated by multiplying the factors listed below:</w:t>
      </w:r>
    </w:p>
    <w:tbl>
      <w:tblPr>
        <w:tblW w:w="0" w:type="auto"/>
        <w:tblInd w:w="108" w:type="dxa"/>
        <w:tblBorders>
          <w:top w:val="double" w:sz="4" w:space="0" w:color="auto"/>
          <w:bottom w:val="doub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2825"/>
        <w:gridCol w:w="131"/>
      </w:tblGrid>
      <w:tr w:rsidR="00B83419" w:rsidRPr="00046DA5" w14:paraId="6782F824" w14:textId="77777777" w:rsidTr="00B030DB">
        <w:trPr>
          <w:trHeight w:hRule="exact" w:val="688"/>
        </w:trPr>
        <w:tc>
          <w:tcPr>
            <w:tcW w:w="970" w:type="dxa"/>
            <w:vMerge w:val="restart"/>
            <w:tcBorders>
              <w:top w:val="double" w:sz="4" w:space="0" w:color="auto"/>
              <w:bottom w:val="single" w:sz="4" w:space="0" w:color="auto"/>
              <w:right w:val="single" w:sz="4" w:space="0" w:color="auto"/>
            </w:tcBorders>
            <w:vAlign w:val="center"/>
          </w:tcPr>
          <w:p w14:paraId="77565D4C" w14:textId="77777777" w:rsidR="00B83419" w:rsidRPr="00046DA5" w:rsidRDefault="00B83419" w:rsidP="00B030DB">
            <w:pPr>
              <w:jc w:val="center"/>
              <w:rPr>
                <w:b/>
                <w:lang w:val="en-US"/>
              </w:rPr>
            </w:pPr>
            <w:r w:rsidRPr="00046DA5">
              <w:rPr>
                <w:b/>
                <w:lang w:val="en-US"/>
              </w:rPr>
              <w:t>X</w:t>
            </w:r>
          </w:p>
        </w:tc>
        <w:tc>
          <w:tcPr>
            <w:tcW w:w="2956" w:type="dxa"/>
            <w:gridSpan w:val="2"/>
            <w:tcBorders>
              <w:top w:val="double" w:sz="4" w:space="0" w:color="auto"/>
              <w:left w:val="single" w:sz="4" w:space="0" w:color="auto"/>
              <w:bottom w:val="nil"/>
              <w:right w:val="nil"/>
            </w:tcBorders>
          </w:tcPr>
          <w:p w14:paraId="47461AE7" w14:textId="77777777" w:rsidR="00B83419" w:rsidRPr="00046DA5" w:rsidRDefault="00B83419" w:rsidP="00B030DB">
            <w:pPr>
              <w:rPr>
                <w:b/>
                <w:lang w:val="en-US"/>
              </w:rPr>
            </w:pPr>
            <w:r w:rsidRPr="00046DA5">
              <w:rPr>
                <w:b/>
                <w:lang w:val="en-US"/>
              </w:rPr>
              <w:t>Normalisation factor</w:t>
            </w:r>
          </w:p>
        </w:tc>
      </w:tr>
      <w:tr w:rsidR="00B83419" w:rsidRPr="00046DA5" w14:paraId="5E7D8352" w14:textId="77777777" w:rsidTr="00B030DB">
        <w:trPr>
          <w:trHeight w:hRule="exact" w:val="691"/>
        </w:trPr>
        <w:tc>
          <w:tcPr>
            <w:tcW w:w="970" w:type="dxa"/>
            <w:vMerge/>
            <w:tcBorders>
              <w:top w:val="single" w:sz="4" w:space="0" w:color="auto"/>
            </w:tcBorders>
          </w:tcPr>
          <w:p w14:paraId="26767052" w14:textId="77777777" w:rsidR="00B83419" w:rsidRPr="00046DA5" w:rsidRDefault="00B83419" w:rsidP="00B030DB">
            <w:pPr>
              <w:keepNext/>
              <w:tabs>
                <w:tab w:val="left" w:pos="3480"/>
              </w:tabs>
              <w:suppressAutoHyphens/>
              <w:spacing w:before="320"/>
              <w:outlineLvl w:val="1"/>
              <w:rPr>
                <w:rFonts w:cs="Arial"/>
                <w:b/>
                <w:szCs w:val="20"/>
                <w:lang w:val="en-US"/>
              </w:rPr>
            </w:pPr>
          </w:p>
        </w:tc>
        <w:tc>
          <w:tcPr>
            <w:tcW w:w="2956" w:type="dxa"/>
            <w:gridSpan w:val="2"/>
            <w:tcBorders>
              <w:top w:val="nil"/>
              <w:bottom w:val="nil"/>
              <w:right w:val="nil"/>
            </w:tcBorders>
          </w:tcPr>
          <w:p w14:paraId="28BFBB34" w14:textId="3A38DB60" w:rsidR="00B83419" w:rsidRPr="00046DA5" w:rsidRDefault="00B83419" w:rsidP="00B030DB">
            <w:pPr>
              <w:rPr>
                <w:b/>
                <w:lang w:val="en-US"/>
              </w:rPr>
            </w:pPr>
            <w:r w:rsidRPr="00046DA5">
              <w:rPr>
                <w:b/>
                <w:lang w:val="en-US"/>
              </w:rPr>
              <w:t>Bandwidth</w:t>
            </w:r>
            <w:r w:rsidR="0005586E" w:rsidRPr="00046DA5">
              <w:rPr>
                <w:b/>
                <w:lang w:val="en-US"/>
              </w:rPr>
              <w:t xml:space="preserve"> factor</w:t>
            </w:r>
          </w:p>
        </w:tc>
      </w:tr>
      <w:tr w:rsidR="00B83419" w:rsidRPr="00046DA5" w14:paraId="7EE399D8" w14:textId="77777777" w:rsidTr="00B030DB">
        <w:trPr>
          <w:trHeight w:hRule="exact" w:val="730"/>
        </w:trPr>
        <w:tc>
          <w:tcPr>
            <w:tcW w:w="970" w:type="dxa"/>
            <w:vMerge/>
          </w:tcPr>
          <w:p w14:paraId="1023BAEE" w14:textId="77777777" w:rsidR="00B83419" w:rsidRPr="00046DA5" w:rsidRDefault="00B83419" w:rsidP="00B030DB">
            <w:pPr>
              <w:keepNext/>
              <w:tabs>
                <w:tab w:val="left" w:pos="3480"/>
              </w:tabs>
              <w:suppressAutoHyphens/>
              <w:spacing w:before="320"/>
              <w:outlineLvl w:val="1"/>
              <w:rPr>
                <w:rFonts w:cs="Arial"/>
                <w:b/>
                <w:szCs w:val="20"/>
                <w:lang w:val="en-US"/>
              </w:rPr>
            </w:pPr>
          </w:p>
        </w:tc>
        <w:tc>
          <w:tcPr>
            <w:tcW w:w="2956" w:type="dxa"/>
            <w:gridSpan w:val="2"/>
            <w:tcBorders>
              <w:top w:val="nil"/>
              <w:bottom w:val="nil"/>
              <w:right w:val="nil"/>
            </w:tcBorders>
          </w:tcPr>
          <w:p w14:paraId="45C703A5" w14:textId="480F7BCA" w:rsidR="00B83419" w:rsidRPr="00046DA5" w:rsidRDefault="00B83419" w:rsidP="00B030DB">
            <w:pPr>
              <w:rPr>
                <w:b/>
                <w:lang w:val="en-US"/>
              </w:rPr>
            </w:pPr>
            <w:r w:rsidRPr="00046DA5">
              <w:rPr>
                <w:b/>
                <w:lang w:val="en-US"/>
              </w:rPr>
              <w:t>Power</w:t>
            </w:r>
            <w:r w:rsidR="0005586E" w:rsidRPr="00046DA5">
              <w:rPr>
                <w:b/>
                <w:lang w:val="en-US"/>
              </w:rPr>
              <w:t xml:space="preserve"> factor</w:t>
            </w:r>
          </w:p>
        </w:tc>
      </w:tr>
      <w:tr w:rsidR="00B83419" w:rsidRPr="00046DA5" w14:paraId="678503C1" w14:textId="77777777" w:rsidTr="00B030DB">
        <w:trPr>
          <w:trHeight w:hRule="exact" w:val="723"/>
        </w:trPr>
        <w:tc>
          <w:tcPr>
            <w:tcW w:w="970" w:type="dxa"/>
            <w:vMerge/>
          </w:tcPr>
          <w:p w14:paraId="7C91E98D" w14:textId="77777777" w:rsidR="00B83419" w:rsidRPr="00046DA5" w:rsidRDefault="00B83419" w:rsidP="00B030DB">
            <w:pPr>
              <w:keepNext/>
              <w:tabs>
                <w:tab w:val="left" w:pos="3480"/>
              </w:tabs>
              <w:suppressAutoHyphens/>
              <w:spacing w:before="320"/>
              <w:outlineLvl w:val="1"/>
              <w:rPr>
                <w:rFonts w:cs="Arial"/>
                <w:b/>
                <w:szCs w:val="20"/>
                <w:lang w:val="en-US"/>
              </w:rPr>
            </w:pPr>
          </w:p>
        </w:tc>
        <w:tc>
          <w:tcPr>
            <w:tcW w:w="2956" w:type="dxa"/>
            <w:gridSpan w:val="2"/>
            <w:tcBorders>
              <w:top w:val="nil"/>
              <w:bottom w:val="nil"/>
              <w:right w:val="nil"/>
            </w:tcBorders>
          </w:tcPr>
          <w:p w14:paraId="04B9D09F" w14:textId="77777777" w:rsidR="00B83419" w:rsidRPr="00046DA5" w:rsidRDefault="00B83419" w:rsidP="00B030DB">
            <w:pPr>
              <w:rPr>
                <w:b/>
                <w:lang w:val="en-US"/>
              </w:rPr>
            </w:pPr>
            <w:r w:rsidRPr="00046DA5">
              <w:rPr>
                <w:b/>
                <w:lang w:val="en-US"/>
              </w:rPr>
              <w:t xml:space="preserve">Location weighting </w:t>
            </w:r>
          </w:p>
        </w:tc>
      </w:tr>
      <w:tr w:rsidR="00B83419" w:rsidRPr="00046DA5" w14:paraId="7FB3E325" w14:textId="77777777" w:rsidTr="00B030DB">
        <w:trPr>
          <w:trHeight w:hRule="exact" w:val="593"/>
        </w:trPr>
        <w:tc>
          <w:tcPr>
            <w:tcW w:w="970" w:type="dxa"/>
            <w:vMerge/>
            <w:tcBorders>
              <w:bottom w:val="single" w:sz="4" w:space="0" w:color="auto"/>
            </w:tcBorders>
          </w:tcPr>
          <w:p w14:paraId="74EDF274" w14:textId="77777777" w:rsidR="00B83419" w:rsidRPr="00046DA5" w:rsidRDefault="00B83419" w:rsidP="00B030DB">
            <w:pPr>
              <w:keepNext/>
              <w:tabs>
                <w:tab w:val="left" w:pos="3480"/>
              </w:tabs>
              <w:suppressAutoHyphens/>
              <w:spacing w:before="320"/>
              <w:outlineLvl w:val="1"/>
              <w:rPr>
                <w:rFonts w:cs="Arial"/>
                <w:b/>
                <w:szCs w:val="20"/>
                <w:lang w:val="en-US"/>
              </w:rPr>
            </w:pPr>
          </w:p>
        </w:tc>
        <w:tc>
          <w:tcPr>
            <w:tcW w:w="2956" w:type="dxa"/>
            <w:gridSpan w:val="2"/>
            <w:tcBorders>
              <w:top w:val="nil"/>
              <w:bottom w:val="single" w:sz="4" w:space="0" w:color="auto"/>
              <w:right w:val="nil"/>
            </w:tcBorders>
          </w:tcPr>
          <w:p w14:paraId="677B4932" w14:textId="77777777" w:rsidR="00B83419" w:rsidRPr="00046DA5" w:rsidRDefault="00B83419" w:rsidP="00B030DB">
            <w:pPr>
              <w:rPr>
                <w:b/>
                <w:lang w:val="en-US"/>
              </w:rPr>
            </w:pPr>
            <w:r w:rsidRPr="00046DA5">
              <w:rPr>
                <w:b/>
                <w:lang w:val="en-US"/>
              </w:rPr>
              <w:t>Adjustment factor</w:t>
            </w:r>
          </w:p>
        </w:tc>
      </w:tr>
      <w:tr w:rsidR="00B83419" w:rsidRPr="00046DA5" w14:paraId="1F83BAB2" w14:textId="77777777" w:rsidTr="00B030DB">
        <w:trPr>
          <w:gridAfter w:val="1"/>
          <w:wAfter w:w="131" w:type="dxa"/>
          <w:trHeight w:val="296"/>
        </w:trPr>
        <w:tc>
          <w:tcPr>
            <w:tcW w:w="3795" w:type="dxa"/>
            <w:gridSpan w:val="2"/>
            <w:tcBorders>
              <w:top w:val="single" w:sz="4" w:space="0" w:color="auto"/>
              <w:bottom w:val="double" w:sz="4" w:space="0" w:color="auto"/>
              <w:right w:val="nil"/>
            </w:tcBorders>
            <w:vAlign w:val="center"/>
          </w:tcPr>
          <w:p w14:paraId="331DF66E" w14:textId="75B9182A" w:rsidR="00B83419" w:rsidRPr="00046DA5" w:rsidRDefault="009A5D6B" w:rsidP="00B030DB">
            <w:pPr>
              <w:spacing w:before="120" w:after="120"/>
              <w:rPr>
                <w:b/>
                <w:lang w:val="en-US"/>
              </w:rPr>
            </w:pPr>
            <w:r w:rsidRPr="00046DA5">
              <w:rPr>
                <w:b/>
                <w:lang w:val="en-US"/>
              </w:rPr>
              <w:t xml:space="preserve"> </w:t>
            </w:r>
            <w:r w:rsidR="00C1596B" w:rsidRPr="00046DA5">
              <w:rPr>
                <w:b/>
                <w:lang w:val="en-US"/>
              </w:rPr>
              <w:t xml:space="preserve">               </w:t>
            </w:r>
            <w:r w:rsidR="00D14353" w:rsidRPr="00046DA5">
              <w:rPr>
                <w:b/>
                <w:lang w:val="en-US"/>
              </w:rPr>
              <w:t xml:space="preserve">  </w:t>
            </w:r>
            <w:r w:rsidR="00B83419" w:rsidRPr="00046DA5">
              <w:rPr>
                <w:b/>
                <w:lang w:val="en-US"/>
              </w:rPr>
              <w:t>Annual tax</w:t>
            </w:r>
          </w:p>
        </w:tc>
      </w:tr>
    </w:tbl>
    <w:p w14:paraId="1B9E0540" w14:textId="4A1C1C61" w:rsidR="00B83419" w:rsidRPr="00046DA5" w:rsidRDefault="00B83419" w:rsidP="00B83419">
      <w:pPr>
        <w:spacing w:line="240" w:lineRule="auto"/>
        <w:rPr>
          <w:b/>
        </w:rPr>
      </w:pPr>
    </w:p>
    <w:p w14:paraId="5AF112BC" w14:textId="24A07A9B" w:rsidR="00D23880" w:rsidRPr="00046DA5" w:rsidRDefault="00D23880" w:rsidP="00D23880">
      <w:r w:rsidRPr="00046DA5">
        <w:t>In practice, it is not necessary for licensees to use the tax formula to calculate their annual tax, as the ‘annual licence tax ($ per kHz)’ tables in the divisions display the results of the formula for each licence type at every spectrum/geographic location, and include the normalisation factor. This means that licensees only need to refer to the tables in the applicable division, multiply the relevant figure by the bandwidth of their spectrum access (per kHz) and apply the low-power discount if necessary.</w:t>
      </w:r>
    </w:p>
    <w:p w14:paraId="183C1FC6" w14:textId="05F2B9BC" w:rsidR="00B83419" w:rsidRPr="00046DA5" w:rsidRDefault="00B83419" w:rsidP="00B83419">
      <w:pPr>
        <w:pStyle w:val="Heading2"/>
        <w:rPr>
          <w:rFonts w:ascii="Calibri" w:hAnsi="Calibri"/>
          <w:bCs w:val="0"/>
          <w:color w:val="000000"/>
        </w:rPr>
      </w:pPr>
      <w:bookmarkStart w:id="64" w:name="_Toc33758216"/>
      <w:r w:rsidRPr="00046DA5">
        <w:t>Normalisation factor</w:t>
      </w:r>
      <w:bookmarkEnd w:id="64"/>
      <w:r w:rsidRPr="00046DA5">
        <w:t xml:space="preserve"> </w:t>
      </w:r>
    </w:p>
    <w:p w14:paraId="559BB942" w14:textId="54417508" w:rsidR="00B83419" w:rsidRPr="00046DA5" w:rsidRDefault="00B83419" w:rsidP="00B83419">
      <w:r w:rsidRPr="00046DA5">
        <w:t xml:space="preserve">The constant </w:t>
      </w:r>
      <w:r w:rsidR="002C1C11" w:rsidRPr="00046DA5">
        <w:t xml:space="preserve">0.280735637044364 </w:t>
      </w:r>
      <w:r w:rsidRPr="00046DA5">
        <w:t>converts the relative spectrum values provided by the rest of the formula to an actual dollar figure. It is updated by CPI adjustments every year to keep licence taxes constant in real terms.</w:t>
      </w:r>
    </w:p>
    <w:p w14:paraId="521EFA02" w14:textId="77777777" w:rsidR="00B83419" w:rsidRPr="00046DA5" w:rsidRDefault="00B83419" w:rsidP="00B83419">
      <w:pPr>
        <w:pStyle w:val="Heading2"/>
      </w:pPr>
      <w:bookmarkStart w:id="65" w:name="_Toc33758217"/>
      <w:r w:rsidRPr="00046DA5">
        <w:t>Bandwidth</w:t>
      </w:r>
      <w:bookmarkEnd w:id="65"/>
    </w:p>
    <w:p w14:paraId="096A0130" w14:textId="74ADA5CC" w:rsidR="00B83419" w:rsidRPr="00046DA5" w:rsidRDefault="00B83419" w:rsidP="00B83419">
      <w:r w:rsidRPr="00046DA5">
        <w:t>Taxes also vary depending on the bandwidth within which a service is licensed to operate.</w:t>
      </w:r>
    </w:p>
    <w:p w14:paraId="42BC357A" w14:textId="77777777" w:rsidR="00B83419" w:rsidRPr="00046DA5" w:rsidRDefault="00B83419" w:rsidP="00B83419">
      <w:pPr>
        <w:pStyle w:val="Heading2"/>
      </w:pPr>
      <w:bookmarkStart w:id="66" w:name="_Toc33758218"/>
      <w:r w:rsidRPr="00046DA5">
        <w:t>Power</w:t>
      </w:r>
      <w:bookmarkEnd w:id="66"/>
    </w:p>
    <w:p w14:paraId="495C5526" w14:textId="77777777" w:rsidR="00B83419" w:rsidRPr="00046DA5" w:rsidRDefault="00B83419" w:rsidP="00B83419">
      <w:pPr>
        <w:rPr>
          <w:rFonts w:cs="Arial"/>
        </w:rPr>
      </w:pPr>
      <w:r w:rsidRPr="00046DA5">
        <w:rPr>
          <w:rFonts w:cs="Arial"/>
        </w:rPr>
        <w:t>The power factor allows a reduced tax for low-power spectrum accesses, which deny spectrum to other users over a small area. Spectrum accesses that are not low power have a power factor of one.</w:t>
      </w:r>
    </w:p>
    <w:p w14:paraId="763B65BF" w14:textId="77777777" w:rsidR="00B83419" w:rsidRPr="00046DA5" w:rsidRDefault="00B83419" w:rsidP="00B83419">
      <w:r w:rsidRPr="00046DA5">
        <w:t xml:space="preserve">Low-power spectrum accesses permit the operation of one or more devices, each with a radiated power level of 8.3 watts EIRP or less, and designed for operation within a </w:t>
      </w:r>
      <w:r w:rsidRPr="00046DA5">
        <w:lastRenderedPageBreak/>
        <w:t>radius of two kilometres.</w:t>
      </w:r>
      <w:r w:rsidRPr="00046DA5">
        <w:rPr>
          <w:vertAlign w:val="superscript"/>
        </w:rPr>
        <w:footnoteReference w:id="15"/>
      </w:r>
      <w:r w:rsidRPr="00046DA5">
        <w:t xml:space="preserve"> These types of services pay one-tenth of the annual tax that would otherwise apply (subject to the minimum tax of $41.17).</w:t>
      </w:r>
    </w:p>
    <w:p w14:paraId="5FBB5382" w14:textId="77777777" w:rsidR="00B83419" w:rsidRPr="00046DA5" w:rsidRDefault="00B83419" w:rsidP="00B83419">
      <w:pPr>
        <w:rPr>
          <w:rFonts w:cs="Arial"/>
        </w:rPr>
      </w:pPr>
      <w:r w:rsidRPr="00046DA5">
        <w:rPr>
          <w:rFonts w:cs="Arial"/>
        </w:rPr>
        <w:t>The low-power factor does not apply to point-to-point, point-to-multipoint above 960 MHz, point-to-multipoint system, television outside broadcast, or licences that attract a fixed fee. For these licensing options, there is weak correlation between the power level and the area over which spectrum is denied to other users.</w:t>
      </w:r>
    </w:p>
    <w:p w14:paraId="307F9DA2" w14:textId="77777777" w:rsidR="00B83419" w:rsidRPr="00046DA5" w:rsidRDefault="00B83419" w:rsidP="00B83419">
      <w:pPr>
        <w:pStyle w:val="Heading2"/>
      </w:pPr>
      <w:bookmarkStart w:id="67" w:name="_Toc33758219"/>
      <w:r w:rsidRPr="00046DA5">
        <w:t>Location weighting</w:t>
      </w:r>
      <w:bookmarkEnd w:id="67"/>
    </w:p>
    <w:p w14:paraId="2ACF2FE9" w14:textId="59D62EEE" w:rsidR="00B83419" w:rsidRPr="00046DA5" w:rsidRDefault="00B83419" w:rsidP="00B83419">
      <w:pPr>
        <w:rPr>
          <w:rFonts w:cs="Arial"/>
        </w:rPr>
      </w:pPr>
      <w:r w:rsidRPr="00046DA5">
        <w:rPr>
          <w:rFonts w:cs="Arial"/>
        </w:rPr>
        <w:t xml:space="preserve">There are 65 spectrum and geographic location combinations, </w:t>
      </w:r>
      <w:r w:rsidR="005A5B65" w:rsidRPr="00046DA5">
        <w:rPr>
          <w:rFonts w:cs="Arial"/>
        </w:rPr>
        <w:t xml:space="preserve">each of </w:t>
      </w:r>
      <w:r w:rsidRPr="00046DA5">
        <w:rPr>
          <w:rFonts w:cs="Arial"/>
        </w:rPr>
        <w:t xml:space="preserve">which </w:t>
      </w:r>
      <w:r w:rsidR="005A5B65" w:rsidRPr="00046DA5">
        <w:rPr>
          <w:rFonts w:cs="Arial"/>
        </w:rPr>
        <w:t>has</w:t>
      </w:r>
      <w:r w:rsidRPr="00046DA5">
        <w:rPr>
          <w:rFonts w:cs="Arial"/>
        </w:rPr>
        <w:t xml:space="preserve"> been assigned a location weighting. The location combinations reflect the density of services and demand for spectrum at different frequencies and geographic areas. Higher taxes in locations of higher density and demand encourage efficient spectrum use. See maps in Appendix </w:t>
      </w:r>
      <w:r w:rsidR="00A2711B" w:rsidRPr="00046DA5">
        <w:rPr>
          <w:rFonts w:cs="Arial"/>
        </w:rPr>
        <w:t xml:space="preserve">B </w:t>
      </w:r>
      <w:r w:rsidRPr="00046DA5">
        <w:rPr>
          <w:rFonts w:cs="Arial"/>
        </w:rPr>
        <w:t>for precise area boundaries.</w:t>
      </w:r>
    </w:p>
    <w:p w14:paraId="696DD23D" w14:textId="77777777" w:rsidR="00B83419" w:rsidRPr="00046DA5" w:rsidRDefault="00B83419" w:rsidP="00B83419">
      <w:pPr>
        <w:pStyle w:val="ACMATableHeader"/>
        <w:tabs>
          <w:tab w:val="clear" w:pos="964"/>
          <w:tab w:val="left" w:pos="851"/>
          <w:tab w:val="num" w:pos="1247"/>
        </w:tabs>
        <w:ind w:left="851" w:hanging="851"/>
      </w:pPr>
      <w:r w:rsidRPr="00046DA5">
        <w:t>Location weighting</w:t>
      </w:r>
    </w:p>
    <w:tbl>
      <w:tblPr>
        <w:tblW w:w="7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160"/>
        <w:gridCol w:w="1210"/>
        <w:gridCol w:w="1134"/>
        <w:gridCol w:w="1134"/>
        <w:gridCol w:w="1134"/>
        <w:gridCol w:w="1134"/>
      </w:tblGrid>
      <w:tr w:rsidR="00B83419" w:rsidRPr="00046DA5" w14:paraId="3A0162D4" w14:textId="77777777" w:rsidTr="00203638">
        <w:tc>
          <w:tcPr>
            <w:tcW w:w="2160" w:type="dxa"/>
            <w:shd w:val="clear" w:color="auto" w:fill="404040" w:themeFill="text1" w:themeFillTint="BF"/>
            <w:noWrap/>
            <w:vAlign w:val="center"/>
          </w:tcPr>
          <w:p w14:paraId="35274AC6" w14:textId="77777777" w:rsidR="00B83419" w:rsidRPr="00046DA5" w:rsidRDefault="00B83419" w:rsidP="00B030DB">
            <w:pPr>
              <w:pStyle w:val="TableHeading0"/>
              <w:rPr>
                <w:color w:val="FFFFFF" w:themeColor="background1"/>
              </w:rPr>
            </w:pPr>
          </w:p>
        </w:tc>
        <w:tc>
          <w:tcPr>
            <w:tcW w:w="5746" w:type="dxa"/>
            <w:gridSpan w:val="5"/>
            <w:shd w:val="clear" w:color="auto" w:fill="404040" w:themeFill="text1" w:themeFillTint="BF"/>
            <w:noWrap/>
            <w:vAlign w:val="center"/>
          </w:tcPr>
          <w:p w14:paraId="3F6C54E3" w14:textId="77777777" w:rsidR="00B83419" w:rsidRPr="00046DA5" w:rsidRDefault="00B83419" w:rsidP="00B030DB">
            <w:pPr>
              <w:pStyle w:val="TableHeading0"/>
              <w:jc w:val="center"/>
              <w:rPr>
                <w:color w:val="FFFFFF" w:themeColor="background1"/>
              </w:rPr>
            </w:pPr>
            <w:r w:rsidRPr="00046DA5">
              <w:rPr>
                <w:color w:val="FFFFFF" w:themeColor="background1"/>
              </w:rPr>
              <w:t>Geographic location</w:t>
            </w:r>
          </w:p>
        </w:tc>
      </w:tr>
      <w:tr w:rsidR="00B83419" w:rsidRPr="00046DA5" w14:paraId="3BD3EA23" w14:textId="77777777" w:rsidTr="00203638">
        <w:tc>
          <w:tcPr>
            <w:tcW w:w="2160" w:type="dxa"/>
            <w:shd w:val="clear" w:color="auto" w:fill="404040" w:themeFill="text1" w:themeFillTint="BF"/>
            <w:noWrap/>
            <w:vAlign w:val="center"/>
          </w:tcPr>
          <w:p w14:paraId="62393B1A" w14:textId="77777777" w:rsidR="00B83419" w:rsidRPr="00046DA5" w:rsidRDefault="00B83419" w:rsidP="00B030DB">
            <w:pPr>
              <w:pStyle w:val="TableHeading0"/>
              <w:rPr>
                <w:color w:val="FFFFFF" w:themeColor="background1"/>
              </w:rPr>
            </w:pPr>
            <w:r w:rsidRPr="00046DA5">
              <w:rPr>
                <w:color w:val="FFFFFF" w:themeColor="background1"/>
              </w:rPr>
              <w:t>Spectrum location</w:t>
            </w:r>
          </w:p>
        </w:tc>
        <w:tc>
          <w:tcPr>
            <w:tcW w:w="1210" w:type="dxa"/>
            <w:shd w:val="clear" w:color="auto" w:fill="404040" w:themeFill="text1" w:themeFillTint="BF"/>
            <w:noWrap/>
            <w:vAlign w:val="center"/>
          </w:tcPr>
          <w:p w14:paraId="489D375A" w14:textId="77777777" w:rsidR="00B83419" w:rsidRPr="00046DA5" w:rsidRDefault="00B83419" w:rsidP="00B030DB">
            <w:pPr>
              <w:pStyle w:val="TableHeading0"/>
              <w:rPr>
                <w:color w:val="FFFFFF" w:themeColor="background1"/>
              </w:rPr>
            </w:pPr>
            <w:r w:rsidRPr="00046DA5">
              <w:rPr>
                <w:color w:val="FFFFFF" w:themeColor="background1"/>
              </w:rPr>
              <w:t>Australia-wide</w:t>
            </w:r>
          </w:p>
        </w:tc>
        <w:tc>
          <w:tcPr>
            <w:tcW w:w="1134" w:type="dxa"/>
            <w:shd w:val="clear" w:color="auto" w:fill="404040" w:themeFill="text1" w:themeFillTint="BF"/>
            <w:noWrap/>
            <w:vAlign w:val="center"/>
          </w:tcPr>
          <w:p w14:paraId="5261488B" w14:textId="77777777" w:rsidR="00B83419" w:rsidRPr="00046DA5" w:rsidRDefault="00B83419" w:rsidP="00B030DB">
            <w:pPr>
              <w:pStyle w:val="TableHeading0"/>
              <w:rPr>
                <w:color w:val="FFFFFF" w:themeColor="background1"/>
              </w:rPr>
            </w:pPr>
            <w:r w:rsidRPr="00046DA5">
              <w:rPr>
                <w:color w:val="FFFFFF" w:themeColor="background1"/>
              </w:rPr>
              <w:t>High density</w:t>
            </w:r>
          </w:p>
        </w:tc>
        <w:tc>
          <w:tcPr>
            <w:tcW w:w="1134" w:type="dxa"/>
            <w:shd w:val="clear" w:color="auto" w:fill="404040" w:themeFill="text1" w:themeFillTint="BF"/>
            <w:noWrap/>
            <w:vAlign w:val="center"/>
          </w:tcPr>
          <w:p w14:paraId="7928D5F5" w14:textId="77777777" w:rsidR="00B83419" w:rsidRPr="00046DA5" w:rsidRDefault="00B83419" w:rsidP="00B030DB">
            <w:pPr>
              <w:pStyle w:val="TableHeading0"/>
              <w:rPr>
                <w:color w:val="FFFFFF" w:themeColor="background1"/>
              </w:rPr>
            </w:pPr>
            <w:r w:rsidRPr="00046DA5">
              <w:rPr>
                <w:color w:val="FFFFFF" w:themeColor="background1"/>
              </w:rPr>
              <w:t xml:space="preserve">Medium density </w:t>
            </w:r>
          </w:p>
        </w:tc>
        <w:tc>
          <w:tcPr>
            <w:tcW w:w="1134" w:type="dxa"/>
            <w:shd w:val="clear" w:color="auto" w:fill="404040" w:themeFill="text1" w:themeFillTint="BF"/>
            <w:noWrap/>
            <w:vAlign w:val="center"/>
          </w:tcPr>
          <w:p w14:paraId="2EA51390" w14:textId="77777777" w:rsidR="00B83419" w:rsidRPr="00046DA5" w:rsidRDefault="00B83419" w:rsidP="00B030DB">
            <w:pPr>
              <w:pStyle w:val="TableHeading0"/>
              <w:rPr>
                <w:color w:val="FFFFFF" w:themeColor="background1"/>
              </w:rPr>
            </w:pPr>
            <w:r w:rsidRPr="00046DA5">
              <w:rPr>
                <w:color w:val="FFFFFF" w:themeColor="background1"/>
              </w:rPr>
              <w:t>Low density</w:t>
            </w:r>
          </w:p>
        </w:tc>
        <w:tc>
          <w:tcPr>
            <w:tcW w:w="1134" w:type="dxa"/>
            <w:shd w:val="clear" w:color="auto" w:fill="404040" w:themeFill="text1" w:themeFillTint="BF"/>
            <w:noWrap/>
            <w:vAlign w:val="center"/>
          </w:tcPr>
          <w:p w14:paraId="0DEC4306" w14:textId="77777777" w:rsidR="00B83419" w:rsidRPr="00046DA5" w:rsidRDefault="00B83419" w:rsidP="00B030DB">
            <w:pPr>
              <w:pStyle w:val="TableHeading0"/>
              <w:rPr>
                <w:color w:val="FFFFFF" w:themeColor="background1"/>
              </w:rPr>
            </w:pPr>
            <w:r w:rsidRPr="00046DA5">
              <w:rPr>
                <w:color w:val="FFFFFF" w:themeColor="background1"/>
              </w:rPr>
              <w:t>Remote density</w:t>
            </w:r>
          </w:p>
        </w:tc>
      </w:tr>
      <w:tr w:rsidR="00B83419" w:rsidRPr="00046DA5" w14:paraId="6342FEE0" w14:textId="77777777" w:rsidTr="00203638">
        <w:tc>
          <w:tcPr>
            <w:tcW w:w="2160" w:type="dxa"/>
            <w:shd w:val="clear" w:color="auto" w:fill="auto"/>
            <w:noWrap/>
            <w:vAlign w:val="center"/>
          </w:tcPr>
          <w:p w14:paraId="4BCA19F4" w14:textId="77777777" w:rsidR="00B83419" w:rsidRPr="00046DA5" w:rsidRDefault="00B83419" w:rsidP="00B030DB">
            <w:pPr>
              <w:pStyle w:val="TableBody"/>
              <w:rPr>
                <w:rFonts w:cs="Arial"/>
                <w:szCs w:val="20"/>
              </w:rPr>
            </w:pPr>
            <w:r w:rsidRPr="00046DA5">
              <w:rPr>
                <w:rFonts w:cs="Arial"/>
                <w:szCs w:val="20"/>
              </w:rPr>
              <w:t>30 MHz and below</w:t>
            </w:r>
          </w:p>
        </w:tc>
        <w:tc>
          <w:tcPr>
            <w:tcW w:w="1210" w:type="dxa"/>
            <w:tcBorders>
              <w:top w:val="single" w:sz="4" w:space="0" w:color="auto"/>
              <w:left w:val="single" w:sz="4" w:space="0" w:color="auto"/>
              <w:bottom w:val="single" w:sz="4" w:space="0" w:color="auto"/>
              <w:right w:val="single" w:sz="4" w:space="0" w:color="auto"/>
            </w:tcBorders>
            <w:shd w:val="clear" w:color="auto" w:fill="auto"/>
            <w:noWrap/>
          </w:tcPr>
          <w:p w14:paraId="23528C4B" w14:textId="77777777" w:rsidR="00B83419" w:rsidRPr="00046DA5" w:rsidRDefault="00B83419" w:rsidP="00B030DB">
            <w:pPr>
              <w:pStyle w:val="TableBody"/>
              <w:rPr>
                <w:rFonts w:cs="Arial"/>
                <w:szCs w:val="20"/>
              </w:rPr>
            </w:pPr>
            <w:r w:rsidRPr="00046DA5">
              <w:rPr>
                <w:rFonts w:cs="Arial"/>
                <w:color w:val="000000"/>
                <w:szCs w:val="20"/>
              </w:rPr>
              <w:t xml:space="preserve">4.3150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DCED3E" w14:textId="77777777" w:rsidR="00B83419" w:rsidRPr="00046DA5" w:rsidRDefault="00B83419" w:rsidP="00B030DB">
            <w:pPr>
              <w:pStyle w:val="TableBody"/>
              <w:rPr>
                <w:rFonts w:cs="Arial"/>
                <w:color w:val="000000"/>
                <w:szCs w:val="20"/>
              </w:rPr>
            </w:pPr>
            <w:r w:rsidRPr="00046DA5">
              <w:rPr>
                <w:rFonts w:cs="Arial"/>
                <w:color w:val="000000"/>
                <w:szCs w:val="20"/>
              </w:rPr>
              <w:t xml:space="preserve">4.3150 </w:t>
            </w:r>
          </w:p>
        </w:tc>
        <w:tc>
          <w:tcPr>
            <w:tcW w:w="1134" w:type="dxa"/>
            <w:tcBorders>
              <w:top w:val="single" w:sz="4" w:space="0" w:color="auto"/>
              <w:left w:val="nil"/>
              <w:bottom w:val="single" w:sz="4" w:space="0" w:color="auto"/>
              <w:right w:val="single" w:sz="4" w:space="0" w:color="auto"/>
            </w:tcBorders>
            <w:shd w:val="clear" w:color="auto" w:fill="auto"/>
            <w:noWrap/>
          </w:tcPr>
          <w:p w14:paraId="26862EC1" w14:textId="77777777" w:rsidR="00B83419" w:rsidRPr="00046DA5" w:rsidRDefault="00B83419" w:rsidP="00B030DB">
            <w:pPr>
              <w:pStyle w:val="TableBody"/>
              <w:rPr>
                <w:rFonts w:cs="Arial"/>
                <w:szCs w:val="20"/>
              </w:rPr>
            </w:pPr>
            <w:r w:rsidRPr="00046DA5">
              <w:rPr>
                <w:rFonts w:cs="Arial"/>
                <w:color w:val="000000"/>
                <w:szCs w:val="20"/>
              </w:rPr>
              <w:t xml:space="preserve">4.3150 </w:t>
            </w:r>
          </w:p>
        </w:tc>
        <w:tc>
          <w:tcPr>
            <w:tcW w:w="1134" w:type="dxa"/>
            <w:tcBorders>
              <w:top w:val="single" w:sz="4" w:space="0" w:color="auto"/>
              <w:left w:val="nil"/>
              <w:bottom w:val="single" w:sz="4" w:space="0" w:color="auto"/>
              <w:right w:val="single" w:sz="4" w:space="0" w:color="auto"/>
            </w:tcBorders>
            <w:shd w:val="clear" w:color="auto" w:fill="auto"/>
            <w:noWrap/>
          </w:tcPr>
          <w:p w14:paraId="04BC63AE" w14:textId="77777777" w:rsidR="00B83419" w:rsidRPr="00046DA5" w:rsidRDefault="00B83419" w:rsidP="00B030DB">
            <w:pPr>
              <w:pStyle w:val="TableBody"/>
              <w:rPr>
                <w:rFonts w:cs="Arial"/>
                <w:szCs w:val="20"/>
              </w:rPr>
            </w:pPr>
            <w:r w:rsidRPr="00046DA5">
              <w:rPr>
                <w:rFonts w:cs="Arial"/>
                <w:color w:val="000000"/>
                <w:szCs w:val="20"/>
              </w:rPr>
              <w:t xml:space="preserve">4.3150 </w:t>
            </w:r>
          </w:p>
        </w:tc>
        <w:tc>
          <w:tcPr>
            <w:tcW w:w="1134" w:type="dxa"/>
            <w:tcBorders>
              <w:top w:val="single" w:sz="4" w:space="0" w:color="auto"/>
              <w:left w:val="nil"/>
              <w:bottom w:val="single" w:sz="4" w:space="0" w:color="auto"/>
              <w:right w:val="single" w:sz="4" w:space="0" w:color="auto"/>
            </w:tcBorders>
            <w:shd w:val="clear" w:color="auto" w:fill="auto"/>
            <w:noWrap/>
          </w:tcPr>
          <w:p w14:paraId="4A48BB37" w14:textId="77777777" w:rsidR="00B83419" w:rsidRPr="00046DA5" w:rsidRDefault="00B83419" w:rsidP="00B030DB">
            <w:pPr>
              <w:pStyle w:val="TableBody"/>
              <w:rPr>
                <w:rFonts w:cs="Arial"/>
                <w:szCs w:val="20"/>
              </w:rPr>
            </w:pPr>
            <w:r w:rsidRPr="00046DA5">
              <w:rPr>
                <w:rFonts w:cs="Arial"/>
                <w:color w:val="000000"/>
                <w:szCs w:val="20"/>
              </w:rPr>
              <w:t xml:space="preserve">4.3150 </w:t>
            </w:r>
          </w:p>
        </w:tc>
      </w:tr>
      <w:tr w:rsidR="00B83419" w:rsidRPr="00046DA5" w14:paraId="240CF0DC" w14:textId="77777777" w:rsidTr="00203638">
        <w:tc>
          <w:tcPr>
            <w:tcW w:w="2160" w:type="dxa"/>
            <w:shd w:val="clear" w:color="auto" w:fill="auto"/>
            <w:noWrap/>
            <w:vAlign w:val="center"/>
          </w:tcPr>
          <w:p w14:paraId="1C38C5AC" w14:textId="77777777" w:rsidR="00B83419" w:rsidRPr="00046DA5" w:rsidRDefault="00B83419" w:rsidP="00B030DB">
            <w:pPr>
              <w:pStyle w:val="TableBody"/>
              <w:rPr>
                <w:rFonts w:cs="Arial"/>
                <w:szCs w:val="20"/>
              </w:rPr>
            </w:pPr>
            <w:r w:rsidRPr="00046DA5">
              <w:rPr>
                <w:rFonts w:cs="Arial"/>
                <w:szCs w:val="20"/>
              </w:rPr>
              <w:t>&gt;30 to 70 MHz</w:t>
            </w:r>
          </w:p>
        </w:tc>
        <w:tc>
          <w:tcPr>
            <w:tcW w:w="1210" w:type="dxa"/>
            <w:tcBorders>
              <w:top w:val="nil"/>
              <w:left w:val="single" w:sz="4" w:space="0" w:color="auto"/>
              <w:bottom w:val="single" w:sz="4" w:space="0" w:color="auto"/>
              <w:right w:val="single" w:sz="4" w:space="0" w:color="auto"/>
            </w:tcBorders>
            <w:shd w:val="clear" w:color="auto" w:fill="auto"/>
            <w:noWrap/>
          </w:tcPr>
          <w:p w14:paraId="49041959" w14:textId="77777777" w:rsidR="00B83419" w:rsidRPr="00046DA5" w:rsidRDefault="00B83419" w:rsidP="00B030DB">
            <w:pPr>
              <w:pStyle w:val="TableBody"/>
              <w:rPr>
                <w:rFonts w:cs="Arial"/>
                <w:szCs w:val="20"/>
              </w:rPr>
            </w:pPr>
            <w:r w:rsidRPr="00046DA5">
              <w:rPr>
                <w:rFonts w:cs="Arial"/>
                <w:color w:val="000000"/>
                <w:szCs w:val="20"/>
              </w:rPr>
              <w:t xml:space="preserve">9.7470 </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3D4D3835" w14:textId="77777777" w:rsidR="00B83419" w:rsidRPr="00046DA5" w:rsidRDefault="00B83419" w:rsidP="00B030DB">
            <w:pPr>
              <w:pStyle w:val="TableBody"/>
              <w:rPr>
                <w:rFonts w:cs="Arial"/>
                <w:color w:val="000000"/>
                <w:szCs w:val="20"/>
              </w:rPr>
            </w:pPr>
            <w:r w:rsidRPr="00046DA5">
              <w:rPr>
                <w:rFonts w:cs="Arial"/>
                <w:color w:val="000000"/>
                <w:szCs w:val="20"/>
              </w:rPr>
              <w:t xml:space="preserve">3.8070 </w:t>
            </w:r>
          </w:p>
        </w:tc>
        <w:tc>
          <w:tcPr>
            <w:tcW w:w="1134" w:type="dxa"/>
            <w:tcBorders>
              <w:top w:val="nil"/>
              <w:left w:val="nil"/>
              <w:bottom w:val="single" w:sz="4" w:space="0" w:color="auto"/>
              <w:right w:val="single" w:sz="4" w:space="0" w:color="auto"/>
            </w:tcBorders>
            <w:shd w:val="clear" w:color="auto" w:fill="auto"/>
            <w:noWrap/>
          </w:tcPr>
          <w:p w14:paraId="56723107" w14:textId="77777777" w:rsidR="00B83419" w:rsidRPr="00046DA5" w:rsidRDefault="00B83419" w:rsidP="00B030DB">
            <w:pPr>
              <w:pStyle w:val="TableBody"/>
              <w:rPr>
                <w:rFonts w:cs="Arial"/>
                <w:szCs w:val="20"/>
              </w:rPr>
            </w:pPr>
            <w:r w:rsidRPr="00046DA5">
              <w:rPr>
                <w:rFonts w:cs="Arial"/>
                <w:color w:val="000000"/>
                <w:szCs w:val="20"/>
              </w:rPr>
              <w:t xml:space="preserve">2.0250 </w:t>
            </w:r>
          </w:p>
        </w:tc>
        <w:tc>
          <w:tcPr>
            <w:tcW w:w="1134" w:type="dxa"/>
            <w:tcBorders>
              <w:top w:val="nil"/>
              <w:left w:val="nil"/>
              <w:bottom w:val="single" w:sz="4" w:space="0" w:color="auto"/>
              <w:right w:val="single" w:sz="4" w:space="0" w:color="auto"/>
            </w:tcBorders>
            <w:shd w:val="clear" w:color="auto" w:fill="auto"/>
            <w:noWrap/>
          </w:tcPr>
          <w:p w14:paraId="75CFC955" w14:textId="77777777" w:rsidR="00B83419" w:rsidRPr="00046DA5" w:rsidRDefault="00B83419" w:rsidP="00B030DB">
            <w:pPr>
              <w:pStyle w:val="TableBody"/>
              <w:rPr>
                <w:rFonts w:cs="Arial"/>
                <w:szCs w:val="20"/>
              </w:rPr>
            </w:pPr>
            <w:r w:rsidRPr="00046DA5">
              <w:rPr>
                <w:rFonts w:cs="Arial"/>
                <w:color w:val="000000"/>
                <w:szCs w:val="20"/>
              </w:rPr>
              <w:t xml:space="preserve">0.4370 </w:t>
            </w:r>
          </w:p>
        </w:tc>
        <w:tc>
          <w:tcPr>
            <w:tcW w:w="1134" w:type="dxa"/>
            <w:tcBorders>
              <w:top w:val="nil"/>
              <w:left w:val="nil"/>
              <w:bottom w:val="single" w:sz="4" w:space="0" w:color="auto"/>
              <w:right w:val="single" w:sz="4" w:space="0" w:color="auto"/>
            </w:tcBorders>
            <w:shd w:val="clear" w:color="auto" w:fill="auto"/>
            <w:noWrap/>
          </w:tcPr>
          <w:p w14:paraId="3F6BC262" w14:textId="77777777" w:rsidR="00B83419" w:rsidRPr="00046DA5" w:rsidRDefault="00B83419" w:rsidP="00B030DB">
            <w:pPr>
              <w:pStyle w:val="TableBody"/>
              <w:rPr>
                <w:rFonts w:cs="Arial"/>
                <w:szCs w:val="20"/>
              </w:rPr>
            </w:pPr>
            <w:r w:rsidRPr="00046DA5">
              <w:rPr>
                <w:rFonts w:cs="Arial"/>
                <w:color w:val="000000"/>
                <w:szCs w:val="20"/>
              </w:rPr>
              <w:t xml:space="preserve">0.2180 </w:t>
            </w:r>
          </w:p>
        </w:tc>
      </w:tr>
      <w:tr w:rsidR="00B83419" w:rsidRPr="00046DA5" w14:paraId="6D61CFBE" w14:textId="77777777" w:rsidTr="00203638">
        <w:tc>
          <w:tcPr>
            <w:tcW w:w="2160" w:type="dxa"/>
            <w:shd w:val="clear" w:color="auto" w:fill="auto"/>
            <w:noWrap/>
            <w:vAlign w:val="center"/>
          </w:tcPr>
          <w:p w14:paraId="1F80F7CC" w14:textId="77777777" w:rsidR="00B83419" w:rsidRPr="00046DA5" w:rsidRDefault="00B83419" w:rsidP="00B030DB">
            <w:pPr>
              <w:pStyle w:val="TableBody"/>
              <w:rPr>
                <w:rFonts w:cs="Arial"/>
                <w:szCs w:val="20"/>
              </w:rPr>
            </w:pPr>
            <w:r w:rsidRPr="00046DA5">
              <w:rPr>
                <w:rFonts w:cs="Arial"/>
                <w:szCs w:val="20"/>
              </w:rPr>
              <w:t>&gt;70 to 399.9 MHz</w:t>
            </w:r>
          </w:p>
        </w:tc>
        <w:tc>
          <w:tcPr>
            <w:tcW w:w="1210" w:type="dxa"/>
            <w:tcBorders>
              <w:top w:val="nil"/>
              <w:left w:val="single" w:sz="4" w:space="0" w:color="auto"/>
              <w:bottom w:val="single" w:sz="4" w:space="0" w:color="auto"/>
              <w:right w:val="single" w:sz="4" w:space="0" w:color="auto"/>
            </w:tcBorders>
            <w:shd w:val="clear" w:color="auto" w:fill="auto"/>
            <w:noWrap/>
          </w:tcPr>
          <w:p w14:paraId="31AF18B7" w14:textId="77777777" w:rsidR="00B83419" w:rsidRPr="00046DA5" w:rsidRDefault="00B83419" w:rsidP="00B030DB">
            <w:pPr>
              <w:pStyle w:val="TableBody"/>
              <w:rPr>
                <w:rFonts w:cs="Arial"/>
                <w:szCs w:val="20"/>
              </w:rPr>
            </w:pPr>
            <w:r w:rsidRPr="00046DA5">
              <w:rPr>
                <w:rFonts w:cs="Arial"/>
                <w:color w:val="000000"/>
                <w:szCs w:val="20"/>
              </w:rPr>
              <w:t xml:space="preserve">10.0000 </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2553E286" w14:textId="77777777" w:rsidR="00B83419" w:rsidRPr="00046DA5" w:rsidRDefault="00B83419" w:rsidP="00B030DB">
            <w:pPr>
              <w:pStyle w:val="TableBody"/>
              <w:rPr>
                <w:rFonts w:cs="Arial"/>
                <w:color w:val="000000"/>
                <w:szCs w:val="20"/>
              </w:rPr>
            </w:pPr>
            <w:r w:rsidRPr="00046DA5">
              <w:rPr>
                <w:rFonts w:cs="Arial"/>
                <w:color w:val="000000"/>
                <w:szCs w:val="20"/>
              </w:rPr>
              <w:t xml:space="preserve">4.1040 </w:t>
            </w:r>
          </w:p>
        </w:tc>
        <w:tc>
          <w:tcPr>
            <w:tcW w:w="1134" w:type="dxa"/>
            <w:tcBorders>
              <w:top w:val="nil"/>
              <w:left w:val="nil"/>
              <w:bottom w:val="single" w:sz="4" w:space="0" w:color="auto"/>
              <w:right w:val="single" w:sz="4" w:space="0" w:color="auto"/>
            </w:tcBorders>
            <w:shd w:val="clear" w:color="auto" w:fill="auto"/>
            <w:noWrap/>
          </w:tcPr>
          <w:p w14:paraId="1E25F171" w14:textId="77777777" w:rsidR="00B83419" w:rsidRPr="00046DA5" w:rsidRDefault="00B83419" w:rsidP="00B030DB">
            <w:pPr>
              <w:pStyle w:val="TableBody"/>
              <w:rPr>
                <w:rFonts w:cs="Arial"/>
                <w:szCs w:val="20"/>
              </w:rPr>
            </w:pPr>
            <w:r w:rsidRPr="00046DA5">
              <w:rPr>
                <w:rFonts w:cs="Arial"/>
                <w:color w:val="000000"/>
                <w:szCs w:val="20"/>
              </w:rPr>
              <w:t xml:space="preserve">1.8780 </w:t>
            </w:r>
          </w:p>
        </w:tc>
        <w:tc>
          <w:tcPr>
            <w:tcW w:w="1134" w:type="dxa"/>
            <w:tcBorders>
              <w:top w:val="nil"/>
              <w:left w:val="nil"/>
              <w:bottom w:val="single" w:sz="4" w:space="0" w:color="auto"/>
              <w:right w:val="single" w:sz="4" w:space="0" w:color="auto"/>
            </w:tcBorders>
            <w:shd w:val="clear" w:color="auto" w:fill="auto"/>
            <w:noWrap/>
          </w:tcPr>
          <w:p w14:paraId="30AC4FD2" w14:textId="77777777" w:rsidR="00B83419" w:rsidRPr="00046DA5" w:rsidRDefault="00B83419" w:rsidP="00B030DB">
            <w:pPr>
              <w:pStyle w:val="TableBody"/>
              <w:rPr>
                <w:rFonts w:cs="Arial"/>
                <w:szCs w:val="20"/>
              </w:rPr>
            </w:pPr>
            <w:r w:rsidRPr="00046DA5">
              <w:rPr>
                <w:rFonts w:cs="Arial"/>
                <w:color w:val="000000"/>
                <w:szCs w:val="20"/>
              </w:rPr>
              <w:t xml:space="preserve">0.4210 </w:t>
            </w:r>
          </w:p>
        </w:tc>
        <w:tc>
          <w:tcPr>
            <w:tcW w:w="1134" w:type="dxa"/>
            <w:tcBorders>
              <w:top w:val="nil"/>
              <w:left w:val="nil"/>
              <w:bottom w:val="single" w:sz="4" w:space="0" w:color="auto"/>
              <w:right w:val="single" w:sz="4" w:space="0" w:color="auto"/>
            </w:tcBorders>
            <w:shd w:val="clear" w:color="auto" w:fill="auto"/>
            <w:noWrap/>
          </w:tcPr>
          <w:p w14:paraId="5D7F07F9" w14:textId="77777777" w:rsidR="00B83419" w:rsidRPr="00046DA5" w:rsidRDefault="00B83419" w:rsidP="00B030DB">
            <w:pPr>
              <w:pStyle w:val="TableBody"/>
              <w:rPr>
                <w:rFonts w:cs="Arial"/>
                <w:szCs w:val="20"/>
              </w:rPr>
            </w:pPr>
            <w:r w:rsidRPr="00046DA5">
              <w:rPr>
                <w:rFonts w:cs="Arial"/>
                <w:color w:val="000000"/>
                <w:szCs w:val="20"/>
              </w:rPr>
              <w:t xml:space="preserve">0.2100 </w:t>
            </w:r>
          </w:p>
        </w:tc>
      </w:tr>
      <w:tr w:rsidR="00B83419" w:rsidRPr="00046DA5" w14:paraId="14EA3568" w14:textId="77777777" w:rsidTr="00203638">
        <w:tc>
          <w:tcPr>
            <w:tcW w:w="2160" w:type="dxa"/>
            <w:shd w:val="clear" w:color="auto" w:fill="auto"/>
            <w:noWrap/>
            <w:vAlign w:val="center"/>
          </w:tcPr>
          <w:p w14:paraId="5C6BA8A1" w14:textId="77777777" w:rsidR="00B83419" w:rsidRPr="00046DA5" w:rsidRDefault="00B83419" w:rsidP="00B030DB">
            <w:pPr>
              <w:pStyle w:val="TableBody"/>
              <w:rPr>
                <w:rFonts w:cs="Arial"/>
                <w:szCs w:val="20"/>
              </w:rPr>
            </w:pPr>
            <w:r w:rsidRPr="00046DA5">
              <w:rPr>
                <w:rFonts w:cs="Arial"/>
                <w:szCs w:val="20"/>
              </w:rPr>
              <w:t>&gt;399.9 to 403 MHz</w:t>
            </w:r>
          </w:p>
        </w:tc>
        <w:tc>
          <w:tcPr>
            <w:tcW w:w="1210" w:type="dxa"/>
            <w:tcBorders>
              <w:top w:val="nil"/>
              <w:left w:val="single" w:sz="4" w:space="0" w:color="auto"/>
              <w:bottom w:val="single" w:sz="4" w:space="0" w:color="auto"/>
              <w:right w:val="single" w:sz="4" w:space="0" w:color="auto"/>
            </w:tcBorders>
            <w:shd w:val="clear" w:color="auto" w:fill="auto"/>
            <w:noWrap/>
          </w:tcPr>
          <w:p w14:paraId="29310507" w14:textId="77777777" w:rsidR="00B83419" w:rsidRPr="00046DA5" w:rsidRDefault="00B83419" w:rsidP="00B030DB">
            <w:pPr>
              <w:pStyle w:val="TableBody"/>
              <w:rPr>
                <w:rFonts w:cs="Arial"/>
                <w:szCs w:val="20"/>
              </w:rPr>
            </w:pPr>
            <w:r w:rsidRPr="00046DA5">
              <w:rPr>
                <w:rFonts w:cs="Arial"/>
                <w:color w:val="000000"/>
                <w:szCs w:val="20"/>
              </w:rPr>
              <w:t xml:space="preserve">10.0000 </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589A9D88" w14:textId="77777777" w:rsidR="00B83419" w:rsidRPr="00046DA5" w:rsidRDefault="00B83419" w:rsidP="00B030DB">
            <w:pPr>
              <w:pStyle w:val="TableBody"/>
              <w:rPr>
                <w:rFonts w:cs="Arial"/>
                <w:color w:val="000000"/>
                <w:szCs w:val="20"/>
              </w:rPr>
            </w:pPr>
            <w:r w:rsidRPr="00046DA5">
              <w:rPr>
                <w:rFonts w:cs="Arial"/>
                <w:color w:val="000000"/>
                <w:szCs w:val="20"/>
              </w:rPr>
              <w:t xml:space="preserve">5.6000 </w:t>
            </w:r>
          </w:p>
        </w:tc>
        <w:tc>
          <w:tcPr>
            <w:tcW w:w="1134" w:type="dxa"/>
            <w:tcBorders>
              <w:top w:val="nil"/>
              <w:left w:val="nil"/>
              <w:bottom w:val="single" w:sz="4" w:space="0" w:color="auto"/>
              <w:right w:val="single" w:sz="4" w:space="0" w:color="auto"/>
            </w:tcBorders>
            <w:shd w:val="clear" w:color="auto" w:fill="auto"/>
            <w:noWrap/>
          </w:tcPr>
          <w:p w14:paraId="3E9A48E4" w14:textId="77777777" w:rsidR="00B83419" w:rsidRPr="00046DA5" w:rsidRDefault="00B83419" w:rsidP="00B030DB">
            <w:pPr>
              <w:pStyle w:val="TableBody"/>
              <w:rPr>
                <w:rFonts w:cs="Arial"/>
                <w:szCs w:val="20"/>
              </w:rPr>
            </w:pPr>
            <w:r w:rsidRPr="00046DA5">
              <w:rPr>
                <w:rFonts w:cs="Arial"/>
                <w:color w:val="000000"/>
                <w:szCs w:val="20"/>
              </w:rPr>
              <w:t xml:space="preserve">2.5620 </w:t>
            </w:r>
          </w:p>
        </w:tc>
        <w:tc>
          <w:tcPr>
            <w:tcW w:w="1134" w:type="dxa"/>
            <w:tcBorders>
              <w:top w:val="nil"/>
              <w:left w:val="nil"/>
              <w:bottom w:val="single" w:sz="4" w:space="0" w:color="auto"/>
              <w:right w:val="single" w:sz="4" w:space="0" w:color="auto"/>
            </w:tcBorders>
            <w:shd w:val="clear" w:color="auto" w:fill="auto"/>
            <w:noWrap/>
          </w:tcPr>
          <w:p w14:paraId="3FEB2E8A" w14:textId="77777777" w:rsidR="00B83419" w:rsidRPr="00046DA5" w:rsidRDefault="00B83419" w:rsidP="00B030DB">
            <w:pPr>
              <w:pStyle w:val="TableBody"/>
              <w:rPr>
                <w:rFonts w:cs="Arial"/>
                <w:szCs w:val="20"/>
              </w:rPr>
            </w:pPr>
            <w:r w:rsidRPr="00046DA5">
              <w:rPr>
                <w:rFonts w:cs="Arial"/>
                <w:color w:val="000000"/>
                <w:szCs w:val="20"/>
              </w:rPr>
              <w:t xml:space="preserve">0.4370 </w:t>
            </w:r>
          </w:p>
        </w:tc>
        <w:tc>
          <w:tcPr>
            <w:tcW w:w="1134" w:type="dxa"/>
            <w:tcBorders>
              <w:top w:val="nil"/>
              <w:left w:val="nil"/>
              <w:bottom w:val="single" w:sz="4" w:space="0" w:color="auto"/>
              <w:right w:val="single" w:sz="4" w:space="0" w:color="auto"/>
            </w:tcBorders>
            <w:shd w:val="clear" w:color="auto" w:fill="auto"/>
            <w:noWrap/>
          </w:tcPr>
          <w:p w14:paraId="3C654A8F" w14:textId="77777777" w:rsidR="00B83419" w:rsidRPr="00046DA5" w:rsidRDefault="00B83419" w:rsidP="00B030DB">
            <w:pPr>
              <w:pStyle w:val="TableBody"/>
              <w:rPr>
                <w:rFonts w:cs="Arial"/>
                <w:szCs w:val="20"/>
              </w:rPr>
            </w:pPr>
            <w:r w:rsidRPr="00046DA5">
              <w:rPr>
                <w:rFonts w:cs="Arial"/>
                <w:color w:val="000000"/>
                <w:szCs w:val="20"/>
              </w:rPr>
              <w:t xml:space="preserve">0.2180 </w:t>
            </w:r>
          </w:p>
        </w:tc>
      </w:tr>
      <w:tr w:rsidR="00B83419" w:rsidRPr="00046DA5" w14:paraId="058B83EF" w14:textId="77777777" w:rsidTr="00203638">
        <w:tc>
          <w:tcPr>
            <w:tcW w:w="2160" w:type="dxa"/>
            <w:shd w:val="clear" w:color="auto" w:fill="auto"/>
            <w:noWrap/>
            <w:vAlign w:val="center"/>
          </w:tcPr>
          <w:p w14:paraId="780F8802" w14:textId="77777777" w:rsidR="00B83419" w:rsidRPr="00046DA5" w:rsidRDefault="00B83419" w:rsidP="00B030DB">
            <w:pPr>
              <w:pStyle w:val="TableBody"/>
              <w:rPr>
                <w:rFonts w:cs="Arial"/>
                <w:szCs w:val="20"/>
              </w:rPr>
            </w:pPr>
            <w:r w:rsidRPr="00046DA5">
              <w:rPr>
                <w:rFonts w:cs="Arial"/>
                <w:szCs w:val="20"/>
              </w:rPr>
              <w:t>&gt;403 to 520 MHz</w:t>
            </w:r>
          </w:p>
        </w:tc>
        <w:tc>
          <w:tcPr>
            <w:tcW w:w="1210" w:type="dxa"/>
            <w:tcBorders>
              <w:top w:val="nil"/>
              <w:left w:val="single" w:sz="4" w:space="0" w:color="auto"/>
              <w:bottom w:val="single" w:sz="4" w:space="0" w:color="auto"/>
              <w:right w:val="single" w:sz="4" w:space="0" w:color="auto"/>
            </w:tcBorders>
            <w:shd w:val="clear" w:color="auto" w:fill="auto"/>
            <w:noWrap/>
          </w:tcPr>
          <w:p w14:paraId="06E19B88" w14:textId="77777777" w:rsidR="00B83419" w:rsidRPr="00046DA5" w:rsidRDefault="00B83419" w:rsidP="00B030DB">
            <w:pPr>
              <w:pStyle w:val="TableBody"/>
              <w:rPr>
                <w:rFonts w:cs="Arial"/>
                <w:color w:val="000000"/>
                <w:szCs w:val="20"/>
              </w:rPr>
            </w:pPr>
            <w:r w:rsidRPr="00046DA5">
              <w:rPr>
                <w:rFonts w:cs="Arial"/>
                <w:color w:val="000000"/>
                <w:szCs w:val="20"/>
              </w:rPr>
              <w:t>10.0000</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18186BFA" w14:textId="77777777" w:rsidR="00B83419" w:rsidRPr="00046DA5" w:rsidRDefault="00B83419" w:rsidP="00B030DB">
            <w:pPr>
              <w:pStyle w:val="TableBody"/>
              <w:rPr>
                <w:rFonts w:cs="Arial"/>
                <w:color w:val="000000"/>
                <w:szCs w:val="20"/>
              </w:rPr>
            </w:pPr>
            <w:r w:rsidRPr="00046DA5">
              <w:rPr>
                <w:rFonts w:cs="Arial"/>
                <w:color w:val="000000"/>
                <w:szCs w:val="20"/>
              </w:rPr>
              <w:t>7.4114</w:t>
            </w:r>
          </w:p>
        </w:tc>
        <w:tc>
          <w:tcPr>
            <w:tcW w:w="1134" w:type="dxa"/>
            <w:tcBorders>
              <w:top w:val="nil"/>
              <w:left w:val="nil"/>
              <w:bottom w:val="single" w:sz="4" w:space="0" w:color="auto"/>
              <w:right w:val="single" w:sz="4" w:space="0" w:color="auto"/>
            </w:tcBorders>
            <w:shd w:val="clear" w:color="auto" w:fill="auto"/>
            <w:noWrap/>
          </w:tcPr>
          <w:p w14:paraId="7BF318CE" w14:textId="77777777" w:rsidR="00B83419" w:rsidRPr="00046DA5" w:rsidRDefault="00B83419" w:rsidP="00B030DB">
            <w:pPr>
              <w:pStyle w:val="TableBody"/>
              <w:rPr>
                <w:rFonts w:cs="Arial"/>
                <w:color w:val="000000"/>
                <w:szCs w:val="20"/>
              </w:rPr>
            </w:pPr>
            <w:r w:rsidRPr="00046DA5">
              <w:rPr>
                <w:rFonts w:cs="Arial"/>
                <w:color w:val="000000"/>
                <w:szCs w:val="20"/>
              </w:rPr>
              <w:t>2.5620</w:t>
            </w:r>
          </w:p>
        </w:tc>
        <w:tc>
          <w:tcPr>
            <w:tcW w:w="1134" w:type="dxa"/>
            <w:tcBorders>
              <w:top w:val="nil"/>
              <w:left w:val="nil"/>
              <w:bottom w:val="single" w:sz="4" w:space="0" w:color="auto"/>
              <w:right w:val="single" w:sz="4" w:space="0" w:color="auto"/>
            </w:tcBorders>
            <w:shd w:val="clear" w:color="auto" w:fill="auto"/>
            <w:noWrap/>
          </w:tcPr>
          <w:p w14:paraId="380B7F83" w14:textId="77777777" w:rsidR="00B83419" w:rsidRPr="00046DA5" w:rsidRDefault="00B83419" w:rsidP="00B030DB">
            <w:pPr>
              <w:pStyle w:val="TableBody"/>
              <w:rPr>
                <w:rFonts w:cs="Arial"/>
                <w:color w:val="000000"/>
                <w:szCs w:val="20"/>
              </w:rPr>
            </w:pPr>
            <w:r w:rsidRPr="00046DA5">
              <w:rPr>
                <w:rFonts w:cs="Arial"/>
                <w:color w:val="000000"/>
                <w:szCs w:val="20"/>
              </w:rPr>
              <w:t>0.4370</w:t>
            </w:r>
          </w:p>
        </w:tc>
        <w:tc>
          <w:tcPr>
            <w:tcW w:w="1134" w:type="dxa"/>
            <w:tcBorders>
              <w:top w:val="nil"/>
              <w:left w:val="nil"/>
              <w:bottom w:val="single" w:sz="4" w:space="0" w:color="auto"/>
              <w:right w:val="single" w:sz="4" w:space="0" w:color="auto"/>
            </w:tcBorders>
            <w:shd w:val="clear" w:color="auto" w:fill="auto"/>
            <w:noWrap/>
          </w:tcPr>
          <w:p w14:paraId="2C2794FD" w14:textId="77777777" w:rsidR="00B83419" w:rsidRPr="00046DA5" w:rsidRDefault="00B83419" w:rsidP="00B030DB">
            <w:pPr>
              <w:pStyle w:val="TableBody"/>
              <w:rPr>
                <w:rFonts w:cs="Arial"/>
                <w:color w:val="000000"/>
                <w:szCs w:val="20"/>
              </w:rPr>
            </w:pPr>
            <w:r w:rsidRPr="00046DA5">
              <w:rPr>
                <w:rFonts w:cs="Arial"/>
                <w:color w:val="000000"/>
                <w:szCs w:val="20"/>
              </w:rPr>
              <w:t>0.2180</w:t>
            </w:r>
          </w:p>
        </w:tc>
      </w:tr>
      <w:tr w:rsidR="00B83419" w:rsidRPr="00046DA5" w14:paraId="09271D15" w14:textId="77777777" w:rsidTr="00203638">
        <w:tc>
          <w:tcPr>
            <w:tcW w:w="2160" w:type="dxa"/>
            <w:shd w:val="clear" w:color="auto" w:fill="auto"/>
            <w:noWrap/>
            <w:vAlign w:val="center"/>
          </w:tcPr>
          <w:p w14:paraId="54510904" w14:textId="77777777" w:rsidR="00B83419" w:rsidRPr="00046DA5" w:rsidRDefault="00B83419" w:rsidP="00B030DB">
            <w:pPr>
              <w:pStyle w:val="TableBody"/>
              <w:rPr>
                <w:rFonts w:cs="Arial"/>
                <w:szCs w:val="20"/>
              </w:rPr>
            </w:pPr>
            <w:r w:rsidRPr="00046DA5">
              <w:rPr>
                <w:rFonts w:cs="Arial"/>
                <w:szCs w:val="20"/>
              </w:rPr>
              <w:t>&gt;520 to 960 MHz</w:t>
            </w:r>
          </w:p>
        </w:tc>
        <w:tc>
          <w:tcPr>
            <w:tcW w:w="1210" w:type="dxa"/>
            <w:tcBorders>
              <w:top w:val="nil"/>
              <w:left w:val="single" w:sz="4" w:space="0" w:color="auto"/>
              <w:bottom w:val="single" w:sz="4" w:space="0" w:color="auto"/>
              <w:right w:val="single" w:sz="4" w:space="0" w:color="auto"/>
            </w:tcBorders>
            <w:shd w:val="clear" w:color="auto" w:fill="auto"/>
            <w:noWrap/>
          </w:tcPr>
          <w:p w14:paraId="43D3CA33" w14:textId="77777777" w:rsidR="00B83419" w:rsidRPr="00046DA5" w:rsidRDefault="00B83419" w:rsidP="00B030DB">
            <w:pPr>
              <w:pStyle w:val="TableBody"/>
              <w:rPr>
                <w:rFonts w:cs="Arial"/>
                <w:szCs w:val="20"/>
              </w:rPr>
            </w:pPr>
            <w:r w:rsidRPr="00046DA5">
              <w:rPr>
                <w:rFonts w:cs="Arial"/>
                <w:color w:val="000000"/>
                <w:szCs w:val="20"/>
              </w:rPr>
              <w:t xml:space="preserve">10.0000 </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2F00E803" w14:textId="77777777" w:rsidR="00B83419" w:rsidRPr="00046DA5" w:rsidRDefault="00B83419" w:rsidP="00B030DB">
            <w:pPr>
              <w:pStyle w:val="TableBody"/>
              <w:rPr>
                <w:rFonts w:cs="Arial"/>
                <w:color w:val="000000"/>
                <w:szCs w:val="20"/>
              </w:rPr>
            </w:pPr>
            <w:r w:rsidRPr="00046DA5">
              <w:rPr>
                <w:rFonts w:cs="Arial"/>
                <w:color w:val="000000"/>
                <w:szCs w:val="20"/>
              </w:rPr>
              <w:t xml:space="preserve">5.6000 </w:t>
            </w:r>
          </w:p>
        </w:tc>
        <w:tc>
          <w:tcPr>
            <w:tcW w:w="1134" w:type="dxa"/>
            <w:tcBorders>
              <w:top w:val="nil"/>
              <w:left w:val="nil"/>
              <w:bottom w:val="single" w:sz="4" w:space="0" w:color="auto"/>
              <w:right w:val="single" w:sz="4" w:space="0" w:color="auto"/>
            </w:tcBorders>
            <w:shd w:val="clear" w:color="auto" w:fill="auto"/>
            <w:noWrap/>
          </w:tcPr>
          <w:p w14:paraId="50D17AA1" w14:textId="77777777" w:rsidR="00B83419" w:rsidRPr="00046DA5" w:rsidRDefault="00B83419" w:rsidP="00B030DB">
            <w:pPr>
              <w:pStyle w:val="TableBody"/>
              <w:rPr>
                <w:rFonts w:cs="Arial"/>
                <w:szCs w:val="20"/>
              </w:rPr>
            </w:pPr>
            <w:r w:rsidRPr="00046DA5">
              <w:rPr>
                <w:rFonts w:cs="Arial"/>
                <w:color w:val="000000"/>
                <w:szCs w:val="20"/>
              </w:rPr>
              <w:t xml:space="preserve">2.5620 </w:t>
            </w:r>
          </w:p>
        </w:tc>
        <w:tc>
          <w:tcPr>
            <w:tcW w:w="1134" w:type="dxa"/>
            <w:tcBorders>
              <w:top w:val="nil"/>
              <w:left w:val="nil"/>
              <w:bottom w:val="single" w:sz="4" w:space="0" w:color="auto"/>
              <w:right w:val="single" w:sz="4" w:space="0" w:color="auto"/>
            </w:tcBorders>
            <w:shd w:val="clear" w:color="auto" w:fill="auto"/>
            <w:noWrap/>
          </w:tcPr>
          <w:p w14:paraId="0F5A4D88" w14:textId="77777777" w:rsidR="00B83419" w:rsidRPr="00046DA5" w:rsidRDefault="00B83419" w:rsidP="00B030DB">
            <w:pPr>
              <w:pStyle w:val="TableBody"/>
              <w:rPr>
                <w:rFonts w:cs="Arial"/>
                <w:szCs w:val="20"/>
              </w:rPr>
            </w:pPr>
            <w:r w:rsidRPr="00046DA5">
              <w:rPr>
                <w:rFonts w:cs="Arial"/>
                <w:color w:val="000000"/>
                <w:szCs w:val="20"/>
              </w:rPr>
              <w:t xml:space="preserve">0.4370 </w:t>
            </w:r>
          </w:p>
        </w:tc>
        <w:tc>
          <w:tcPr>
            <w:tcW w:w="1134" w:type="dxa"/>
            <w:tcBorders>
              <w:top w:val="nil"/>
              <w:left w:val="nil"/>
              <w:bottom w:val="single" w:sz="4" w:space="0" w:color="auto"/>
              <w:right w:val="single" w:sz="4" w:space="0" w:color="auto"/>
            </w:tcBorders>
            <w:shd w:val="clear" w:color="auto" w:fill="auto"/>
            <w:noWrap/>
          </w:tcPr>
          <w:p w14:paraId="165D021F" w14:textId="77777777" w:rsidR="00B83419" w:rsidRPr="00046DA5" w:rsidRDefault="00B83419" w:rsidP="00B030DB">
            <w:pPr>
              <w:pStyle w:val="TableBody"/>
              <w:rPr>
                <w:rFonts w:cs="Arial"/>
                <w:szCs w:val="20"/>
              </w:rPr>
            </w:pPr>
            <w:r w:rsidRPr="00046DA5">
              <w:rPr>
                <w:rFonts w:cs="Arial"/>
                <w:color w:val="000000"/>
                <w:szCs w:val="20"/>
              </w:rPr>
              <w:t xml:space="preserve">0.2180 </w:t>
            </w:r>
          </w:p>
        </w:tc>
      </w:tr>
      <w:tr w:rsidR="00B83419" w:rsidRPr="00046DA5" w14:paraId="4978E1B4" w14:textId="77777777" w:rsidTr="00203638">
        <w:tc>
          <w:tcPr>
            <w:tcW w:w="2160" w:type="dxa"/>
            <w:shd w:val="clear" w:color="auto" w:fill="auto"/>
            <w:noWrap/>
            <w:vAlign w:val="center"/>
          </w:tcPr>
          <w:p w14:paraId="3C935C7C" w14:textId="77777777" w:rsidR="00B83419" w:rsidRPr="00046DA5" w:rsidRDefault="00B83419" w:rsidP="00B030DB">
            <w:pPr>
              <w:pStyle w:val="TableBody"/>
              <w:rPr>
                <w:rFonts w:cs="Arial"/>
                <w:szCs w:val="20"/>
              </w:rPr>
            </w:pPr>
            <w:r w:rsidRPr="00046DA5">
              <w:rPr>
                <w:rFonts w:cs="Arial"/>
                <w:szCs w:val="20"/>
              </w:rPr>
              <w:t>&gt;960 to 2,690 MHz</w:t>
            </w:r>
          </w:p>
        </w:tc>
        <w:tc>
          <w:tcPr>
            <w:tcW w:w="1210" w:type="dxa"/>
            <w:tcBorders>
              <w:top w:val="nil"/>
              <w:left w:val="single" w:sz="4" w:space="0" w:color="auto"/>
              <w:bottom w:val="single" w:sz="4" w:space="0" w:color="auto"/>
              <w:right w:val="single" w:sz="4" w:space="0" w:color="auto"/>
            </w:tcBorders>
            <w:shd w:val="clear" w:color="auto" w:fill="auto"/>
            <w:noWrap/>
          </w:tcPr>
          <w:p w14:paraId="7C4FE12D" w14:textId="77777777" w:rsidR="00B83419" w:rsidRPr="00046DA5" w:rsidRDefault="00B83419" w:rsidP="00B030DB">
            <w:pPr>
              <w:pStyle w:val="TableBody"/>
              <w:rPr>
                <w:rFonts w:cs="Arial"/>
                <w:szCs w:val="20"/>
              </w:rPr>
            </w:pPr>
            <w:r w:rsidRPr="00046DA5">
              <w:rPr>
                <w:rFonts w:cs="Arial"/>
                <w:color w:val="000000"/>
                <w:szCs w:val="20"/>
              </w:rPr>
              <w:t xml:space="preserve">9.9850 </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1F7E7D47" w14:textId="77777777" w:rsidR="00B83419" w:rsidRPr="00046DA5" w:rsidRDefault="00B83419" w:rsidP="00B030DB">
            <w:pPr>
              <w:pStyle w:val="TableBody"/>
              <w:rPr>
                <w:rFonts w:cs="Arial"/>
                <w:color w:val="000000"/>
                <w:szCs w:val="20"/>
              </w:rPr>
            </w:pPr>
            <w:r w:rsidRPr="00046DA5">
              <w:rPr>
                <w:rFonts w:cs="Arial"/>
                <w:color w:val="000000"/>
                <w:szCs w:val="20"/>
              </w:rPr>
              <w:t xml:space="preserve">2.2410 </w:t>
            </w:r>
          </w:p>
        </w:tc>
        <w:tc>
          <w:tcPr>
            <w:tcW w:w="1134" w:type="dxa"/>
            <w:tcBorders>
              <w:top w:val="nil"/>
              <w:left w:val="nil"/>
              <w:bottom w:val="single" w:sz="4" w:space="0" w:color="auto"/>
              <w:right w:val="single" w:sz="4" w:space="0" w:color="auto"/>
            </w:tcBorders>
            <w:shd w:val="clear" w:color="auto" w:fill="auto"/>
            <w:noWrap/>
          </w:tcPr>
          <w:p w14:paraId="5298BF12" w14:textId="77777777" w:rsidR="00B83419" w:rsidRPr="00046DA5" w:rsidRDefault="00B83419" w:rsidP="00B030DB">
            <w:pPr>
              <w:pStyle w:val="TableBody"/>
              <w:rPr>
                <w:rFonts w:cs="Arial"/>
                <w:szCs w:val="20"/>
              </w:rPr>
            </w:pPr>
            <w:r w:rsidRPr="00046DA5">
              <w:rPr>
                <w:rFonts w:cs="Arial"/>
                <w:color w:val="000000"/>
                <w:szCs w:val="20"/>
              </w:rPr>
              <w:t xml:space="preserve">1.0360 </w:t>
            </w:r>
          </w:p>
        </w:tc>
        <w:tc>
          <w:tcPr>
            <w:tcW w:w="1134" w:type="dxa"/>
            <w:tcBorders>
              <w:top w:val="nil"/>
              <w:left w:val="nil"/>
              <w:bottom w:val="single" w:sz="4" w:space="0" w:color="auto"/>
              <w:right w:val="single" w:sz="4" w:space="0" w:color="auto"/>
            </w:tcBorders>
            <w:shd w:val="clear" w:color="auto" w:fill="auto"/>
            <w:noWrap/>
          </w:tcPr>
          <w:p w14:paraId="48E6EACF" w14:textId="77777777" w:rsidR="00B83419" w:rsidRPr="00046DA5" w:rsidRDefault="00B83419" w:rsidP="00B030DB">
            <w:pPr>
              <w:pStyle w:val="TableBody"/>
              <w:rPr>
                <w:rFonts w:cs="Arial"/>
                <w:szCs w:val="20"/>
              </w:rPr>
            </w:pPr>
            <w:r w:rsidRPr="00046DA5">
              <w:rPr>
                <w:rFonts w:cs="Arial"/>
                <w:color w:val="000000"/>
                <w:szCs w:val="20"/>
              </w:rPr>
              <w:t xml:space="preserve">0.5210 </w:t>
            </w:r>
          </w:p>
        </w:tc>
        <w:tc>
          <w:tcPr>
            <w:tcW w:w="1134" w:type="dxa"/>
            <w:tcBorders>
              <w:top w:val="nil"/>
              <w:left w:val="nil"/>
              <w:bottom w:val="single" w:sz="4" w:space="0" w:color="auto"/>
              <w:right w:val="single" w:sz="4" w:space="0" w:color="auto"/>
            </w:tcBorders>
            <w:shd w:val="clear" w:color="auto" w:fill="auto"/>
            <w:noWrap/>
          </w:tcPr>
          <w:p w14:paraId="5DCAD5CC" w14:textId="77777777" w:rsidR="00B83419" w:rsidRPr="00046DA5" w:rsidRDefault="00B83419" w:rsidP="00B030DB">
            <w:pPr>
              <w:pStyle w:val="TableBody"/>
              <w:rPr>
                <w:rFonts w:cs="Arial"/>
                <w:szCs w:val="20"/>
              </w:rPr>
            </w:pPr>
            <w:r w:rsidRPr="00046DA5">
              <w:rPr>
                <w:rFonts w:cs="Arial"/>
                <w:color w:val="000000"/>
                <w:szCs w:val="20"/>
              </w:rPr>
              <w:t xml:space="preserve">0.2600 </w:t>
            </w:r>
          </w:p>
        </w:tc>
      </w:tr>
      <w:tr w:rsidR="00B83419" w:rsidRPr="00046DA5" w14:paraId="448E1630" w14:textId="77777777" w:rsidTr="00203638">
        <w:tc>
          <w:tcPr>
            <w:tcW w:w="2160" w:type="dxa"/>
            <w:shd w:val="clear" w:color="auto" w:fill="auto"/>
            <w:noWrap/>
            <w:vAlign w:val="center"/>
          </w:tcPr>
          <w:p w14:paraId="3D779420" w14:textId="77777777" w:rsidR="00B83419" w:rsidRPr="00046DA5" w:rsidRDefault="00B83419" w:rsidP="00B030DB">
            <w:pPr>
              <w:pStyle w:val="TableBody"/>
              <w:rPr>
                <w:rFonts w:cs="Arial"/>
                <w:szCs w:val="20"/>
              </w:rPr>
            </w:pPr>
            <w:r w:rsidRPr="00046DA5">
              <w:rPr>
                <w:rFonts w:cs="Arial"/>
                <w:szCs w:val="20"/>
              </w:rPr>
              <w:t>&gt;2,690 to 5,000 MHz</w:t>
            </w:r>
          </w:p>
        </w:tc>
        <w:tc>
          <w:tcPr>
            <w:tcW w:w="1210" w:type="dxa"/>
            <w:tcBorders>
              <w:top w:val="nil"/>
              <w:left w:val="single" w:sz="4" w:space="0" w:color="auto"/>
              <w:bottom w:val="single" w:sz="4" w:space="0" w:color="auto"/>
              <w:right w:val="single" w:sz="4" w:space="0" w:color="auto"/>
            </w:tcBorders>
            <w:shd w:val="clear" w:color="auto" w:fill="auto"/>
            <w:noWrap/>
          </w:tcPr>
          <w:p w14:paraId="2F7A7262" w14:textId="77777777" w:rsidR="00B83419" w:rsidRPr="00046DA5" w:rsidRDefault="00B83419" w:rsidP="00B030DB">
            <w:pPr>
              <w:pStyle w:val="TableBody"/>
              <w:rPr>
                <w:rFonts w:cs="Arial"/>
                <w:szCs w:val="20"/>
              </w:rPr>
            </w:pPr>
            <w:r w:rsidRPr="00046DA5">
              <w:rPr>
                <w:rFonts w:cs="Arial"/>
                <w:color w:val="000000"/>
                <w:szCs w:val="20"/>
              </w:rPr>
              <w:t xml:space="preserve">9.9740 </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0782DC84" w14:textId="77777777" w:rsidR="00B83419" w:rsidRPr="00046DA5" w:rsidRDefault="00B83419" w:rsidP="00B030DB">
            <w:pPr>
              <w:pStyle w:val="TableBody"/>
              <w:rPr>
                <w:rFonts w:cs="Arial"/>
                <w:color w:val="000000"/>
                <w:szCs w:val="20"/>
              </w:rPr>
            </w:pPr>
            <w:r w:rsidRPr="00046DA5">
              <w:rPr>
                <w:rFonts w:cs="Arial"/>
                <w:color w:val="000000"/>
                <w:szCs w:val="20"/>
              </w:rPr>
              <w:t xml:space="preserve">1.8530 </w:t>
            </w:r>
          </w:p>
        </w:tc>
        <w:tc>
          <w:tcPr>
            <w:tcW w:w="1134" w:type="dxa"/>
            <w:tcBorders>
              <w:top w:val="nil"/>
              <w:left w:val="nil"/>
              <w:bottom w:val="single" w:sz="4" w:space="0" w:color="auto"/>
              <w:right w:val="single" w:sz="4" w:space="0" w:color="auto"/>
            </w:tcBorders>
            <w:shd w:val="clear" w:color="auto" w:fill="auto"/>
            <w:noWrap/>
          </w:tcPr>
          <w:p w14:paraId="42526F4C" w14:textId="77777777" w:rsidR="00B83419" w:rsidRPr="00046DA5" w:rsidRDefault="00B83419" w:rsidP="00B030DB">
            <w:pPr>
              <w:pStyle w:val="TableBody"/>
              <w:rPr>
                <w:rFonts w:cs="Arial"/>
                <w:szCs w:val="20"/>
              </w:rPr>
            </w:pPr>
            <w:r w:rsidRPr="00046DA5">
              <w:rPr>
                <w:rFonts w:cs="Arial"/>
                <w:color w:val="000000"/>
                <w:szCs w:val="20"/>
              </w:rPr>
              <w:t xml:space="preserve">0.7510 </w:t>
            </w:r>
          </w:p>
        </w:tc>
        <w:tc>
          <w:tcPr>
            <w:tcW w:w="1134" w:type="dxa"/>
            <w:tcBorders>
              <w:top w:val="nil"/>
              <w:left w:val="nil"/>
              <w:bottom w:val="single" w:sz="4" w:space="0" w:color="auto"/>
              <w:right w:val="single" w:sz="4" w:space="0" w:color="auto"/>
            </w:tcBorders>
            <w:shd w:val="clear" w:color="auto" w:fill="auto"/>
            <w:noWrap/>
          </w:tcPr>
          <w:p w14:paraId="6F848B0D" w14:textId="77777777" w:rsidR="00B83419" w:rsidRPr="00046DA5" w:rsidRDefault="00B83419" w:rsidP="00B030DB">
            <w:pPr>
              <w:pStyle w:val="TableBody"/>
              <w:rPr>
                <w:rFonts w:cs="Arial"/>
                <w:szCs w:val="20"/>
              </w:rPr>
            </w:pPr>
            <w:r w:rsidRPr="00046DA5">
              <w:rPr>
                <w:rFonts w:cs="Arial"/>
                <w:color w:val="000000"/>
                <w:szCs w:val="20"/>
              </w:rPr>
              <w:t xml:space="preserve">0.6220 </w:t>
            </w:r>
          </w:p>
        </w:tc>
        <w:tc>
          <w:tcPr>
            <w:tcW w:w="1134" w:type="dxa"/>
            <w:tcBorders>
              <w:top w:val="nil"/>
              <w:left w:val="nil"/>
              <w:bottom w:val="single" w:sz="4" w:space="0" w:color="auto"/>
              <w:right w:val="single" w:sz="4" w:space="0" w:color="auto"/>
            </w:tcBorders>
            <w:shd w:val="clear" w:color="auto" w:fill="auto"/>
            <w:noWrap/>
          </w:tcPr>
          <w:p w14:paraId="4AD766C3" w14:textId="77777777" w:rsidR="00B83419" w:rsidRPr="00046DA5" w:rsidRDefault="00B83419" w:rsidP="00B030DB">
            <w:pPr>
              <w:pStyle w:val="TableBody"/>
              <w:rPr>
                <w:rFonts w:cs="Arial"/>
                <w:szCs w:val="20"/>
              </w:rPr>
            </w:pPr>
            <w:r w:rsidRPr="00046DA5">
              <w:rPr>
                <w:rFonts w:cs="Arial"/>
                <w:color w:val="000000"/>
                <w:szCs w:val="20"/>
              </w:rPr>
              <w:t xml:space="preserve">0.3110 </w:t>
            </w:r>
          </w:p>
        </w:tc>
      </w:tr>
      <w:tr w:rsidR="00B83419" w:rsidRPr="00046DA5" w14:paraId="0043E39F" w14:textId="77777777" w:rsidTr="00203638">
        <w:tc>
          <w:tcPr>
            <w:tcW w:w="2160" w:type="dxa"/>
            <w:shd w:val="clear" w:color="auto" w:fill="auto"/>
            <w:noWrap/>
            <w:vAlign w:val="center"/>
          </w:tcPr>
          <w:p w14:paraId="19F616FE" w14:textId="77777777" w:rsidR="00B83419" w:rsidRPr="00046DA5" w:rsidRDefault="00B83419" w:rsidP="00B030DB">
            <w:pPr>
              <w:pStyle w:val="TableBody"/>
              <w:rPr>
                <w:rFonts w:cs="Arial"/>
                <w:szCs w:val="20"/>
              </w:rPr>
            </w:pPr>
            <w:r w:rsidRPr="00046DA5">
              <w:rPr>
                <w:rFonts w:cs="Arial"/>
                <w:szCs w:val="20"/>
              </w:rPr>
              <w:t>&gt;5.0 to 8.5 GHz</w:t>
            </w:r>
          </w:p>
        </w:tc>
        <w:tc>
          <w:tcPr>
            <w:tcW w:w="1210" w:type="dxa"/>
            <w:tcBorders>
              <w:top w:val="nil"/>
              <w:left w:val="single" w:sz="4" w:space="0" w:color="auto"/>
              <w:bottom w:val="single" w:sz="4" w:space="0" w:color="auto"/>
              <w:right w:val="single" w:sz="4" w:space="0" w:color="auto"/>
            </w:tcBorders>
            <w:shd w:val="clear" w:color="auto" w:fill="auto"/>
            <w:noWrap/>
          </w:tcPr>
          <w:p w14:paraId="10DCC2CD" w14:textId="77777777" w:rsidR="00B83419" w:rsidRPr="00046DA5" w:rsidRDefault="00B83419" w:rsidP="00B030DB">
            <w:pPr>
              <w:pStyle w:val="TableBody"/>
              <w:rPr>
                <w:rFonts w:cs="Arial"/>
                <w:szCs w:val="20"/>
              </w:rPr>
            </w:pPr>
            <w:r w:rsidRPr="00046DA5">
              <w:rPr>
                <w:rFonts w:cs="Arial"/>
                <w:color w:val="000000"/>
                <w:szCs w:val="20"/>
              </w:rPr>
              <w:t xml:space="preserve">8.4210 </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0029F29E" w14:textId="77777777" w:rsidR="00B83419" w:rsidRPr="00046DA5" w:rsidRDefault="00B83419" w:rsidP="00B030DB">
            <w:pPr>
              <w:pStyle w:val="TableBody"/>
              <w:rPr>
                <w:rFonts w:cs="Arial"/>
                <w:color w:val="000000"/>
                <w:szCs w:val="20"/>
              </w:rPr>
            </w:pPr>
            <w:r w:rsidRPr="00046DA5">
              <w:rPr>
                <w:rFonts w:cs="Arial"/>
                <w:color w:val="000000"/>
                <w:szCs w:val="20"/>
              </w:rPr>
              <w:t xml:space="preserve">1.5570 </w:t>
            </w:r>
          </w:p>
        </w:tc>
        <w:tc>
          <w:tcPr>
            <w:tcW w:w="1134" w:type="dxa"/>
            <w:tcBorders>
              <w:top w:val="nil"/>
              <w:left w:val="nil"/>
              <w:bottom w:val="single" w:sz="4" w:space="0" w:color="auto"/>
              <w:right w:val="single" w:sz="4" w:space="0" w:color="auto"/>
            </w:tcBorders>
            <w:shd w:val="clear" w:color="auto" w:fill="auto"/>
            <w:noWrap/>
          </w:tcPr>
          <w:p w14:paraId="644D3717" w14:textId="77777777" w:rsidR="00B83419" w:rsidRPr="00046DA5" w:rsidRDefault="00B83419" w:rsidP="00B030DB">
            <w:pPr>
              <w:pStyle w:val="TableBody"/>
              <w:rPr>
                <w:rFonts w:cs="Arial"/>
                <w:szCs w:val="20"/>
              </w:rPr>
            </w:pPr>
            <w:r w:rsidRPr="00046DA5">
              <w:rPr>
                <w:rFonts w:cs="Arial"/>
                <w:color w:val="000000"/>
                <w:szCs w:val="20"/>
              </w:rPr>
              <w:t xml:space="preserve">0.7250 </w:t>
            </w:r>
          </w:p>
        </w:tc>
        <w:tc>
          <w:tcPr>
            <w:tcW w:w="1134" w:type="dxa"/>
            <w:tcBorders>
              <w:top w:val="nil"/>
              <w:left w:val="nil"/>
              <w:bottom w:val="single" w:sz="4" w:space="0" w:color="auto"/>
              <w:right w:val="single" w:sz="4" w:space="0" w:color="auto"/>
            </w:tcBorders>
            <w:shd w:val="clear" w:color="auto" w:fill="auto"/>
            <w:noWrap/>
          </w:tcPr>
          <w:p w14:paraId="01476732" w14:textId="77777777" w:rsidR="00B83419" w:rsidRPr="00046DA5" w:rsidRDefault="00B83419" w:rsidP="00B030DB">
            <w:pPr>
              <w:pStyle w:val="TableBody"/>
              <w:rPr>
                <w:rFonts w:cs="Arial"/>
                <w:szCs w:val="20"/>
              </w:rPr>
            </w:pPr>
            <w:r w:rsidRPr="00046DA5">
              <w:rPr>
                <w:rFonts w:cs="Arial"/>
                <w:color w:val="000000"/>
                <w:szCs w:val="20"/>
              </w:rPr>
              <w:t xml:space="preserve">0.3300 </w:t>
            </w:r>
          </w:p>
        </w:tc>
        <w:tc>
          <w:tcPr>
            <w:tcW w:w="1134" w:type="dxa"/>
            <w:tcBorders>
              <w:top w:val="nil"/>
              <w:left w:val="nil"/>
              <w:bottom w:val="single" w:sz="4" w:space="0" w:color="auto"/>
              <w:right w:val="single" w:sz="4" w:space="0" w:color="auto"/>
            </w:tcBorders>
            <w:shd w:val="clear" w:color="auto" w:fill="auto"/>
            <w:noWrap/>
          </w:tcPr>
          <w:p w14:paraId="2B4E9200" w14:textId="77777777" w:rsidR="00B83419" w:rsidRPr="00046DA5" w:rsidRDefault="00B83419" w:rsidP="00B030DB">
            <w:pPr>
              <w:pStyle w:val="TableBody"/>
              <w:rPr>
                <w:rFonts w:cs="Arial"/>
                <w:szCs w:val="20"/>
              </w:rPr>
            </w:pPr>
            <w:r w:rsidRPr="00046DA5">
              <w:rPr>
                <w:rFonts w:cs="Arial"/>
                <w:color w:val="000000"/>
                <w:szCs w:val="20"/>
              </w:rPr>
              <w:t xml:space="preserve">0.1600 </w:t>
            </w:r>
          </w:p>
        </w:tc>
      </w:tr>
      <w:tr w:rsidR="00B83419" w:rsidRPr="00046DA5" w14:paraId="0E648326" w14:textId="77777777" w:rsidTr="00203638">
        <w:tc>
          <w:tcPr>
            <w:tcW w:w="2160" w:type="dxa"/>
            <w:shd w:val="clear" w:color="auto" w:fill="auto"/>
            <w:noWrap/>
            <w:vAlign w:val="center"/>
          </w:tcPr>
          <w:p w14:paraId="477FECAB" w14:textId="77777777" w:rsidR="00B83419" w:rsidRPr="00046DA5" w:rsidRDefault="00B83419" w:rsidP="00B030DB">
            <w:pPr>
              <w:pStyle w:val="TableBody"/>
              <w:rPr>
                <w:rFonts w:cs="Arial"/>
                <w:szCs w:val="20"/>
              </w:rPr>
            </w:pPr>
            <w:r w:rsidRPr="00046DA5">
              <w:rPr>
                <w:rFonts w:cs="Arial"/>
                <w:szCs w:val="20"/>
              </w:rPr>
              <w:t>&gt;8.5 to 14.5 GHz</w:t>
            </w:r>
          </w:p>
        </w:tc>
        <w:tc>
          <w:tcPr>
            <w:tcW w:w="1210" w:type="dxa"/>
            <w:tcBorders>
              <w:top w:val="nil"/>
              <w:left w:val="single" w:sz="4" w:space="0" w:color="auto"/>
              <w:bottom w:val="single" w:sz="4" w:space="0" w:color="auto"/>
              <w:right w:val="single" w:sz="4" w:space="0" w:color="auto"/>
            </w:tcBorders>
            <w:shd w:val="clear" w:color="auto" w:fill="auto"/>
            <w:noWrap/>
          </w:tcPr>
          <w:p w14:paraId="11A72A2A" w14:textId="77777777" w:rsidR="00B83419" w:rsidRPr="00046DA5" w:rsidRDefault="00B83419" w:rsidP="00B030DB">
            <w:pPr>
              <w:pStyle w:val="TableBody"/>
              <w:rPr>
                <w:rFonts w:cs="Arial"/>
                <w:szCs w:val="20"/>
              </w:rPr>
            </w:pPr>
            <w:r w:rsidRPr="00046DA5">
              <w:rPr>
                <w:rFonts w:cs="Arial"/>
                <w:color w:val="000000"/>
                <w:szCs w:val="20"/>
              </w:rPr>
              <w:t xml:space="preserve">3.7110 </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550942C1" w14:textId="77777777" w:rsidR="00B83419" w:rsidRPr="00046DA5" w:rsidRDefault="00B83419" w:rsidP="00B030DB">
            <w:pPr>
              <w:pStyle w:val="TableBody"/>
              <w:rPr>
                <w:rFonts w:cs="Arial"/>
                <w:color w:val="000000"/>
                <w:szCs w:val="20"/>
              </w:rPr>
            </w:pPr>
            <w:r w:rsidRPr="00046DA5">
              <w:rPr>
                <w:rFonts w:cs="Arial"/>
                <w:color w:val="000000"/>
                <w:szCs w:val="20"/>
              </w:rPr>
              <w:t xml:space="preserve">1.3360 </w:t>
            </w:r>
          </w:p>
        </w:tc>
        <w:tc>
          <w:tcPr>
            <w:tcW w:w="1134" w:type="dxa"/>
            <w:tcBorders>
              <w:top w:val="nil"/>
              <w:left w:val="nil"/>
              <w:bottom w:val="single" w:sz="4" w:space="0" w:color="auto"/>
              <w:right w:val="single" w:sz="4" w:space="0" w:color="auto"/>
            </w:tcBorders>
            <w:shd w:val="clear" w:color="auto" w:fill="auto"/>
            <w:noWrap/>
          </w:tcPr>
          <w:p w14:paraId="5F52DA7A" w14:textId="77777777" w:rsidR="00B83419" w:rsidRPr="00046DA5" w:rsidRDefault="00B83419" w:rsidP="00B030DB">
            <w:pPr>
              <w:pStyle w:val="TableBody"/>
              <w:rPr>
                <w:rFonts w:cs="Arial"/>
                <w:szCs w:val="20"/>
              </w:rPr>
            </w:pPr>
            <w:r w:rsidRPr="00046DA5">
              <w:rPr>
                <w:rFonts w:cs="Arial"/>
                <w:color w:val="000000"/>
                <w:szCs w:val="20"/>
              </w:rPr>
              <w:t xml:space="preserve">0.3160 </w:t>
            </w:r>
          </w:p>
        </w:tc>
        <w:tc>
          <w:tcPr>
            <w:tcW w:w="1134" w:type="dxa"/>
            <w:tcBorders>
              <w:top w:val="nil"/>
              <w:left w:val="nil"/>
              <w:bottom w:val="single" w:sz="4" w:space="0" w:color="auto"/>
              <w:right w:val="single" w:sz="4" w:space="0" w:color="auto"/>
            </w:tcBorders>
            <w:shd w:val="clear" w:color="auto" w:fill="auto"/>
            <w:noWrap/>
          </w:tcPr>
          <w:p w14:paraId="08945789" w14:textId="77777777" w:rsidR="00B83419" w:rsidRPr="00046DA5" w:rsidRDefault="00B83419" w:rsidP="00B030DB">
            <w:pPr>
              <w:pStyle w:val="TableBody"/>
              <w:rPr>
                <w:rFonts w:cs="Arial"/>
                <w:szCs w:val="20"/>
              </w:rPr>
            </w:pPr>
            <w:r w:rsidRPr="00046DA5">
              <w:rPr>
                <w:rFonts w:cs="Arial"/>
                <w:color w:val="000000"/>
                <w:szCs w:val="20"/>
              </w:rPr>
              <w:t xml:space="preserve">0.0230 </w:t>
            </w:r>
          </w:p>
        </w:tc>
        <w:tc>
          <w:tcPr>
            <w:tcW w:w="1134" w:type="dxa"/>
            <w:tcBorders>
              <w:top w:val="nil"/>
              <w:left w:val="nil"/>
              <w:bottom w:val="single" w:sz="4" w:space="0" w:color="auto"/>
              <w:right w:val="single" w:sz="4" w:space="0" w:color="auto"/>
            </w:tcBorders>
            <w:shd w:val="clear" w:color="auto" w:fill="auto"/>
            <w:noWrap/>
          </w:tcPr>
          <w:p w14:paraId="3DEED4BF" w14:textId="77777777" w:rsidR="00B83419" w:rsidRPr="00046DA5" w:rsidRDefault="00B83419" w:rsidP="00B030DB">
            <w:pPr>
              <w:pStyle w:val="TableBody"/>
              <w:rPr>
                <w:rFonts w:cs="Arial"/>
                <w:szCs w:val="20"/>
              </w:rPr>
            </w:pPr>
            <w:r w:rsidRPr="00046DA5">
              <w:rPr>
                <w:rFonts w:cs="Arial"/>
                <w:color w:val="000000"/>
                <w:szCs w:val="20"/>
              </w:rPr>
              <w:t xml:space="preserve">0.0110 </w:t>
            </w:r>
          </w:p>
        </w:tc>
      </w:tr>
      <w:tr w:rsidR="00B83419" w:rsidRPr="00046DA5" w14:paraId="1EF6064B" w14:textId="77777777" w:rsidTr="00203638">
        <w:tc>
          <w:tcPr>
            <w:tcW w:w="2160" w:type="dxa"/>
            <w:shd w:val="clear" w:color="auto" w:fill="auto"/>
            <w:noWrap/>
            <w:vAlign w:val="center"/>
          </w:tcPr>
          <w:p w14:paraId="41080187" w14:textId="77777777" w:rsidR="00B83419" w:rsidRPr="00046DA5" w:rsidRDefault="00B83419" w:rsidP="00B030DB">
            <w:pPr>
              <w:pStyle w:val="TableBody"/>
              <w:rPr>
                <w:rFonts w:cs="Arial"/>
                <w:szCs w:val="20"/>
              </w:rPr>
            </w:pPr>
            <w:r w:rsidRPr="00046DA5">
              <w:rPr>
                <w:rFonts w:cs="Arial"/>
                <w:szCs w:val="20"/>
              </w:rPr>
              <w:t>&gt;14.5 to 31.3 GHz</w:t>
            </w:r>
          </w:p>
        </w:tc>
        <w:tc>
          <w:tcPr>
            <w:tcW w:w="1210" w:type="dxa"/>
            <w:tcBorders>
              <w:top w:val="nil"/>
              <w:left w:val="single" w:sz="4" w:space="0" w:color="auto"/>
              <w:bottom w:val="single" w:sz="4" w:space="0" w:color="auto"/>
              <w:right w:val="single" w:sz="4" w:space="0" w:color="auto"/>
            </w:tcBorders>
            <w:shd w:val="clear" w:color="auto" w:fill="auto"/>
            <w:noWrap/>
          </w:tcPr>
          <w:p w14:paraId="6B2F5EC6" w14:textId="77777777" w:rsidR="00B83419" w:rsidRPr="00046DA5" w:rsidRDefault="00B83419" w:rsidP="00B030DB">
            <w:pPr>
              <w:pStyle w:val="TableBody"/>
              <w:rPr>
                <w:rFonts w:cs="Arial"/>
                <w:szCs w:val="20"/>
              </w:rPr>
            </w:pPr>
            <w:r w:rsidRPr="00046DA5">
              <w:rPr>
                <w:rFonts w:cs="Arial"/>
                <w:color w:val="000000"/>
                <w:szCs w:val="20"/>
              </w:rPr>
              <w:t xml:space="preserve">3.7110 </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1353BDC1" w14:textId="77777777" w:rsidR="00B83419" w:rsidRPr="00046DA5" w:rsidRDefault="00B83419" w:rsidP="00B030DB">
            <w:pPr>
              <w:pStyle w:val="TableBody"/>
              <w:rPr>
                <w:rFonts w:cs="Arial"/>
                <w:color w:val="000000"/>
                <w:szCs w:val="20"/>
              </w:rPr>
            </w:pPr>
            <w:r w:rsidRPr="00046DA5">
              <w:rPr>
                <w:rFonts w:cs="Arial"/>
                <w:color w:val="000000"/>
                <w:szCs w:val="20"/>
              </w:rPr>
              <w:t xml:space="preserve">0.9880 </w:t>
            </w:r>
          </w:p>
        </w:tc>
        <w:tc>
          <w:tcPr>
            <w:tcW w:w="1134" w:type="dxa"/>
            <w:tcBorders>
              <w:top w:val="nil"/>
              <w:left w:val="nil"/>
              <w:bottom w:val="single" w:sz="4" w:space="0" w:color="auto"/>
              <w:right w:val="single" w:sz="4" w:space="0" w:color="auto"/>
            </w:tcBorders>
            <w:shd w:val="clear" w:color="auto" w:fill="auto"/>
            <w:noWrap/>
          </w:tcPr>
          <w:p w14:paraId="0EA35747" w14:textId="77777777" w:rsidR="00B83419" w:rsidRPr="00046DA5" w:rsidRDefault="00B83419" w:rsidP="00B030DB">
            <w:pPr>
              <w:pStyle w:val="TableBody"/>
              <w:rPr>
                <w:rFonts w:cs="Arial"/>
                <w:szCs w:val="20"/>
              </w:rPr>
            </w:pPr>
            <w:r w:rsidRPr="00046DA5">
              <w:rPr>
                <w:rFonts w:cs="Arial"/>
                <w:color w:val="000000"/>
                <w:szCs w:val="20"/>
              </w:rPr>
              <w:t xml:space="preserve">0.2170 </w:t>
            </w:r>
          </w:p>
        </w:tc>
        <w:tc>
          <w:tcPr>
            <w:tcW w:w="1134" w:type="dxa"/>
            <w:tcBorders>
              <w:top w:val="nil"/>
              <w:left w:val="nil"/>
              <w:bottom w:val="single" w:sz="4" w:space="0" w:color="auto"/>
              <w:right w:val="single" w:sz="4" w:space="0" w:color="auto"/>
            </w:tcBorders>
            <w:shd w:val="clear" w:color="auto" w:fill="auto"/>
            <w:noWrap/>
          </w:tcPr>
          <w:p w14:paraId="2B58012E" w14:textId="77777777" w:rsidR="00B83419" w:rsidRPr="00046DA5" w:rsidRDefault="00B83419" w:rsidP="00B030DB">
            <w:pPr>
              <w:pStyle w:val="TableBody"/>
              <w:rPr>
                <w:rFonts w:cs="Arial"/>
                <w:szCs w:val="20"/>
              </w:rPr>
            </w:pPr>
            <w:r w:rsidRPr="00046DA5">
              <w:rPr>
                <w:rFonts w:cs="Arial"/>
                <w:color w:val="000000"/>
                <w:szCs w:val="20"/>
              </w:rPr>
              <w:t xml:space="preserve">0.0230 </w:t>
            </w:r>
          </w:p>
        </w:tc>
        <w:tc>
          <w:tcPr>
            <w:tcW w:w="1134" w:type="dxa"/>
            <w:tcBorders>
              <w:top w:val="nil"/>
              <w:left w:val="nil"/>
              <w:bottom w:val="single" w:sz="4" w:space="0" w:color="auto"/>
              <w:right w:val="single" w:sz="4" w:space="0" w:color="auto"/>
            </w:tcBorders>
            <w:shd w:val="clear" w:color="auto" w:fill="auto"/>
            <w:noWrap/>
          </w:tcPr>
          <w:p w14:paraId="6A321900" w14:textId="77777777" w:rsidR="00B83419" w:rsidRPr="00046DA5" w:rsidRDefault="00B83419" w:rsidP="00B030DB">
            <w:pPr>
              <w:pStyle w:val="TableBody"/>
              <w:rPr>
                <w:rFonts w:cs="Arial"/>
                <w:szCs w:val="20"/>
              </w:rPr>
            </w:pPr>
            <w:r w:rsidRPr="00046DA5">
              <w:rPr>
                <w:rFonts w:cs="Arial"/>
                <w:color w:val="000000"/>
                <w:szCs w:val="20"/>
              </w:rPr>
              <w:t xml:space="preserve">0.0110 </w:t>
            </w:r>
          </w:p>
        </w:tc>
      </w:tr>
      <w:tr w:rsidR="00B83419" w:rsidRPr="00046DA5" w14:paraId="6CC7DB2D" w14:textId="77777777" w:rsidTr="00203638">
        <w:tc>
          <w:tcPr>
            <w:tcW w:w="2160" w:type="dxa"/>
            <w:shd w:val="clear" w:color="auto" w:fill="auto"/>
            <w:noWrap/>
            <w:vAlign w:val="center"/>
          </w:tcPr>
          <w:p w14:paraId="5F5C374C" w14:textId="77777777" w:rsidR="00B83419" w:rsidRPr="00046DA5" w:rsidRDefault="00B83419" w:rsidP="00B030DB">
            <w:pPr>
              <w:pStyle w:val="TableBody"/>
              <w:rPr>
                <w:rFonts w:cs="Arial"/>
                <w:szCs w:val="20"/>
              </w:rPr>
            </w:pPr>
            <w:r w:rsidRPr="00046DA5">
              <w:rPr>
                <w:rFonts w:cs="Arial"/>
                <w:szCs w:val="20"/>
              </w:rPr>
              <w:t>&gt;31.3 to 51.4 GHz</w:t>
            </w:r>
          </w:p>
        </w:tc>
        <w:tc>
          <w:tcPr>
            <w:tcW w:w="1210" w:type="dxa"/>
            <w:tcBorders>
              <w:top w:val="nil"/>
              <w:left w:val="single" w:sz="4" w:space="0" w:color="auto"/>
              <w:bottom w:val="single" w:sz="4" w:space="0" w:color="auto"/>
              <w:right w:val="single" w:sz="4" w:space="0" w:color="auto"/>
            </w:tcBorders>
            <w:shd w:val="clear" w:color="auto" w:fill="auto"/>
            <w:noWrap/>
          </w:tcPr>
          <w:p w14:paraId="6FC24675" w14:textId="77777777" w:rsidR="00B83419" w:rsidRPr="00046DA5" w:rsidRDefault="00B83419" w:rsidP="00B030DB">
            <w:pPr>
              <w:pStyle w:val="TableBody"/>
              <w:rPr>
                <w:rFonts w:cs="Arial"/>
                <w:szCs w:val="20"/>
              </w:rPr>
            </w:pPr>
            <w:r w:rsidRPr="00046DA5">
              <w:rPr>
                <w:rFonts w:cs="Arial"/>
                <w:color w:val="000000"/>
                <w:szCs w:val="20"/>
              </w:rPr>
              <w:t xml:space="preserve">1.0120 </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0B15ED45" w14:textId="77777777" w:rsidR="00B83419" w:rsidRPr="00046DA5" w:rsidRDefault="00B83419" w:rsidP="00B030DB">
            <w:pPr>
              <w:pStyle w:val="TableBody"/>
              <w:rPr>
                <w:rFonts w:cs="Arial"/>
                <w:color w:val="000000"/>
                <w:szCs w:val="20"/>
              </w:rPr>
            </w:pPr>
            <w:r w:rsidRPr="00046DA5">
              <w:rPr>
                <w:rFonts w:cs="Arial"/>
                <w:color w:val="000000"/>
                <w:szCs w:val="20"/>
              </w:rPr>
              <w:t xml:space="preserve">0.5390 </w:t>
            </w:r>
          </w:p>
        </w:tc>
        <w:tc>
          <w:tcPr>
            <w:tcW w:w="1134" w:type="dxa"/>
            <w:tcBorders>
              <w:top w:val="nil"/>
              <w:left w:val="nil"/>
              <w:bottom w:val="single" w:sz="4" w:space="0" w:color="auto"/>
              <w:right w:val="single" w:sz="4" w:space="0" w:color="auto"/>
            </w:tcBorders>
            <w:shd w:val="clear" w:color="auto" w:fill="auto"/>
            <w:noWrap/>
          </w:tcPr>
          <w:p w14:paraId="633C1FCB" w14:textId="77777777" w:rsidR="00B83419" w:rsidRPr="00046DA5" w:rsidRDefault="00B83419" w:rsidP="00B030DB">
            <w:pPr>
              <w:pStyle w:val="TableBody"/>
              <w:rPr>
                <w:rFonts w:cs="Arial"/>
                <w:szCs w:val="20"/>
              </w:rPr>
            </w:pPr>
            <w:r w:rsidRPr="00046DA5">
              <w:rPr>
                <w:rFonts w:cs="Arial"/>
                <w:color w:val="000000"/>
                <w:szCs w:val="20"/>
              </w:rPr>
              <w:t xml:space="preserve">0.1170 </w:t>
            </w:r>
          </w:p>
        </w:tc>
        <w:tc>
          <w:tcPr>
            <w:tcW w:w="1134" w:type="dxa"/>
            <w:tcBorders>
              <w:top w:val="nil"/>
              <w:left w:val="nil"/>
              <w:bottom w:val="single" w:sz="4" w:space="0" w:color="auto"/>
              <w:right w:val="single" w:sz="4" w:space="0" w:color="auto"/>
            </w:tcBorders>
            <w:shd w:val="clear" w:color="auto" w:fill="auto"/>
            <w:noWrap/>
          </w:tcPr>
          <w:p w14:paraId="149CA3A3" w14:textId="77777777" w:rsidR="00B83419" w:rsidRPr="00046DA5" w:rsidRDefault="00B83419" w:rsidP="00B030DB">
            <w:pPr>
              <w:pStyle w:val="TableBody"/>
              <w:rPr>
                <w:rFonts w:cs="Arial"/>
                <w:szCs w:val="20"/>
              </w:rPr>
            </w:pPr>
            <w:r w:rsidRPr="00046DA5">
              <w:rPr>
                <w:rFonts w:cs="Arial"/>
                <w:color w:val="000000"/>
                <w:szCs w:val="20"/>
              </w:rPr>
              <w:t xml:space="preserve">0.0040 </w:t>
            </w:r>
          </w:p>
        </w:tc>
        <w:tc>
          <w:tcPr>
            <w:tcW w:w="1134" w:type="dxa"/>
            <w:tcBorders>
              <w:top w:val="nil"/>
              <w:left w:val="nil"/>
              <w:bottom w:val="single" w:sz="4" w:space="0" w:color="auto"/>
              <w:right w:val="single" w:sz="4" w:space="0" w:color="auto"/>
            </w:tcBorders>
            <w:shd w:val="clear" w:color="auto" w:fill="auto"/>
            <w:noWrap/>
          </w:tcPr>
          <w:p w14:paraId="583E657A" w14:textId="77777777" w:rsidR="00B83419" w:rsidRPr="00046DA5" w:rsidRDefault="00B83419" w:rsidP="00B030DB">
            <w:pPr>
              <w:pStyle w:val="TableBody"/>
              <w:rPr>
                <w:rFonts w:cs="Arial"/>
                <w:szCs w:val="20"/>
              </w:rPr>
            </w:pPr>
            <w:r w:rsidRPr="00046DA5">
              <w:rPr>
                <w:rFonts w:cs="Arial"/>
                <w:color w:val="000000"/>
                <w:szCs w:val="20"/>
              </w:rPr>
              <w:t xml:space="preserve">0.0020 </w:t>
            </w:r>
          </w:p>
        </w:tc>
      </w:tr>
      <w:tr w:rsidR="00B83419" w:rsidRPr="00046DA5" w14:paraId="3DF1B073" w14:textId="77777777" w:rsidTr="00203638">
        <w:tc>
          <w:tcPr>
            <w:tcW w:w="2160" w:type="dxa"/>
            <w:shd w:val="clear" w:color="auto" w:fill="auto"/>
            <w:noWrap/>
            <w:vAlign w:val="center"/>
          </w:tcPr>
          <w:p w14:paraId="4A302FBA" w14:textId="77777777" w:rsidR="00B83419" w:rsidRPr="00046DA5" w:rsidRDefault="00B83419" w:rsidP="00B030DB">
            <w:pPr>
              <w:pStyle w:val="TableBody"/>
              <w:rPr>
                <w:rFonts w:cs="Arial"/>
                <w:szCs w:val="20"/>
              </w:rPr>
            </w:pPr>
            <w:r w:rsidRPr="00046DA5">
              <w:rPr>
                <w:rFonts w:cs="Arial"/>
                <w:szCs w:val="20"/>
              </w:rPr>
              <w:t>Above 51.4 GHz</w:t>
            </w:r>
          </w:p>
        </w:tc>
        <w:tc>
          <w:tcPr>
            <w:tcW w:w="1210" w:type="dxa"/>
            <w:tcBorders>
              <w:top w:val="nil"/>
              <w:left w:val="single" w:sz="4" w:space="0" w:color="auto"/>
              <w:bottom w:val="single" w:sz="4" w:space="0" w:color="auto"/>
              <w:right w:val="single" w:sz="4" w:space="0" w:color="auto"/>
            </w:tcBorders>
            <w:shd w:val="clear" w:color="auto" w:fill="auto"/>
            <w:noWrap/>
          </w:tcPr>
          <w:p w14:paraId="35A3DF71" w14:textId="77777777" w:rsidR="00B83419" w:rsidRPr="00046DA5" w:rsidRDefault="00B83419" w:rsidP="00B030DB">
            <w:pPr>
              <w:pStyle w:val="TableBody"/>
              <w:rPr>
                <w:rFonts w:cs="Arial"/>
                <w:szCs w:val="20"/>
              </w:rPr>
            </w:pPr>
            <w:r w:rsidRPr="00046DA5">
              <w:rPr>
                <w:rFonts w:cs="Arial"/>
                <w:color w:val="000000"/>
                <w:szCs w:val="20"/>
              </w:rPr>
              <w:t xml:space="preserve">0.1000 </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6ABFC8F7" w14:textId="77777777" w:rsidR="00B83419" w:rsidRPr="00046DA5" w:rsidRDefault="00B83419" w:rsidP="00B030DB">
            <w:pPr>
              <w:pStyle w:val="TableBody"/>
              <w:rPr>
                <w:rFonts w:cs="Arial"/>
                <w:color w:val="000000"/>
                <w:szCs w:val="20"/>
              </w:rPr>
            </w:pPr>
            <w:r w:rsidRPr="00046DA5">
              <w:rPr>
                <w:rFonts w:cs="Arial"/>
                <w:color w:val="000000"/>
                <w:szCs w:val="20"/>
              </w:rPr>
              <w:t xml:space="preserve">0.0100 </w:t>
            </w:r>
          </w:p>
        </w:tc>
        <w:tc>
          <w:tcPr>
            <w:tcW w:w="1134" w:type="dxa"/>
            <w:tcBorders>
              <w:top w:val="nil"/>
              <w:left w:val="nil"/>
              <w:bottom w:val="single" w:sz="4" w:space="0" w:color="auto"/>
              <w:right w:val="single" w:sz="4" w:space="0" w:color="auto"/>
            </w:tcBorders>
            <w:shd w:val="clear" w:color="auto" w:fill="auto"/>
            <w:noWrap/>
          </w:tcPr>
          <w:p w14:paraId="5A8DA08B" w14:textId="77777777" w:rsidR="00B83419" w:rsidRPr="00046DA5" w:rsidRDefault="00B83419" w:rsidP="00B030DB">
            <w:pPr>
              <w:pStyle w:val="TableBody"/>
              <w:rPr>
                <w:rFonts w:cs="Arial"/>
                <w:szCs w:val="20"/>
              </w:rPr>
            </w:pPr>
            <w:r w:rsidRPr="00046DA5">
              <w:rPr>
                <w:rFonts w:cs="Arial"/>
                <w:color w:val="000000"/>
                <w:szCs w:val="20"/>
              </w:rPr>
              <w:t xml:space="preserve">0.0100 </w:t>
            </w:r>
          </w:p>
        </w:tc>
        <w:tc>
          <w:tcPr>
            <w:tcW w:w="1134" w:type="dxa"/>
            <w:tcBorders>
              <w:top w:val="nil"/>
              <w:left w:val="nil"/>
              <w:bottom w:val="single" w:sz="4" w:space="0" w:color="auto"/>
              <w:right w:val="single" w:sz="4" w:space="0" w:color="auto"/>
            </w:tcBorders>
            <w:shd w:val="clear" w:color="auto" w:fill="auto"/>
            <w:noWrap/>
          </w:tcPr>
          <w:p w14:paraId="0654D528" w14:textId="77777777" w:rsidR="00B83419" w:rsidRPr="00046DA5" w:rsidRDefault="00B83419" w:rsidP="00B030DB">
            <w:pPr>
              <w:pStyle w:val="TableBody"/>
              <w:rPr>
                <w:rFonts w:cs="Arial"/>
                <w:szCs w:val="20"/>
              </w:rPr>
            </w:pPr>
            <w:r w:rsidRPr="00046DA5">
              <w:rPr>
                <w:rFonts w:cs="Arial"/>
                <w:color w:val="000000"/>
                <w:szCs w:val="20"/>
              </w:rPr>
              <w:t xml:space="preserve">0.0010 </w:t>
            </w:r>
          </w:p>
        </w:tc>
        <w:tc>
          <w:tcPr>
            <w:tcW w:w="1134" w:type="dxa"/>
            <w:tcBorders>
              <w:top w:val="nil"/>
              <w:left w:val="nil"/>
              <w:bottom w:val="single" w:sz="4" w:space="0" w:color="auto"/>
              <w:right w:val="single" w:sz="4" w:space="0" w:color="auto"/>
            </w:tcBorders>
            <w:shd w:val="clear" w:color="auto" w:fill="auto"/>
            <w:noWrap/>
          </w:tcPr>
          <w:p w14:paraId="7F821F24" w14:textId="77777777" w:rsidR="00B83419" w:rsidRPr="00046DA5" w:rsidRDefault="00B83419" w:rsidP="00B030DB">
            <w:pPr>
              <w:pStyle w:val="TableBody"/>
              <w:rPr>
                <w:rFonts w:cs="Arial"/>
                <w:szCs w:val="20"/>
              </w:rPr>
            </w:pPr>
            <w:r w:rsidRPr="00046DA5">
              <w:rPr>
                <w:rFonts w:cs="Arial"/>
                <w:color w:val="000000"/>
                <w:szCs w:val="20"/>
              </w:rPr>
              <w:t xml:space="preserve">0.0010 </w:t>
            </w:r>
          </w:p>
        </w:tc>
      </w:tr>
    </w:tbl>
    <w:p w14:paraId="7C0AF5BA" w14:textId="77777777" w:rsidR="00B83419" w:rsidRPr="00046DA5" w:rsidRDefault="00B83419" w:rsidP="00B83419">
      <w:pPr>
        <w:pStyle w:val="ACMASpaceaftertable"/>
      </w:pPr>
    </w:p>
    <w:p w14:paraId="4B81EB7D" w14:textId="77777777" w:rsidR="00B83419" w:rsidRPr="00046DA5" w:rsidRDefault="00B83419" w:rsidP="00B83419">
      <w:pPr>
        <w:pStyle w:val="Heading2"/>
      </w:pPr>
      <w:bookmarkStart w:id="68" w:name="_Toc33758220"/>
      <w:r w:rsidRPr="00046DA5">
        <w:lastRenderedPageBreak/>
        <w:t>Adjustment factor</w:t>
      </w:r>
      <w:bookmarkEnd w:id="68"/>
    </w:p>
    <w:p w14:paraId="5233EB42" w14:textId="77777777" w:rsidR="00B83419" w:rsidRPr="00046DA5" w:rsidRDefault="00B83419" w:rsidP="00B83419">
      <w:pPr>
        <w:keepNext/>
        <w:keepLines/>
        <w:rPr>
          <w:rFonts w:cs="Arial"/>
        </w:rPr>
      </w:pPr>
      <w:r w:rsidRPr="00046DA5">
        <w:rPr>
          <w:rFonts w:cs="Arial"/>
        </w:rPr>
        <w:t>There are five adjustment factors that modify the tax levels of some licensing options. This introduces the flexibility to vary taxes according to parameters that are not included in the tax formula.</w:t>
      </w:r>
    </w:p>
    <w:p w14:paraId="2CD51C71" w14:textId="77777777" w:rsidR="00B83419" w:rsidRPr="00046DA5" w:rsidRDefault="00B83419" w:rsidP="00B83419">
      <w:pPr>
        <w:pStyle w:val="ACMATableHeader"/>
        <w:keepNext/>
        <w:keepLines/>
        <w:tabs>
          <w:tab w:val="clear" w:pos="964"/>
          <w:tab w:val="left" w:pos="851"/>
          <w:tab w:val="num" w:pos="1247"/>
        </w:tabs>
        <w:ind w:left="851" w:hanging="851"/>
      </w:pPr>
      <w:r w:rsidRPr="00046DA5">
        <w:t>Adjustment factor</w:t>
      </w:r>
    </w:p>
    <w:tbl>
      <w:tblPr>
        <w:tblW w:w="4864" w:type="pct"/>
        <w:tblLayout w:type="fixed"/>
        <w:tblCellMar>
          <w:top w:w="57" w:type="dxa"/>
          <w:left w:w="57" w:type="dxa"/>
          <w:bottom w:w="57" w:type="dxa"/>
          <w:right w:w="57" w:type="dxa"/>
        </w:tblCellMar>
        <w:tblLook w:val="01E0" w:firstRow="1" w:lastRow="1" w:firstColumn="1" w:lastColumn="1" w:noHBand="0" w:noVBand="0"/>
      </w:tblPr>
      <w:tblGrid>
        <w:gridCol w:w="1130"/>
        <w:gridCol w:w="2605"/>
        <w:gridCol w:w="1789"/>
        <w:gridCol w:w="1929"/>
      </w:tblGrid>
      <w:tr w:rsidR="00B83419" w:rsidRPr="00046DA5" w14:paraId="1CDFCFF7" w14:textId="77777777" w:rsidTr="00C57345">
        <w:tc>
          <w:tcPr>
            <w:tcW w:w="1130"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06B0F040" w14:textId="77777777" w:rsidR="00B83419" w:rsidRPr="00046DA5" w:rsidRDefault="00B83419" w:rsidP="00B030DB">
            <w:pPr>
              <w:pStyle w:val="TableHeading0"/>
              <w:keepNext/>
              <w:keepLines/>
              <w:rPr>
                <w:color w:val="FFFFFF" w:themeColor="background1"/>
              </w:rPr>
            </w:pPr>
            <w:r w:rsidRPr="00046DA5">
              <w:rPr>
                <w:color w:val="FFFFFF" w:themeColor="background1"/>
              </w:rPr>
              <w:t>Division</w:t>
            </w:r>
          </w:p>
        </w:tc>
        <w:tc>
          <w:tcPr>
            <w:tcW w:w="2605"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4CFD6885" w14:textId="77777777" w:rsidR="00B83419" w:rsidRPr="00046DA5" w:rsidRDefault="00B83419" w:rsidP="00B030DB">
            <w:pPr>
              <w:pStyle w:val="TableHeading0"/>
              <w:keepNext/>
              <w:keepLines/>
              <w:rPr>
                <w:color w:val="FFFFFF" w:themeColor="background1"/>
              </w:rPr>
            </w:pPr>
            <w:r w:rsidRPr="00046DA5">
              <w:rPr>
                <w:color w:val="FFFFFF" w:themeColor="background1"/>
              </w:rPr>
              <w:t>Licensing option</w:t>
            </w:r>
          </w:p>
        </w:tc>
        <w:tc>
          <w:tcPr>
            <w:tcW w:w="1789"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309F82AB" w14:textId="77777777" w:rsidR="00B83419" w:rsidRPr="00046DA5" w:rsidRDefault="00B83419" w:rsidP="00B030DB">
            <w:pPr>
              <w:pStyle w:val="TableHeading0"/>
              <w:keepNext/>
              <w:keepLines/>
              <w:rPr>
                <w:color w:val="FFFFFF" w:themeColor="background1"/>
              </w:rPr>
            </w:pPr>
            <w:r w:rsidRPr="00046DA5">
              <w:rPr>
                <w:color w:val="FFFFFF" w:themeColor="background1"/>
              </w:rPr>
              <w:t>Frequency/Notes</w:t>
            </w:r>
          </w:p>
        </w:tc>
        <w:tc>
          <w:tcPr>
            <w:tcW w:w="1929"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7264B77B" w14:textId="77777777" w:rsidR="00B83419" w:rsidRPr="00046DA5" w:rsidRDefault="00B83419" w:rsidP="00B030DB">
            <w:pPr>
              <w:pStyle w:val="TableHeading0"/>
              <w:keepNext/>
              <w:keepLines/>
              <w:rPr>
                <w:color w:val="FFFFFF" w:themeColor="background1"/>
              </w:rPr>
            </w:pPr>
            <w:r w:rsidRPr="00046DA5">
              <w:rPr>
                <w:color w:val="FFFFFF" w:themeColor="background1"/>
              </w:rPr>
              <w:t>Adjustment factor</w:t>
            </w:r>
          </w:p>
        </w:tc>
      </w:tr>
      <w:tr w:rsidR="00B83419" w:rsidRPr="00046DA5" w14:paraId="501E99E6" w14:textId="77777777" w:rsidTr="00C57345">
        <w:tc>
          <w:tcPr>
            <w:tcW w:w="1130" w:type="dxa"/>
            <w:tcBorders>
              <w:top w:val="single" w:sz="4" w:space="0" w:color="auto"/>
              <w:left w:val="single" w:sz="4" w:space="0" w:color="auto"/>
              <w:bottom w:val="single" w:sz="4" w:space="0" w:color="auto"/>
              <w:right w:val="single" w:sz="4" w:space="0" w:color="auto"/>
            </w:tcBorders>
          </w:tcPr>
          <w:p w14:paraId="5139E7F5" w14:textId="77777777" w:rsidR="00B83419" w:rsidRPr="00046DA5" w:rsidRDefault="00B83419" w:rsidP="00B030DB">
            <w:pPr>
              <w:pStyle w:val="TableBody"/>
              <w:keepNext/>
              <w:keepLines/>
              <w:spacing w:after="120"/>
              <w:rPr>
                <w:rFonts w:cs="Arial"/>
              </w:rPr>
            </w:pPr>
            <w:r w:rsidRPr="00046DA5">
              <w:rPr>
                <w:rFonts w:cs="Arial"/>
              </w:rPr>
              <w:t>Division 1</w:t>
            </w:r>
          </w:p>
        </w:tc>
        <w:tc>
          <w:tcPr>
            <w:tcW w:w="2605" w:type="dxa"/>
            <w:tcBorders>
              <w:top w:val="single" w:sz="4" w:space="0" w:color="auto"/>
              <w:left w:val="single" w:sz="4" w:space="0" w:color="auto"/>
              <w:bottom w:val="single" w:sz="4" w:space="0" w:color="auto"/>
              <w:right w:val="single" w:sz="4" w:space="0" w:color="auto"/>
            </w:tcBorders>
            <w:shd w:val="clear" w:color="auto" w:fill="auto"/>
          </w:tcPr>
          <w:p w14:paraId="358488CE" w14:textId="77777777" w:rsidR="00B83419" w:rsidRPr="00046DA5" w:rsidRDefault="00B83419" w:rsidP="00B030DB">
            <w:pPr>
              <w:pStyle w:val="TableBody"/>
              <w:keepNext/>
              <w:keepLines/>
              <w:rPr>
                <w:rFonts w:cs="Arial"/>
                <w:color w:val="000000" w:themeColor="text1"/>
              </w:rPr>
            </w:pPr>
            <w:r w:rsidRPr="00046DA5">
              <w:rPr>
                <w:rFonts w:cs="Arial"/>
                <w:color w:val="000000" w:themeColor="text1"/>
              </w:rPr>
              <w:t>Most licensing options</w:t>
            </w:r>
          </w:p>
        </w:tc>
        <w:tc>
          <w:tcPr>
            <w:tcW w:w="1789" w:type="dxa"/>
            <w:tcBorders>
              <w:top w:val="single" w:sz="4" w:space="0" w:color="auto"/>
              <w:left w:val="single" w:sz="4" w:space="0" w:color="auto"/>
              <w:bottom w:val="single" w:sz="4" w:space="0" w:color="auto"/>
              <w:right w:val="single" w:sz="4" w:space="0" w:color="auto"/>
            </w:tcBorders>
            <w:shd w:val="clear" w:color="auto" w:fill="auto"/>
          </w:tcPr>
          <w:p w14:paraId="388128C5" w14:textId="77777777" w:rsidR="00B83419" w:rsidRPr="00046DA5" w:rsidRDefault="00B83419" w:rsidP="00B030DB">
            <w:pPr>
              <w:pStyle w:val="TableBody"/>
              <w:keepNext/>
              <w:keepLines/>
              <w:rPr>
                <w:rFonts w:cs="Arial"/>
                <w:color w:val="000000" w:themeColor="text1"/>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14:paraId="4E05D08D" w14:textId="77777777" w:rsidR="00B83419" w:rsidRPr="00046DA5" w:rsidRDefault="00B83419" w:rsidP="00B030DB">
            <w:pPr>
              <w:pStyle w:val="TableBody"/>
              <w:keepNext/>
              <w:keepLines/>
              <w:rPr>
                <w:rFonts w:cs="Arial"/>
                <w:color w:val="000000" w:themeColor="text1"/>
              </w:rPr>
            </w:pPr>
            <w:r w:rsidRPr="00046DA5">
              <w:rPr>
                <w:rFonts w:cs="Arial"/>
                <w:color w:val="000000" w:themeColor="text1"/>
              </w:rPr>
              <w:t>1</w:t>
            </w:r>
          </w:p>
        </w:tc>
      </w:tr>
      <w:tr w:rsidR="004B6A49" w:rsidRPr="00046DA5" w14:paraId="0BBA324C" w14:textId="77777777" w:rsidTr="002153C2">
        <w:tc>
          <w:tcPr>
            <w:tcW w:w="1130" w:type="dxa"/>
            <w:vMerge w:val="restart"/>
            <w:tcBorders>
              <w:top w:val="single" w:sz="4" w:space="0" w:color="auto"/>
              <w:left w:val="single" w:sz="4" w:space="0" w:color="auto"/>
              <w:right w:val="single" w:sz="4" w:space="0" w:color="auto"/>
            </w:tcBorders>
          </w:tcPr>
          <w:p w14:paraId="4102DCE1" w14:textId="77777777" w:rsidR="004B6A49" w:rsidRPr="00046DA5" w:rsidRDefault="004B6A49" w:rsidP="00B030DB">
            <w:pPr>
              <w:pStyle w:val="TableBody"/>
              <w:keepNext/>
              <w:keepLines/>
              <w:rPr>
                <w:rFonts w:cs="Arial"/>
              </w:rPr>
            </w:pPr>
            <w:r w:rsidRPr="00046DA5">
              <w:rPr>
                <w:rFonts w:cs="Arial"/>
              </w:rPr>
              <w:t>Division 2</w:t>
            </w:r>
          </w:p>
        </w:tc>
        <w:tc>
          <w:tcPr>
            <w:tcW w:w="2605" w:type="dxa"/>
            <w:vMerge w:val="restart"/>
            <w:tcBorders>
              <w:top w:val="single" w:sz="4" w:space="0" w:color="auto"/>
              <w:left w:val="single" w:sz="4" w:space="0" w:color="auto"/>
              <w:right w:val="single" w:sz="4" w:space="0" w:color="auto"/>
            </w:tcBorders>
            <w:shd w:val="clear" w:color="auto" w:fill="auto"/>
          </w:tcPr>
          <w:p w14:paraId="25E072CA" w14:textId="77777777" w:rsidR="004B6A49" w:rsidRPr="00046DA5" w:rsidRDefault="004B6A49" w:rsidP="00B030DB">
            <w:pPr>
              <w:pStyle w:val="TableBody"/>
              <w:keepNext/>
              <w:keepLines/>
              <w:rPr>
                <w:rFonts w:cs="Arial"/>
                <w:color w:val="000000" w:themeColor="text1"/>
              </w:rPr>
            </w:pPr>
            <w:r w:rsidRPr="00046DA5">
              <w:rPr>
                <w:rFonts w:cs="Arial"/>
                <w:color w:val="000000" w:themeColor="text1"/>
              </w:rPr>
              <w:t>Fixed point-to-point</w:t>
            </w:r>
          </w:p>
        </w:tc>
        <w:tc>
          <w:tcPr>
            <w:tcW w:w="1789" w:type="dxa"/>
            <w:tcBorders>
              <w:top w:val="single" w:sz="4" w:space="0" w:color="auto"/>
              <w:left w:val="single" w:sz="4" w:space="0" w:color="auto"/>
              <w:bottom w:val="single" w:sz="4" w:space="0" w:color="auto"/>
              <w:right w:val="single" w:sz="4" w:space="0" w:color="auto"/>
            </w:tcBorders>
            <w:shd w:val="clear" w:color="auto" w:fill="auto"/>
          </w:tcPr>
          <w:p w14:paraId="2EA07B10" w14:textId="77777777" w:rsidR="004B6A49" w:rsidRPr="00046DA5" w:rsidRDefault="004B6A49" w:rsidP="00B030DB">
            <w:pPr>
              <w:keepNext/>
              <w:keepLines/>
              <w:spacing w:after="0" w:line="240" w:lineRule="auto"/>
              <w:rPr>
                <w:rFonts w:cs="Arial"/>
                <w:color w:val="000000"/>
                <w:szCs w:val="20"/>
              </w:rPr>
            </w:pPr>
            <w:r w:rsidRPr="00046DA5">
              <w:rPr>
                <w:rFonts w:cs="Arial"/>
                <w:color w:val="000000"/>
                <w:szCs w:val="20"/>
              </w:rPr>
              <w:t>Below 960 MHz (Note 1)</w:t>
            </w:r>
          </w:p>
        </w:tc>
        <w:tc>
          <w:tcPr>
            <w:tcW w:w="1929" w:type="dxa"/>
            <w:tcBorders>
              <w:top w:val="single" w:sz="4" w:space="0" w:color="auto"/>
              <w:left w:val="single" w:sz="4" w:space="0" w:color="auto"/>
              <w:bottom w:val="single" w:sz="4" w:space="0" w:color="auto"/>
              <w:right w:val="single" w:sz="4" w:space="0" w:color="auto"/>
            </w:tcBorders>
            <w:shd w:val="clear" w:color="auto" w:fill="auto"/>
          </w:tcPr>
          <w:p w14:paraId="5D9DD9D2" w14:textId="77777777" w:rsidR="004B6A49" w:rsidRPr="00046DA5" w:rsidRDefault="004B6A49" w:rsidP="00B030DB">
            <w:pPr>
              <w:keepNext/>
              <w:keepLines/>
              <w:spacing w:after="0" w:line="240" w:lineRule="auto"/>
              <w:rPr>
                <w:rFonts w:cs="Arial"/>
                <w:color w:val="000000"/>
                <w:szCs w:val="20"/>
              </w:rPr>
            </w:pPr>
            <w:r w:rsidRPr="00046DA5">
              <w:rPr>
                <w:rFonts w:cs="Arial"/>
                <w:color w:val="000000"/>
                <w:szCs w:val="20"/>
              </w:rPr>
              <w:t xml:space="preserve">18.484115 </w:t>
            </w:r>
          </w:p>
        </w:tc>
      </w:tr>
      <w:tr w:rsidR="004B6A49" w:rsidRPr="00046DA5" w14:paraId="0C1EE793" w14:textId="77777777" w:rsidTr="002153C2">
        <w:tc>
          <w:tcPr>
            <w:tcW w:w="1130" w:type="dxa"/>
            <w:vMerge/>
            <w:tcBorders>
              <w:left w:val="single" w:sz="4" w:space="0" w:color="auto"/>
              <w:bottom w:val="single" w:sz="4" w:space="0" w:color="auto"/>
              <w:right w:val="single" w:sz="4" w:space="0" w:color="auto"/>
            </w:tcBorders>
          </w:tcPr>
          <w:p w14:paraId="01283B65" w14:textId="77777777" w:rsidR="004B6A49" w:rsidRPr="00046DA5" w:rsidRDefault="004B6A49" w:rsidP="00B030DB">
            <w:pPr>
              <w:pStyle w:val="TableBody"/>
              <w:keepNext/>
              <w:keepLines/>
              <w:rPr>
                <w:rFonts w:cs="Arial"/>
              </w:rPr>
            </w:pPr>
          </w:p>
        </w:tc>
        <w:tc>
          <w:tcPr>
            <w:tcW w:w="2605" w:type="dxa"/>
            <w:vMerge/>
            <w:tcBorders>
              <w:left w:val="single" w:sz="4" w:space="0" w:color="auto"/>
              <w:bottom w:val="single" w:sz="4" w:space="0" w:color="auto"/>
              <w:right w:val="single" w:sz="4" w:space="0" w:color="auto"/>
            </w:tcBorders>
            <w:shd w:val="clear" w:color="auto" w:fill="auto"/>
          </w:tcPr>
          <w:p w14:paraId="7F7B447D" w14:textId="77777777" w:rsidR="004B6A49" w:rsidRPr="00046DA5" w:rsidRDefault="004B6A49" w:rsidP="00B030DB">
            <w:pPr>
              <w:pStyle w:val="TableBody"/>
              <w:keepNext/>
              <w:keepLines/>
              <w:rPr>
                <w:rFonts w:cs="Arial"/>
                <w:color w:val="000000" w:themeColor="text1"/>
              </w:rPr>
            </w:pPr>
          </w:p>
        </w:tc>
        <w:tc>
          <w:tcPr>
            <w:tcW w:w="1789" w:type="dxa"/>
            <w:tcBorders>
              <w:top w:val="single" w:sz="4" w:space="0" w:color="auto"/>
              <w:left w:val="single" w:sz="4" w:space="0" w:color="auto"/>
              <w:bottom w:val="single" w:sz="4" w:space="0" w:color="auto"/>
              <w:right w:val="single" w:sz="4" w:space="0" w:color="auto"/>
            </w:tcBorders>
            <w:shd w:val="clear" w:color="auto" w:fill="auto"/>
          </w:tcPr>
          <w:p w14:paraId="36FF7575" w14:textId="77777777" w:rsidR="004B6A49" w:rsidRPr="00046DA5" w:rsidRDefault="004B6A49" w:rsidP="00B030DB">
            <w:pPr>
              <w:pStyle w:val="TableBody"/>
              <w:keepNext/>
              <w:keepLines/>
              <w:rPr>
                <w:rFonts w:cs="Arial"/>
                <w:color w:val="000000" w:themeColor="text1"/>
              </w:rPr>
            </w:pPr>
            <w:r w:rsidRPr="00046DA5">
              <w:rPr>
                <w:rFonts w:cs="Arial"/>
                <w:color w:val="000000" w:themeColor="text1"/>
              </w:rPr>
              <w:t>Above 960 MHz (Note 2)</w:t>
            </w:r>
          </w:p>
        </w:tc>
        <w:tc>
          <w:tcPr>
            <w:tcW w:w="1929" w:type="dxa"/>
            <w:tcBorders>
              <w:top w:val="single" w:sz="4" w:space="0" w:color="auto"/>
              <w:left w:val="single" w:sz="4" w:space="0" w:color="auto"/>
              <w:bottom w:val="single" w:sz="4" w:space="0" w:color="auto"/>
              <w:right w:val="single" w:sz="4" w:space="0" w:color="auto"/>
            </w:tcBorders>
            <w:shd w:val="clear" w:color="auto" w:fill="auto"/>
          </w:tcPr>
          <w:p w14:paraId="0149ED3D" w14:textId="77777777" w:rsidR="004B6A49" w:rsidRPr="00046DA5" w:rsidRDefault="004B6A49" w:rsidP="00B030DB">
            <w:pPr>
              <w:keepNext/>
              <w:keepLines/>
              <w:spacing w:after="0" w:line="240" w:lineRule="auto"/>
            </w:pPr>
            <w:r w:rsidRPr="00046DA5">
              <w:rPr>
                <w:rFonts w:cs="Arial"/>
                <w:color w:val="000000"/>
                <w:szCs w:val="20"/>
              </w:rPr>
              <w:t xml:space="preserve">0.436933 </w:t>
            </w:r>
          </w:p>
        </w:tc>
      </w:tr>
      <w:tr w:rsidR="004B6A49" w:rsidRPr="00046DA5" w14:paraId="4270574A" w14:textId="77777777" w:rsidTr="002153C2">
        <w:tc>
          <w:tcPr>
            <w:tcW w:w="1130" w:type="dxa"/>
            <w:vMerge w:val="restart"/>
            <w:tcBorders>
              <w:top w:val="single" w:sz="4" w:space="0" w:color="auto"/>
              <w:left w:val="single" w:sz="4" w:space="0" w:color="auto"/>
              <w:right w:val="single" w:sz="4" w:space="0" w:color="auto"/>
            </w:tcBorders>
          </w:tcPr>
          <w:p w14:paraId="18A69E8A" w14:textId="77777777" w:rsidR="004B6A49" w:rsidRPr="00046DA5" w:rsidRDefault="004B6A49" w:rsidP="00B030DB">
            <w:pPr>
              <w:pStyle w:val="TableBody"/>
              <w:keepNext/>
              <w:keepLines/>
              <w:rPr>
                <w:rFonts w:cs="Arial"/>
              </w:rPr>
            </w:pPr>
            <w:r w:rsidRPr="00046DA5">
              <w:rPr>
                <w:rFonts w:cs="Arial"/>
              </w:rPr>
              <w:t>Division 3</w:t>
            </w:r>
          </w:p>
        </w:tc>
        <w:tc>
          <w:tcPr>
            <w:tcW w:w="2605" w:type="dxa"/>
            <w:vMerge w:val="restart"/>
            <w:tcBorders>
              <w:top w:val="single" w:sz="4" w:space="0" w:color="auto"/>
              <w:left w:val="single" w:sz="4" w:space="0" w:color="auto"/>
              <w:right w:val="single" w:sz="4" w:space="0" w:color="auto"/>
            </w:tcBorders>
            <w:shd w:val="clear" w:color="auto" w:fill="auto"/>
          </w:tcPr>
          <w:p w14:paraId="4B1CD296" w14:textId="77777777" w:rsidR="004B6A49" w:rsidRPr="00046DA5" w:rsidRDefault="004B6A49" w:rsidP="00B030DB">
            <w:pPr>
              <w:pStyle w:val="TableBody"/>
              <w:keepNext/>
              <w:keepLines/>
              <w:rPr>
                <w:rFonts w:cs="Arial"/>
                <w:color w:val="000000" w:themeColor="text1"/>
              </w:rPr>
            </w:pPr>
            <w:r w:rsidRPr="00046DA5">
              <w:rPr>
                <w:rFonts w:cs="Arial"/>
                <w:color w:val="000000" w:themeColor="text1"/>
              </w:rPr>
              <w:t>Fixed point-to-multipoint</w:t>
            </w:r>
          </w:p>
        </w:tc>
        <w:tc>
          <w:tcPr>
            <w:tcW w:w="1789" w:type="dxa"/>
            <w:tcBorders>
              <w:top w:val="single" w:sz="4" w:space="0" w:color="auto"/>
              <w:left w:val="single" w:sz="4" w:space="0" w:color="auto"/>
              <w:bottom w:val="single" w:sz="4" w:space="0" w:color="auto"/>
              <w:right w:val="single" w:sz="4" w:space="0" w:color="auto"/>
            </w:tcBorders>
            <w:shd w:val="clear" w:color="auto" w:fill="auto"/>
          </w:tcPr>
          <w:p w14:paraId="2BC79A66" w14:textId="77777777" w:rsidR="004B6A49" w:rsidRPr="00046DA5" w:rsidRDefault="004B6A49" w:rsidP="00B030DB">
            <w:pPr>
              <w:pStyle w:val="TableBody"/>
              <w:keepNext/>
              <w:keepLines/>
              <w:rPr>
                <w:rFonts w:cs="Arial"/>
                <w:color w:val="000000" w:themeColor="text1"/>
              </w:rPr>
            </w:pPr>
            <w:r w:rsidRPr="00046DA5">
              <w:rPr>
                <w:rFonts w:cs="Arial"/>
                <w:color w:val="000000" w:themeColor="text1"/>
              </w:rPr>
              <w:t>Below 960 MHz (Note 1)</w:t>
            </w:r>
          </w:p>
        </w:tc>
        <w:tc>
          <w:tcPr>
            <w:tcW w:w="1929" w:type="dxa"/>
            <w:tcBorders>
              <w:top w:val="single" w:sz="4" w:space="0" w:color="auto"/>
              <w:left w:val="single" w:sz="4" w:space="0" w:color="auto"/>
              <w:bottom w:val="single" w:sz="4" w:space="0" w:color="auto"/>
              <w:right w:val="single" w:sz="4" w:space="0" w:color="auto"/>
            </w:tcBorders>
            <w:shd w:val="clear" w:color="auto" w:fill="auto"/>
          </w:tcPr>
          <w:p w14:paraId="237B0B61" w14:textId="77777777" w:rsidR="004B6A49" w:rsidRPr="00046DA5" w:rsidRDefault="004B6A49" w:rsidP="00B030DB">
            <w:pPr>
              <w:keepNext/>
              <w:keepLines/>
              <w:spacing w:after="0" w:line="240" w:lineRule="auto"/>
            </w:pPr>
            <w:r w:rsidRPr="00046DA5">
              <w:rPr>
                <w:rFonts w:cs="Arial"/>
                <w:color w:val="000000"/>
                <w:szCs w:val="20"/>
              </w:rPr>
              <w:t xml:space="preserve">73.93646 </w:t>
            </w:r>
          </w:p>
        </w:tc>
      </w:tr>
      <w:tr w:rsidR="004B6A49" w:rsidRPr="00046DA5" w14:paraId="59C64FE3" w14:textId="77777777" w:rsidTr="002153C2">
        <w:tc>
          <w:tcPr>
            <w:tcW w:w="1130" w:type="dxa"/>
            <w:vMerge/>
            <w:tcBorders>
              <w:left w:val="single" w:sz="4" w:space="0" w:color="auto"/>
              <w:bottom w:val="single" w:sz="4" w:space="0" w:color="auto"/>
              <w:right w:val="single" w:sz="4" w:space="0" w:color="auto"/>
            </w:tcBorders>
          </w:tcPr>
          <w:p w14:paraId="6AD17D8F" w14:textId="77777777" w:rsidR="004B6A49" w:rsidRPr="00046DA5" w:rsidRDefault="004B6A49" w:rsidP="00B030DB">
            <w:pPr>
              <w:pStyle w:val="TableBody"/>
              <w:keepNext/>
              <w:keepLines/>
              <w:rPr>
                <w:rFonts w:cs="Arial"/>
              </w:rPr>
            </w:pPr>
          </w:p>
        </w:tc>
        <w:tc>
          <w:tcPr>
            <w:tcW w:w="2605" w:type="dxa"/>
            <w:vMerge/>
            <w:tcBorders>
              <w:left w:val="single" w:sz="4" w:space="0" w:color="auto"/>
              <w:bottom w:val="single" w:sz="4" w:space="0" w:color="auto"/>
              <w:right w:val="single" w:sz="4" w:space="0" w:color="auto"/>
            </w:tcBorders>
            <w:shd w:val="clear" w:color="auto" w:fill="auto"/>
          </w:tcPr>
          <w:p w14:paraId="01CAC253" w14:textId="77777777" w:rsidR="004B6A49" w:rsidRPr="00046DA5" w:rsidRDefault="004B6A49" w:rsidP="00B030DB">
            <w:pPr>
              <w:pStyle w:val="TableBody"/>
              <w:keepNext/>
              <w:keepLines/>
              <w:rPr>
                <w:rFonts w:cs="Arial"/>
                <w:color w:val="000000" w:themeColor="text1"/>
              </w:rPr>
            </w:pPr>
          </w:p>
        </w:tc>
        <w:tc>
          <w:tcPr>
            <w:tcW w:w="1789" w:type="dxa"/>
            <w:tcBorders>
              <w:top w:val="single" w:sz="4" w:space="0" w:color="auto"/>
              <w:left w:val="single" w:sz="4" w:space="0" w:color="auto"/>
              <w:bottom w:val="single" w:sz="4" w:space="0" w:color="auto"/>
              <w:right w:val="single" w:sz="4" w:space="0" w:color="auto"/>
            </w:tcBorders>
            <w:shd w:val="clear" w:color="auto" w:fill="auto"/>
          </w:tcPr>
          <w:p w14:paraId="5A8DA8DE" w14:textId="77777777" w:rsidR="004B6A49" w:rsidRPr="00046DA5" w:rsidRDefault="004B6A49" w:rsidP="00B030DB">
            <w:pPr>
              <w:pStyle w:val="TableBody"/>
              <w:keepNext/>
              <w:keepLines/>
              <w:rPr>
                <w:rFonts w:cs="Arial"/>
                <w:color w:val="000000" w:themeColor="text1"/>
              </w:rPr>
            </w:pPr>
            <w:r w:rsidRPr="00046DA5">
              <w:rPr>
                <w:rFonts w:cs="Arial"/>
                <w:color w:val="000000" w:themeColor="text1"/>
              </w:rPr>
              <w:t>Above 960 MHz (Note 2)</w:t>
            </w:r>
          </w:p>
        </w:tc>
        <w:tc>
          <w:tcPr>
            <w:tcW w:w="1929" w:type="dxa"/>
            <w:tcBorders>
              <w:top w:val="single" w:sz="4" w:space="0" w:color="auto"/>
              <w:left w:val="single" w:sz="4" w:space="0" w:color="auto"/>
              <w:bottom w:val="single" w:sz="4" w:space="0" w:color="auto"/>
              <w:right w:val="single" w:sz="4" w:space="0" w:color="auto"/>
            </w:tcBorders>
            <w:shd w:val="clear" w:color="auto" w:fill="auto"/>
          </w:tcPr>
          <w:p w14:paraId="079427C4" w14:textId="77777777" w:rsidR="004B6A49" w:rsidRPr="00046DA5" w:rsidRDefault="004B6A49" w:rsidP="00B030DB">
            <w:pPr>
              <w:keepNext/>
              <w:keepLines/>
              <w:spacing w:after="0" w:line="240" w:lineRule="auto"/>
            </w:pPr>
            <w:r w:rsidRPr="00046DA5">
              <w:rPr>
                <w:rFonts w:cs="Arial"/>
                <w:color w:val="000000"/>
                <w:szCs w:val="20"/>
              </w:rPr>
              <w:t xml:space="preserve">0.436933 </w:t>
            </w:r>
          </w:p>
        </w:tc>
      </w:tr>
      <w:tr w:rsidR="00B83419" w:rsidRPr="00046DA5" w14:paraId="6284595B" w14:textId="77777777" w:rsidTr="00C57345">
        <w:tc>
          <w:tcPr>
            <w:tcW w:w="1130" w:type="dxa"/>
            <w:vMerge w:val="restart"/>
            <w:tcBorders>
              <w:top w:val="single" w:sz="4" w:space="0" w:color="auto"/>
              <w:left w:val="single" w:sz="4" w:space="0" w:color="auto"/>
              <w:right w:val="single" w:sz="4" w:space="0" w:color="auto"/>
            </w:tcBorders>
          </w:tcPr>
          <w:p w14:paraId="27F38E75" w14:textId="77777777" w:rsidR="00B83419" w:rsidRPr="00046DA5" w:rsidRDefault="00B83419" w:rsidP="00B030DB">
            <w:pPr>
              <w:pStyle w:val="TableBody"/>
              <w:keepNext/>
              <w:keepLines/>
              <w:rPr>
                <w:rFonts w:cs="Arial"/>
              </w:rPr>
            </w:pPr>
            <w:r w:rsidRPr="00046DA5">
              <w:rPr>
                <w:rFonts w:cs="Arial"/>
              </w:rPr>
              <w:t>Division 4</w:t>
            </w:r>
          </w:p>
        </w:tc>
        <w:tc>
          <w:tcPr>
            <w:tcW w:w="2605" w:type="dxa"/>
            <w:tcBorders>
              <w:top w:val="single" w:sz="4" w:space="0" w:color="auto"/>
              <w:left w:val="single" w:sz="4" w:space="0" w:color="auto"/>
              <w:bottom w:val="single" w:sz="4" w:space="0" w:color="auto"/>
              <w:right w:val="single" w:sz="4" w:space="0" w:color="auto"/>
            </w:tcBorders>
            <w:shd w:val="clear" w:color="auto" w:fill="auto"/>
          </w:tcPr>
          <w:p w14:paraId="45ACF3EC" w14:textId="77777777" w:rsidR="00B83419" w:rsidRPr="00046DA5" w:rsidRDefault="00B83419" w:rsidP="00B030DB">
            <w:pPr>
              <w:pStyle w:val="TableBody"/>
              <w:keepNext/>
              <w:keepLines/>
              <w:rPr>
                <w:rFonts w:cs="Arial"/>
                <w:color w:val="000000" w:themeColor="text1"/>
              </w:rPr>
            </w:pPr>
            <w:r w:rsidRPr="00046DA5">
              <w:rPr>
                <w:rFonts w:cs="Arial"/>
                <w:color w:val="000000" w:themeColor="text1"/>
              </w:rPr>
              <w:t>Licences in high demand frequency bands</w:t>
            </w:r>
          </w:p>
        </w:tc>
        <w:tc>
          <w:tcPr>
            <w:tcW w:w="1789" w:type="dxa"/>
            <w:tcBorders>
              <w:top w:val="single" w:sz="4" w:space="0" w:color="auto"/>
              <w:left w:val="single" w:sz="4" w:space="0" w:color="auto"/>
              <w:bottom w:val="single" w:sz="4" w:space="0" w:color="auto"/>
              <w:right w:val="single" w:sz="4" w:space="0" w:color="auto"/>
            </w:tcBorders>
            <w:shd w:val="clear" w:color="auto" w:fill="auto"/>
          </w:tcPr>
          <w:p w14:paraId="17168146" w14:textId="77777777" w:rsidR="00B83419" w:rsidRPr="00046DA5" w:rsidRDefault="00B83419" w:rsidP="00B030DB">
            <w:pPr>
              <w:pStyle w:val="TableBody"/>
              <w:keepNext/>
              <w:keepLines/>
              <w:rPr>
                <w:rFonts w:cs="Arial"/>
                <w:color w:val="000000" w:themeColor="text1"/>
              </w:rPr>
            </w:pPr>
            <w:r w:rsidRPr="00046DA5">
              <w:rPr>
                <w:rFonts w:cs="Arial"/>
                <w:color w:val="000000" w:themeColor="text1"/>
              </w:rPr>
              <w:t>(Note 3)</w:t>
            </w:r>
          </w:p>
        </w:tc>
        <w:tc>
          <w:tcPr>
            <w:tcW w:w="1929" w:type="dxa"/>
            <w:tcBorders>
              <w:top w:val="single" w:sz="4" w:space="0" w:color="auto"/>
              <w:left w:val="single" w:sz="4" w:space="0" w:color="auto"/>
              <w:bottom w:val="single" w:sz="4" w:space="0" w:color="auto"/>
              <w:right w:val="single" w:sz="4" w:space="0" w:color="auto"/>
            </w:tcBorders>
            <w:shd w:val="clear" w:color="auto" w:fill="auto"/>
          </w:tcPr>
          <w:p w14:paraId="556A1A6B" w14:textId="77777777" w:rsidR="00B83419" w:rsidRPr="00046DA5" w:rsidRDefault="00B83419" w:rsidP="00B030DB">
            <w:pPr>
              <w:keepNext/>
              <w:keepLines/>
              <w:spacing w:after="0" w:line="240" w:lineRule="auto"/>
            </w:pPr>
            <w:r w:rsidRPr="00046DA5">
              <w:rPr>
                <w:rFonts w:cs="Arial"/>
                <w:color w:val="000000"/>
                <w:szCs w:val="20"/>
              </w:rPr>
              <w:t xml:space="preserve">73.93646 </w:t>
            </w:r>
          </w:p>
        </w:tc>
      </w:tr>
      <w:tr w:rsidR="00B83419" w:rsidRPr="00046DA5" w14:paraId="2927B799" w14:textId="77777777" w:rsidTr="00C57345">
        <w:tc>
          <w:tcPr>
            <w:tcW w:w="1130" w:type="dxa"/>
            <w:vMerge/>
            <w:tcBorders>
              <w:left w:val="single" w:sz="4" w:space="0" w:color="auto"/>
              <w:bottom w:val="single" w:sz="4" w:space="0" w:color="auto"/>
              <w:right w:val="single" w:sz="4" w:space="0" w:color="auto"/>
            </w:tcBorders>
          </w:tcPr>
          <w:p w14:paraId="0A64D3C6" w14:textId="77777777" w:rsidR="00B83419" w:rsidRPr="00046DA5" w:rsidRDefault="00B83419" w:rsidP="00B030DB">
            <w:pPr>
              <w:pStyle w:val="TableBody"/>
              <w:keepNext/>
              <w:keepLines/>
              <w:rPr>
                <w:rFonts w:cs="Arial"/>
              </w:rPr>
            </w:pPr>
          </w:p>
        </w:tc>
        <w:tc>
          <w:tcPr>
            <w:tcW w:w="2605" w:type="dxa"/>
            <w:tcBorders>
              <w:top w:val="single" w:sz="4" w:space="0" w:color="auto"/>
              <w:left w:val="single" w:sz="4" w:space="0" w:color="auto"/>
              <w:bottom w:val="single" w:sz="4" w:space="0" w:color="auto"/>
              <w:right w:val="single" w:sz="4" w:space="0" w:color="auto"/>
            </w:tcBorders>
            <w:shd w:val="clear" w:color="auto" w:fill="auto"/>
          </w:tcPr>
          <w:p w14:paraId="591D12FE" w14:textId="77777777" w:rsidR="00B83419" w:rsidRPr="00046DA5" w:rsidRDefault="00B83419" w:rsidP="00B030DB">
            <w:pPr>
              <w:pStyle w:val="TableBody"/>
              <w:keepNext/>
              <w:keepLines/>
              <w:rPr>
                <w:rFonts w:cs="Arial"/>
                <w:color w:val="000000" w:themeColor="text1"/>
              </w:rPr>
            </w:pPr>
            <w:r w:rsidRPr="00046DA5">
              <w:rPr>
                <w:rFonts w:cs="Arial"/>
                <w:color w:val="000000" w:themeColor="text1"/>
              </w:rPr>
              <w:t xml:space="preserve">All services in the </w:t>
            </w:r>
            <w:r w:rsidRPr="00046DA5">
              <w:rPr>
                <w:rFonts w:cs="Arial"/>
                <w:szCs w:val="20"/>
              </w:rPr>
              <w:t>403 to 520 MHz</w:t>
            </w:r>
            <w:r w:rsidRPr="00046DA5">
              <w:rPr>
                <w:rFonts w:cs="Arial"/>
                <w:color w:val="000000" w:themeColor="text1"/>
              </w:rPr>
              <w:t xml:space="preserve"> band except fixed television outside broadcast station (remote density areas)</w:t>
            </w:r>
          </w:p>
        </w:tc>
        <w:tc>
          <w:tcPr>
            <w:tcW w:w="1789" w:type="dxa"/>
            <w:tcBorders>
              <w:top w:val="single" w:sz="4" w:space="0" w:color="auto"/>
              <w:left w:val="single" w:sz="4" w:space="0" w:color="auto"/>
              <w:bottom w:val="single" w:sz="4" w:space="0" w:color="auto"/>
              <w:right w:val="single" w:sz="4" w:space="0" w:color="auto"/>
            </w:tcBorders>
            <w:shd w:val="clear" w:color="auto" w:fill="auto"/>
          </w:tcPr>
          <w:p w14:paraId="4B6E7FBA" w14:textId="53CDC317" w:rsidR="00B83419" w:rsidRPr="00046DA5" w:rsidRDefault="00B83419" w:rsidP="00B030DB">
            <w:pPr>
              <w:pStyle w:val="TableBody"/>
              <w:keepNext/>
              <w:keepLines/>
              <w:rPr>
                <w:rFonts w:cs="Arial"/>
                <w:color w:val="000000" w:themeColor="text1"/>
              </w:rPr>
            </w:pPr>
            <w:r w:rsidRPr="00046DA5">
              <w:rPr>
                <w:rFonts w:cs="Arial"/>
                <w:color w:val="000000" w:themeColor="text1"/>
              </w:rPr>
              <w:t xml:space="preserve">If remote density area </w:t>
            </w:r>
          </w:p>
          <w:p w14:paraId="6926DA29" w14:textId="77777777" w:rsidR="00B83419" w:rsidRPr="00046DA5" w:rsidRDefault="00B83419" w:rsidP="00B030DB">
            <w:pPr>
              <w:pStyle w:val="TableBody"/>
              <w:keepNext/>
              <w:keepLines/>
              <w:rPr>
                <w:rFonts w:cs="Arial"/>
                <w:color w:val="000000" w:themeColor="text1"/>
              </w:rPr>
            </w:pPr>
            <w:r w:rsidRPr="00046DA5">
              <w:rPr>
                <w:rFonts w:cs="Arial"/>
                <w:color w:val="000000" w:themeColor="text1"/>
              </w:rPr>
              <w:t>(Note 4)</w:t>
            </w:r>
          </w:p>
        </w:tc>
        <w:tc>
          <w:tcPr>
            <w:tcW w:w="1929" w:type="dxa"/>
            <w:tcBorders>
              <w:top w:val="single" w:sz="4" w:space="0" w:color="auto"/>
              <w:left w:val="single" w:sz="4" w:space="0" w:color="auto"/>
              <w:bottom w:val="single" w:sz="4" w:space="0" w:color="auto"/>
              <w:right w:val="single" w:sz="4" w:space="0" w:color="auto"/>
            </w:tcBorders>
            <w:shd w:val="clear" w:color="auto" w:fill="auto"/>
          </w:tcPr>
          <w:p w14:paraId="128C3DB3" w14:textId="77777777" w:rsidR="00B83419" w:rsidRPr="00046DA5" w:rsidRDefault="00B83419" w:rsidP="00B030DB">
            <w:pPr>
              <w:keepNext/>
              <w:keepLines/>
              <w:spacing w:after="0" w:line="240" w:lineRule="auto"/>
              <w:rPr>
                <w:rFonts w:cs="Arial"/>
                <w:color w:val="000000"/>
                <w:szCs w:val="20"/>
              </w:rPr>
            </w:pPr>
            <w:r w:rsidRPr="00046DA5">
              <w:rPr>
                <w:rFonts w:cs="Arial"/>
                <w:color w:val="000000"/>
                <w:szCs w:val="20"/>
              </w:rPr>
              <w:t>0</w:t>
            </w:r>
          </w:p>
        </w:tc>
      </w:tr>
      <w:tr w:rsidR="00B83419" w:rsidRPr="00046DA5" w14:paraId="2017AF17" w14:textId="77777777" w:rsidTr="00C57345">
        <w:tc>
          <w:tcPr>
            <w:tcW w:w="1130" w:type="dxa"/>
            <w:tcBorders>
              <w:top w:val="single" w:sz="4" w:space="0" w:color="auto"/>
              <w:left w:val="single" w:sz="4" w:space="0" w:color="auto"/>
              <w:bottom w:val="single" w:sz="4" w:space="0" w:color="auto"/>
              <w:right w:val="single" w:sz="4" w:space="0" w:color="auto"/>
            </w:tcBorders>
          </w:tcPr>
          <w:p w14:paraId="73BB2B91" w14:textId="77777777" w:rsidR="00B83419" w:rsidRPr="00046DA5" w:rsidRDefault="00B83419" w:rsidP="00B030DB">
            <w:pPr>
              <w:pStyle w:val="TableBody"/>
              <w:keepNext/>
              <w:keepLines/>
              <w:rPr>
                <w:rFonts w:cs="Arial"/>
              </w:rPr>
            </w:pPr>
            <w:r w:rsidRPr="00046DA5">
              <w:rPr>
                <w:rFonts w:cs="Arial"/>
              </w:rPr>
              <w:t>Division 5</w:t>
            </w:r>
          </w:p>
        </w:tc>
        <w:tc>
          <w:tcPr>
            <w:tcW w:w="2605" w:type="dxa"/>
            <w:tcBorders>
              <w:top w:val="single" w:sz="4" w:space="0" w:color="auto"/>
              <w:left w:val="single" w:sz="4" w:space="0" w:color="auto"/>
              <w:bottom w:val="single" w:sz="4" w:space="0" w:color="auto"/>
              <w:right w:val="single" w:sz="4" w:space="0" w:color="auto"/>
            </w:tcBorders>
            <w:shd w:val="clear" w:color="auto" w:fill="auto"/>
          </w:tcPr>
          <w:p w14:paraId="6E834259" w14:textId="77777777" w:rsidR="00B83419" w:rsidRPr="00046DA5" w:rsidRDefault="00B83419" w:rsidP="00B030DB">
            <w:pPr>
              <w:pStyle w:val="TableBody"/>
              <w:keepNext/>
              <w:keepLines/>
              <w:rPr>
                <w:rFonts w:cs="Arial"/>
                <w:color w:val="000000" w:themeColor="text1"/>
              </w:rPr>
            </w:pPr>
            <w:r w:rsidRPr="00046DA5">
              <w:rPr>
                <w:rFonts w:cs="Arial"/>
                <w:color w:val="000000" w:themeColor="text1"/>
              </w:rPr>
              <w:t>Television outside broadcast station (all geographic locations except high density areas)</w:t>
            </w:r>
          </w:p>
        </w:tc>
        <w:tc>
          <w:tcPr>
            <w:tcW w:w="1789" w:type="dxa"/>
            <w:tcBorders>
              <w:top w:val="single" w:sz="4" w:space="0" w:color="auto"/>
              <w:left w:val="single" w:sz="4" w:space="0" w:color="auto"/>
              <w:bottom w:val="single" w:sz="4" w:space="0" w:color="auto"/>
              <w:right w:val="single" w:sz="4" w:space="0" w:color="auto"/>
            </w:tcBorders>
            <w:shd w:val="clear" w:color="auto" w:fill="auto"/>
          </w:tcPr>
          <w:p w14:paraId="3C954718" w14:textId="77777777" w:rsidR="00B83419" w:rsidRPr="00046DA5" w:rsidRDefault="00B83419" w:rsidP="00B030DB">
            <w:pPr>
              <w:pStyle w:val="TableBody"/>
              <w:keepNext/>
              <w:keepLines/>
              <w:rPr>
                <w:rFonts w:cs="Arial"/>
                <w:color w:val="000000" w:themeColor="text1"/>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14:paraId="45D539D0" w14:textId="77777777" w:rsidR="00B83419" w:rsidRPr="00046DA5" w:rsidRDefault="00B83419" w:rsidP="00B030DB">
            <w:pPr>
              <w:keepNext/>
              <w:keepLines/>
              <w:spacing w:after="0" w:line="240" w:lineRule="auto"/>
            </w:pPr>
            <w:r w:rsidRPr="00046DA5">
              <w:rPr>
                <w:rFonts w:cs="Arial"/>
                <w:color w:val="000000"/>
                <w:szCs w:val="20"/>
              </w:rPr>
              <w:t xml:space="preserve">0.513008 </w:t>
            </w:r>
          </w:p>
        </w:tc>
      </w:tr>
      <w:tr w:rsidR="00B83419" w:rsidRPr="00046DA5" w14:paraId="24E7B37D" w14:textId="77777777" w:rsidTr="00C57345">
        <w:tc>
          <w:tcPr>
            <w:tcW w:w="1130" w:type="dxa"/>
            <w:tcBorders>
              <w:top w:val="single" w:sz="4" w:space="0" w:color="auto"/>
              <w:left w:val="single" w:sz="4" w:space="0" w:color="auto"/>
              <w:bottom w:val="single" w:sz="4" w:space="0" w:color="auto"/>
              <w:right w:val="single" w:sz="4" w:space="0" w:color="auto"/>
            </w:tcBorders>
          </w:tcPr>
          <w:p w14:paraId="47A4C69E" w14:textId="77777777" w:rsidR="00B83419" w:rsidRPr="00046DA5" w:rsidRDefault="00B83419" w:rsidP="00B030DB">
            <w:pPr>
              <w:pStyle w:val="TableBody"/>
              <w:keepNext/>
              <w:keepLines/>
              <w:rPr>
                <w:rFonts w:cs="Arial"/>
              </w:rPr>
            </w:pPr>
            <w:r w:rsidRPr="00046DA5">
              <w:rPr>
                <w:rFonts w:cs="Arial"/>
              </w:rPr>
              <w:t>Division 5</w:t>
            </w:r>
          </w:p>
        </w:tc>
        <w:tc>
          <w:tcPr>
            <w:tcW w:w="2605" w:type="dxa"/>
            <w:tcBorders>
              <w:top w:val="single" w:sz="4" w:space="0" w:color="auto"/>
              <w:left w:val="single" w:sz="4" w:space="0" w:color="auto"/>
              <w:bottom w:val="single" w:sz="4" w:space="0" w:color="auto"/>
              <w:right w:val="single" w:sz="4" w:space="0" w:color="auto"/>
            </w:tcBorders>
            <w:shd w:val="clear" w:color="auto" w:fill="auto"/>
          </w:tcPr>
          <w:p w14:paraId="17647D42" w14:textId="77777777" w:rsidR="00B83419" w:rsidRPr="00046DA5" w:rsidRDefault="00B83419" w:rsidP="00B030DB">
            <w:pPr>
              <w:pStyle w:val="TableBody"/>
              <w:keepNext/>
              <w:keepLines/>
              <w:rPr>
                <w:rFonts w:cs="Arial"/>
                <w:color w:val="000000" w:themeColor="text1"/>
              </w:rPr>
            </w:pPr>
            <w:r w:rsidRPr="00046DA5">
              <w:rPr>
                <w:rFonts w:cs="Arial"/>
                <w:color w:val="000000" w:themeColor="text1"/>
              </w:rPr>
              <w:t>Television outside broadcast station (high density areas)</w:t>
            </w:r>
          </w:p>
        </w:tc>
        <w:tc>
          <w:tcPr>
            <w:tcW w:w="1789" w:type="dxa"/>
            <w:tcBorders>
              <w:top w:val="single" w:sz="4" w:space="0" w:color="auto"/>
              <w:left w:val="single" w:sz="4" w:space="0" w:color="auto"/>
              <w:bottom w:val="single" w:sz="4" w:space="0" w:color="auto"/>
              <w:right w:val="single" w:sz="4" w:space="0" w:color="auto"/>
            </w:tcBorders>
            <w:shd w:val="clear" w:color="auto" w:fill="auto"/>
          </w:tcPr>
          <w:p w14:paraId="052608FF" w14:textId="77777777" w:rsidR="00B83419" w:rsidRPr="00046DA5" w:rsidRDefault="00B83419" w:rsidP="00B030DB">
            <w:pPr>
              <w:pStyle w:val="TableBody"/>
              <w:keepNext/>
              <w:keepLines/>
              <w:rPr>
                <w:rFonts w:cs="Arial"/>
                <w:color w:val="000000" w:themeColor="text1"/>
              </w:rPr>
            </w:pPr>
            <w:r w:rsidRPr="00046DA5">
              <w:rPr>
                <w:rFonts w:cs="Arial"/>
                <w:color w:val="000000" w:themeColor="text1"/>
              </w:rPr>
              <w:t>(Note 5)</w:t>
            </w:r>
          </w:p>
        </w:tc>
        <w:tc>
          <w:tcPr>
            <w:tcW w:w="1929" w:type="dxa"/>
            <w:tcBorders>
              <w:top w:val="single" w:sz="4" w:space="0" w:color="auto"/>
              <w:left w:val="single" w:sz="4" w:space="0" w:color="auto"/>
              <w:bottom w:val="single" w:sz="4" w:space="0" w:color="auto"/>
              <w:right w:val="single" w:sz="4" w:space="0" w:color="auto"/>
            </w:tcBorders>
            <w:shd w:val="clear" w:color="auto" w:fill="auto"/>
          </w:tcPr>
          <w:p w14:paraId="1F33E512" w14:textId="77777777" w:rsidR="00B83419" w:rsidRPr="00046DA5" w:rsidRDefault="00B83419" w:rsidP="00B030DB">
            <w:pPr>
              <w:keepNext/>
              <w:keepLines/>
              <w:spacing w:after="0" w:line="240" w:lineRule="auto"/>
              <w:rPr>
                <w:rFonts w:cs="Arial"/>
                <w:color w:val="000000"/>
                <w:szCs w:val="20"/>
              </w:rPr>
            </w:pPr>
            <w:r w:rsidRPr="00046DA5">
              <w:rPr>
                <w:rFonts w:cs="Arial"/>
                <w:color w:val="000000"/>
                <w:szCs w:val="20"/>
              </w:rPr>
              <w:t>0.387624906495399</w:t>
            </w:r>
          </w:p>
        </w:tc>
      </w:tr>
    </w:tbl>
    <w:p w14:paraId="67DD94FB" w14:textId="77777777" w:rsidR="00B83419" w:rsidRPr="00046DA5" w:rsidRDefault="00B83419" w:rsidP="00B83419">
      <w:pPr>
        <w:keepNext/>
        <w:spacing w:before="120" w:after="0"/>
        <w:rPr>
          <w:rFonts w:cs="Arial"/>
          <w:b/>
          <w:i/>
        </w:rPr>
      </w:pPr>
      <w:r w:rsidRPr="00046DA5">
        <w:rPr>
          <w:rFonts w:cs="Arial"/>
          <w:b/>
          <w:i/>
        </w:rPr>
        <w:t>Note 1:</w:t>
      </w:r>
    </w:p>
    <w:p w14:paraId="3AA94178" w14:textId="2DF4252B" w:rsidR="00B83419" w:rsidRPr="00046DA5" w:rsidRDefault="00B83419" w:rsidP="00B83419">
      <w:r w:rsidRPr="00046DA5">
        <w:t>Previously, fixed services in bands below 960 MHz were charged a lower tax than land mobile services in Division 4</w:t>
      </w:r>
      <w:r w:rsidR="0002093C" w:rsidRPr="00046DA5">
        <w:t xml:space="preserve"> of the Apparatus Licence</w:t>
      </w:r>
      <w:r w:rsidR="00C701DA" w:rsidRPr="00046DA5">
        <w:t xml:space="preserve"> Fee Schedule</w:t>
      </w:r>
      <w:r w:rsidRPr="00046DA5">
        <w:t xml:space="preserve">, even if they occupied the same bands, albeit in different segments. This was because the original adjustment factors were set in 1995 when demand for fixed segments was lower. However, segments allocated for fixed services had become so congested that some licensees had been prepared to pay the much higher land mobile rate for access to adjacent land mobile spectrum. This meant that the </w:t>
      </w:r>
      <w:r w:rsidR="004B6A49" w:rsidRPr="00046DA5">
        <w:t xml:space="preserve">opportunity cost </w:t>
      </w:r>
      <w:r w:rsidRPr="00046DA5">
        <w:t>of fixed channels was at least as high as the land mobile tax. Accordingly, the ACMA increased taxes for fixed point-to-point and point-to-multipoint licences below 960 MHz towards equivalence with land mobile taxes.</w:t>
      </w:r>
    </w:p>
    <w:p w14:paraId="0A415BBC" w14:textId="0A42A41D" w:rsidR="00B83419" w:rsidRPr="00046DA5" w:rsidRDefault="00B83419" w:rsidP="00B83419">
      <w:pPr>
        <w:rPr>
          <w:rFonts w:cs="Arial"/>
        </w:rPr>
      </w:pPr>
      <w:r w:rsidRPr="00046DA5">
        <w:rPr>
          <w:rFonts w:cs="Arial"/>
        </w:rPr>
        <w:t xml:space="preserve">The licence type factor for point-to-point licences in bands below 960 MHz was set at a lower level than for point-to-multipoint licences as they involved relatively efficient use of spectrum </w:t>
      </w:r>
      <w:r w:rsidR="002D6108" w:rsidRPr="00046DA5">
        <w:rPr>
          <w:rFonts w:cs="Arial"/>
        </w:rPr>
        <w:t>because</w:t>
      </w:r>
      <w:r w:rsidRPr="00046DA5">
        <w:rPr>
          <w:rFonts w:cs="Arial"/>
        </w:rPr>
        <w:t xml:space="preserve"> of the directionality of their transmissions.</w:t>
      </w:r>
    </w:p>
    <w:p w14:paraId="0868E52F" w14:textId="77777777" w:rsidR="00B83419" w:rsidRPr="00046DA5" w:rsidRDefault="00B83419" w:rsidP="00B83419">
      <w:pPr>
        <w:keepNext/>
        <w:keepLines/>
        <w:spacing w:after="0"/>
        <w:rPr>
          <w:rFonts w:cs="Arial"/>
          <w:b/>
          <w:i/>
          <w:lang w:val="en-US"/>
        </w:rPr>
      </w:pPr>
      <w:r w:rsidRPr="00046DA5">
        <w:rPr>
          <w:rFonts w:cs="Arial"/>
          <w:b/>
          <w:i/>
          <w:lang w:val="en-US"/>
        </w:rPr>
        <w:lastRenderedPageBreak/>
        <w:t>Note 2:</w:t>
      </w:r>
    </w:p>
    <w:p w14:paraId="3B2D0428" w14:textId="77777777" w:rsidR="00B83419" w:rsidRPr="00046DA5" w:rsidRDefault="00B83419" w:rsidP="00B83419">
      <w:pPr>
        <w:keepNext/>
        <w:keepLines/>
        <w:rPr>
          <w:rFonts w:cs="Arial"/>
        </w:rPr>
      </w:pPr>
      <w:r w:rsidRPr="00046DA5">
        <w:rPr>
          <w:rFonts w:cs="Arial"/>
        </w:rPr>
        <w:t>The factor for both fixed point-to-point and point-to-multipoint licences above 960 MHz was similar and was set below one as these services involved relatively efficient use of spectrum.</w:t>
      </w:r>
    </w:p>
    <w:p w14:paraId="49054254" w14:textId="77777777" w:rsidR="00B83419" w:rsidRPr="00046DA5" w:rsidRDefault="00B83419" w:rsidP="00B83419">
      <w:pPr>
        <w:spacing w:after="0"/>
        <w:rPr>
          <w:rFonts w:cs="Arial"/>
          <w:b/>
          <w:i/>
          <w:lang w:val="en-US"/>
        </w:rPr>
      </w:pPr>
      <w:r w:rsidRPr="00046DA5">
        <w:rPr>
          <w:rFonts w:cs="Arial"/>
          <w:b/>
          <w:i/>
          <w:lang w:val="en-US"/>
        </w:rPr>
        <w:t>Note 3:</w:t>
      </w:r>
    </w:p>
    <w:p w14:paraId="69CE7B83" w14:textId="77777777" w:rsidR="00B83419" w:rsidRPr="00046DA5" w:rsidRDefault="00B83419" w:rsidP="00B83419">
      <w:pPr>
        <w:rPr>
          <w:rFonts w:cs="Arial"/>
        </w:rPr>
      </w:pPr>
      <w:r w:rsidRPr="00046DA5">
        <w:rPr>
          <w:rFonts w:cs="Arial"/>
        </w:rPr>
        <w:t>Taxes for services operating in high demand bands below 960 MHz (such as narrowband area service, point-to-multipoint system, point-to-multipoint land mobile spectrum and most land mobile licensing options) were given a high adjustment factor.</w:t>
      </w:r>
    </w:p>
    <w:p w14:paraId="3165391E" w14:textId="77777777" w:rsidR="00B83419" w:rsidRPr="00046DA5" w:rsidRDefault="00B83419" w:rsidP="00B83419">
      <w:pPr>
        <w:spacing w:after="0"/>
        <w:rPr>
          <w:rFonts w:cs="Arial"/>
          <w:b/>
          <w:i/>
          <w:lang w:val="en-US"/>
        </w:rPr>
      </w:pPr>
      <w:r w:rsidRPr="00046DA5">
        <w:rPr>
          <w:rFonts w:cs="Arial"/>
          <w:b/>
          <w:i/>
          <w:lang w:val="en-US"/>
        </w:rPr>
        <w:t>Note 4:</w:t>
      </w:r>
    </w:p>
    <w:p w14:paraId="134CF64A" w14:textId="4F947A14" w:rsidR="00B83419" w:rsidRPr="00046DA5" w:rsidRDefault="00B83419" w:rsidP="00B83419">
      <w:pPr>
        <w:rPr>
          <w:rFonts w:cs="Arial"/>
        </w:rPr>
      </w:pPr>
      <w:r w:rsidRPr="00046DA5">
        <w:rPr>
          <w:rFonts w:cs="Arial"/>
        </w:rPr>
        <w:t xml:space="preserve">This adjustment factor reflects the introduction of </w:t>
      </w:r>
      <w:r w:rsidR="007D46F6" w:rsidRPr="00046DA5">
        <w:rPr>
          <w:rFonts w:cs="Arial"/>
        </w:rPr>
        <w:t xml:space="preserve">opportunity cost </w:t>
      </w:r>
      <w:r w:rsidRPr="00046DA5">
        <w:rPr>
          <w:rFonts w:cs="Arial"/>
        </w:rPr>
        <w:t>principles in the remote density areas of the 400 MHz band. These licences in remote density areas remain subject to the minimum annual tax (</w:t>
      </w:r>
      <w:r w:rsidRPr="00046DA5">
        <w:t>$41.17</w:t>
      </w:r>
      <w:r w:rsidRPr="00046DA5">
        <w:rPr>
          <w:rFonts w:cs="Arial"/>
        </w:rPr>
        <w:t>).</w:t>
      </w:r>
    </w:p>
    <w:p w14:paraId="0A9125D1" w14:textId="77777777" w:rsidR="00B83419" w:rsidRPr="00046DA5" w:rsidRDefault="00B83419" w:rsidP="00B83419">
      <w:pPr>
        <w:spacing w:after="0"/>
        <w:rPr>
          <w:rFonts w:cs="Arial"/>
          <w:b/>
          <w:i/>
          <w:lang w:val="en-US"/>
        </w:rPr>
      </w:pPr>
      <w:r w:rsidRPr="00046DA5">
        <w:rPr>
          <w:rFonts w:cs="Arial"/>
          <w:b/>
          <w:i/>
          <w:lang w:val="en-US"/>
        </w:rPr>
        <w:t>Note 5:</w:t>
      </w:r>
    </w:p>
    <w:p w14:paraId="7D64677D" w14:textId="77777777" w:rsidR="00B83419" w:rsidRPr="00046DA5" w:rsidRDefault="00B83419" w:rsidP="00B83419">
      <w:pPr>
        <w:rPr>
          <w:rFonts w:cs="Arial"/>
        </w:rPr>
      </w:pPr>
      <w:r w:rsidRPr="00046DA5">
        <w:rPr>
          <w:rFonts w:cs="Arial"/>
        </w:rPr>
        <w:t>This adjustment factor ensures that the second increment towards opportunity cost in the high-density areas of the 400 MHz band implemented in this update does not apply to television outside broadcast station services.</w:t>
      </w:r>
    </w:p>
    <w:p w14:paraId="0FE318D4" w14:textId="77777777" w:rsidR="00B83419" w:rsidRPr="00046DA5" w:rsidRDefault="00B83419" w:rsidP="00B83419">
      <w:pPr>
        <w:rPr>
          <w:rFonts w:cs="Arial"/>
        </w:rPr>
      </w:pPr>
    </w:p>
    <w:p w14:paraId="163C3E95" w14:textId="77777777" w:rsidR="00B83419" w:rsidRPr="00046DA5" w:rsidRDefault="00B83419" w:rsidP="00B83419">
      <w:pPr>
        <w:rPr>
          <w:rFonts w:asciiTheme="majorHAnsi" w:eastAsiaTheme="majorEastAsia" w:hAnsiTheme="majorHAnsi" w:cstheme="majorBidi"/>
          <w:color w:val="365F91" w:themeColor="accent1" w:themeShade="BF"/>
          <w:sz w:val="26"/>
          <w:szCs w:val="26"/>
        </w:rPr>
      </w:pPr>
      <w:bookmarkStart w:id="69" w:name="_Toc7432425"/>
      <w:r w:rsidRPr="00046DA5">
        <w:br w:type="page"/>
      </w:r>
    </w:p>
    <w:p w14:paraId="20398B22" w14:textId="0C763086" w:rsidR="00B83419" w:rsidRPr="00046DA5" w:rsidRDefault="0025547A" w:rsidP="00D2743E">
      <w:pPr>
        <w:pStyle w:val="Heading1"/>
      </w:pPr>
      <w:bookmarkStart w:id="70" w:name="_Toc33758221"/>
      <w:r w:rsidRPr="00046DA5">
        <w:lastRenderedPageBreak/>
        <w:t>Appendix B</w:t>
      </w:r>
      <w:r w:rsidR="00660F4A" w:rsidRPr="00046DA5">
        <w:t xml:space="preserve">: </w:t>
      </w:r>
      <w:r w:rsidR="00B83419" w:rsidRPr="00046DA5">
        <w:t>Geographic area maps</w:t>
      </w:r>
      <w:bookmarkEnd w:id="69"/>
      <w:bookmarkEnd w:id="70"/>
    </w:p>
    <w:p w14:paraId="5A9B693F" w14:textId="1403350F" w:rsidR="00B83419" w:rsidRPr="00046DA5" w:rsidRDefault="00B83419" w:rsidP="00B83419">
      <w:pPr>
        <w:rPr>
          <w:rFonts w:cs="Arial"/>
        </w:rPr>
      </w:pPr>
      <w:r w:rsidRPr="00046DA5">
        <w:rPr>
          <w:rFonts w:cs="Arial"/>
        </w:rPr>
        <w:t xml:space="preserve">The following pages show maps for each of the </w:t>
      </w:r>
      <w:r w:rsidR="002D6108" w:rsidRPr="00046DA5">
        <w:rPr>
          <w:rFonts w:cs="Arial"/>
        </w:rPr>
        <w:t>d</w:t>
      </w:r>
      <w:r w:rsidRPr="00046DA5">
        <w:rPr>
          <w:rFonts w:cs="Arial"/>
        </w:rPr>
        <w:t xml:space="preserve">ensity </w:t>
      </w:r>
      <w:r w:rsidR="002D6108" w:rsidRPr="00046DA5">
        <w:rPr>
          <w:rFonts w:cs="Arial"/>
        </w:rPr>
        <w:t>a</w:t>
      </w:r>
      <w:r w:rsidRPr="00046DA5">
        <w:rPr>
          <w:rFonts w:cs="Arial"/>
        </w:rPr>
        <w:t>reas.</w:t>
      </w:r>
    </w:p>
    <w:p w14:paraId="1721842F" w14:textId="77777777" w:rsidR="00B83419" w:rsidRPr="00046DA5" w:rsidRDefault="00B83419" w:rsidP="00B83419">
      <w:bookmarkStart w:id="71" w:name="SydWoll"/>
      <w:r w:rsidRPr="00046DA5">
        <w:rPr>
          <w:rFonts w:cs="Arial"/>
          <w:noProof/>
        </w:rPr>
        <w:drawing>
          <wp:inline distT="0" distB="0" distL="0" distR="0" wp14:anchorId="3E65F8CC" wp14:editId="69067D34">
            <wp:extent cx="4871085" cy="6039370"/>
            <wp:effectExtent l="0" t="0" r="5715" b="0"/>
            <wp:docPr id="10" name="Picture 10" descr="Map of region" title="Sydney/Wollongong high densit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wong\AppData\Local\Microsoft\Windows\Temporary Internet Files\Content.Outlook\U6K077CZ\sydney2.jpg"/>
                    <pic:cNvPicPr>
                      <a:picLocks noChangeAspect="1" noChangeArrowheads="1"/>
                    </pic:cNvPicPr>
                  </pic:nvPicPr>
                  <pic:blipFill>
                    <a:blip r:embed="rId40" cstate="email"/>
                    <a:srcRect/>
                    <a:stretch>
                      <a:fillRect/>
                    </a:stretch>
                  </pic:blipFill>
                  <pic:spPr bwMode="auto">
                    <a:xfrm>
                      <a:off x="0" y="0"/>
                      <a:ext cx="4871085" cy="6039370"/>
                    </a:xfrm>
                    <a:prstGeom prst="rect">
                      <a:avLst/>
                    </a:prstGeom>
                    <a:noFill/>
                    <a:ln w="9525">
                      <a:noFill/>
                      <a:miter lim="800000"/>
                      <a:headEnd/>
                      <a:tailEnd/>
                    </a:ln>
                  </pic:spPr>
                </pic:pic>
              </a:graphicData>
            </a:graphic>
          </wp:inline>
        </w:drawing>
      </w:r>
      <w:bookmarkEnd w:id="71"/>
    </w:p>
    <w:p w14:paraId="7BD8C0EF" w14:textId="77777777" w:rsidR="00B83419" w:rsidRPr="00046DA5" w:rsidRDefault="00B83419" w:rsidP="00B83419">
      <w:pPr>
        <w:pStyle w:val="ACMASpaceaftertable"/>
      </w:pPr>
    </w:p>
    <w:p w14:paraId="456E8410" w14:textId="77777777" w:rsidR="00B83419" w:rsidRPr="00046DA5" w:rsidRDefault="00B83419" w:rsidP="00B83419">
      <w:bookmarkStart w:id="72" w:name="melGee"/>
      <w:r w:rsidRPr="00046DA5">
        <w:rPr>
          <w:rFonts w:cs="Arial"/>
          <w:noProof/>
        </w:rPr>
        <w:lastRenderedPageBreak/>
        <w:drawing>
          <wp:inline distT="0" distB="0" distL="0" distR="0" wp14:anchorId="38FE1E97" wp14:editId="07E85383">
            <wp:extent cx="4871085" cy="6038776"/>
            <wp:effectExtent l="0" t="0" r="5715" b="635"/>
            <wp:docPr id="2" name="Picture 2" descr="Map of region" title="Melbourne/Geelong high densit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wong\AppData\Local\Microsoft\Windows\Temporary Internet Files\Content.Outlook\U6K077CZ\melbourne2.jpg"/>
                    <pic:cNvPicPr>
                      <a:picLocks noChangeAspect="1" noChangeArrowheads="1"/>
                    </pic:cNvPicPr>
                  </pic:nvPicPr>
                  <pic:blipFill>
                    <a:blip r:embed="rId41" cstate="email"/>
                    <a:srcRect/>
                    <a:stretch>
                      <a:fillRect/>
                    </a:stretch>
                  </pic:blipFill>
                  <pic:spPr bwMode="auto">
                    <a:xfrm>
                      <a:off x="0" y="0"/>
                      <a:ext cx="4871085" cy="6038776"/>
                    </a:xfrm>
                    <a:prstGeom prst="rect">
                      <a:avLst/>
                    </a:prstGeom>
                    <a:noFill/>
                    <a:ln w="9525">
                      <a:noFill/>
                      <a:miter lim="800000"/>
                      <a:headEnd/>
                      <a:tailEnd/>
                    </a:ln>
                  </pic:spPr>
                </pic:pic>
              </a:graphicData>
            </a:graphic>
          </wp:inline>
        </w:drawing>
      </w:r>
      <w:bookmarkEnd w:id="72"/>
    </w:p>
    <w:p w14:paraId="3BCD41BD" w14:textId="77777777" w:rsidR="00B83419" w:rsidRPr="00046DA5" w:rsidRDefault="00B83419" w:rsidP="00B83419">
      <w:pPr>
        <w:pStyle w:val="ACMASpaceaftertable"/>
      </w:pPr>
    </w:p>
    <w:p w14:paraId="4C5FC707" w14:textId="77777777" w:rsidR="00B83419" w:rsidRPr="00046DA5" w:rsidRDefault="00B83419" w:rsidP="00B83419">
      <w:bookmarkStart w:id="73" w:name="BrisGC"/>
      <w:r w:rsidRPr="00046DA5">
        <w:rPr>
          <w:rFonts w:cs="Arial"/>
          <w:noProof/>
        </w:rPr>
        <w:lastRenderedPageBreak/>
        <w:drawing>
          <wp:inline distT="0" distB="0" distL="0" distR="0" wp14:anchorId="76D87518" wp14:editId="691115DF">
            <wp:extent cx="4871085" cy="6039019"/>
            <wp:effectExtent l="0" t="0" r="5715" b="0"/>
            <wp:docPr id="6" name="Picture 6" descr="Map of region" title="brisbane/Gold Coast high densit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wong\AppData\Local\Microsoft\Windows\Temporary Internet Files\Content.Outlook\U6K077CZ\brisbane2 (2).jpg"/>
                    <pic:cNvPicPr>
                      <a:picLocks noChangeAspect="1" noChangeArrowheads="1"/>
                    </pic:cNvPicPr>
                  </pic:nvPicPr>
                  <pic:blipFill>
                    <a:blip r:embed="rId42" cstate="email"/>
                    <a:srcRect/>
                    <a:stretch>
                      <a:fillRect/>
                    </a:stretch>
                  </pic:blipFill>
                  <pic:spPr bwMode="auto">
                    <a:xfrm>
                      <a:off x="0" y="0"/>
                      <a:ext cx="4871085" cy="6039019"/>
                    </a:xfrm>
                    <a:prstGeom prst="rect">
                      <a:avLst/>
                    </a:prstGeom>
                    <a:noFill/>
                    <a:ln w="9525">
                      <a:noFill/>
                      <a:miter lim="800000"/>
                      <a:headEnd/>
                      <a:tailEnd/>
                    </a:ln>
                  </pic:spPr>
                </pic:pic>
              </a:graphicData>
            </a:graphic>
          </wp:inline>
        </w:drawing>
      </w:r>
      <w:bookmarkEnd w:id="73"/>
    </w:p>
    <w:p w14:paraId="11632971" w14:textId="77777777" w:rsidR="00B83419" w:rsidRPr="00046DA5" w:rsidRDefault="00B83419" w:rsidP="00B83419"/>
    <w:p w14:paraId="24399BFC" w14:textId="77777777" w:rsidR="00B83419" w:rsidRPr="00046DA5" w:rsidRDefault="00B83419" w:rsidP="00B83419">
      <w:bookmarkStart w:id="74" w:name="Perth"/>
      <w:r w:rsidRPr="00046DA5">
        <w:rPr>
          <w:rFonts w:cs="Arial"/>
          <w:noProof/>
        </w:rPr>
        <w:lastRenderedPageBreak/>
        <w:drawing>
          <wp:inline distT="0" distB="0" distL="0" distR="0" wp14:anchorId="4F810B77" wp14:editId="24A1ACF3">
            <wp:extent cx="4871085" cy="6039066"/>
            <wp:effectExtent l="0" t="0" r="5715" b="0"/>
            <wp:docPr id="7" name="Picture 7" descr="Map of region" title="Perth medium densit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wong\AppData\Local\Microsoft\Windows\Temporary Internet Files\Content.Outlook\U6K077CZ\perth2.jpg"/>
                    <pic:cNvPicPr>
                      <a:picLocks noChangeAspect="1" noChangeArrowheads="1"/>
                    </pic:cNvPicPr>
                  </pic:nvPicPr>
                  <pic:blipFill>
                    <a:blip r:embed="rId43" cstate="email"/>
                    <a:srcRect/>
                    <a:stretch>
                      <a:fillRect/>
                    </a:stretch>
                  </pic:blipFill>
                  <pic:spPr bwMode="auto">
                    <a:xfrm>
                      <a:off x="0" y="0"/>
                      <a:ext cx="4871085" cy="6039066"/>
                    </a:xfrm>
                    <a:prstGeom prst="rect">
                      <a:avLst/>
                    </a:prstGeom>
                    <a:noFill/>
                    <a:ln w="9525">
                      <a:noFill/>
                      <a:miter lim="800000"/>
                      <a:headEnd/>
                      <a:tailEnd/>
                    </a:ln>
                  </pic:spPr>
                </pic:pic>
              </a:graphicData>
            </a:graphic>
          </wp:inline>
        </w:drawing>
      </w:r>
      <w:bookmarkEnd w:id="74"/>
    </w:p>
    <w:p w14:paraId="5121D468" w14:textId="77777777" w:rsidR="00B83419" w:rsidRPr="00046DA5" w:rsidRDefault="00B83419" w:rsidP="00B83419">
      <w:pPr>
        <w:rPr>
          <w:rFonts w:cs="Arial"/>
        </w:rPr>
      </w:pPr>
    </w:p>
    <w:p w14:paraId="19DE8D06" w14:textId="77777777" w:rsidR="00B83419" w:rsidRPr="00046DA5" w:rsidRDefault="00B83419" w:rsidP="00B83419">
      <w:bookmarkStart w:id="75" w:name="Adelaide"/>
      <w:r w:rsidRPr="00046DA5">
        <w:rPr>
          <w:rFonts w:cs="Arial"/>
          <w:noProof/>
        </w:rPr>
        <w:lastRenderedPageBreak/>
        <w:drawing>
          <wp:inline distT="0" distB="0" distL="0" distR="0" wp14:anchorId="69749C26" wp14:editId="39974EA6">
            <wp:extent cx="4871085" cy="6039093"/>
            <wp:effectExtent l="0" t="0" r="5715" b="0"/>
            <wp:docPr id="12" name="Picture 12" descr="Map of region" title="Adelaide medium densit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ong\AppData\Local\Microsoft\Windows\Temporary Internet Files\Content.Outlook\U6K077CZ\adelaide2 (2).jpg"/>
                    <pic:cNvPicPr>
                      <a:picLocks noChangeAspect="1" noChangeArrowheads="1"/>
                    </pic:cNvPicPr>
                  </pic:nvPicPr>
                  <pic:blipFill>
                    <a:blip r:embed="rId44" cstate="email"/>
                    <a:srcRect/>
                    <a:stretch>
                      <a:fillRect/>
                    </a:stretch>
                  </pic:blipFill>
                  <pic:spPr bwMode="auto">
                    <a:xfrm>
                      <a:off x="0" y="0"/>
                      <a:ext cx="4871085" cy="6039093"/>
                    </a:xfrm>
                    <a:prstGeom prst="rect">
                      <a:avLst/>
                    </a:prstGeom>
                    <a:noFill/>
                    <a:ln w="9525">
                      <a:noFill/>
                      <a:miter lim="800000"/>
                      <a:headEnd/>
                      <a:tailEnd/>
                    </a:ln>
                  </pic:spPr>
                </pic:pic>
              </a:graphicData>
            </a:graphic>
          </wp:inline>
        </w:drawing>
      </w:r>
      <w:bookmarkEnd w:id="75"/>
    </w:p>
    <w:p w14:paraId="09D4E099" w14:textId="77777777" w:rsidR="00B83419" w:rsidRPr="00046DA5" w:rsidRDefault="00B83419" w:rsidP="00B83419">
      <w:pPr>
        <w:rPr>
          <w:rFonts w:cs="Arial"/>
        </w:rPr>
      </w:pPr>
    </w:p>
    <w:p w14:paraId="46B8F0A6" w14:textId="77777777" w:rsidR="00B83419" w:rsidRPr="00046DA5" w:rsidRDefault="00B83419" w:rsidP="00B83419">
      <w:bookmarkStart w:id="76" w:name="Newcastle"/>
      <w:r w:rsidRPr="00046DA5">
        <w:rPr>
          <w:rFonts w:cs="Arial"/>
          <w:noProof/>
        </w:rPr>
        <w:lastRenderedPageBreak/>
        <w:drawing>
          <wp:inline distT="0" distB="0" distL="0" distR="0" wp14:anchorId="7CB0FEE8" wp14:editId="2D300ADC">
            <wp:extent cx="4871085" cy="6038932"/>
            <wp:effectExtent l="0" t="0" r="5715" b="0"/>
            <wp:docPr id="5" name="Picture 5" descr="Map of region" title="Newcastle medium densit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wong\AppData\Local\Microsoft\Windows\Temporary Internet Files\Content.Outlook\U6K077CZ\newcastle2.jpg"/>
                    <pic:cNvPicPr>
                      <a:picLocks noChangeAspect="1" noChangeArrowheads="1"/>
                    </pic:cNvPicPr>
                  </pic:nvPicPr>
                  <pic:blipFill>
                    <a:blip r:embed="rId45" cstate="email"/>
                    <a:srcRect/>
                    <a:stretch>
                      <a:fillRect/>
                    </a:stretch>
                  </pic:blipFill>
                  <pic:spPr bwMode="auto">
                    <a:xfrm>
                      <a:off x="0" y="0"/>
                      <a:ext cx="4871085" cy="6038932"/>
                    </a:xfrm>
                    <a:prstGeom prst="rect">
                      <a:avLst/>
                    </a:prstGeom>
                    <a:noFill/>
                    <a:ln w="9525">
                      <a:noFill/>
                      <a:miter lim="800000"/>
                      <a:headEnd/>
                      <a:tailEnd/>
                    </a:ln>
                  </pic:spPr>
                </pic:pic>
              </a:graphicData>
            </a:graphic>
          </wp:inline>
        </w:drawing>
      </w:r>
      <w:bookmarkEnd w:id="76"/>
    </w:p>
    <w:p w14:paraId="3FF4EA72" w14:textId="77777777" w:rsidR="00B83419" w:rsidRPr="00046DA5" w:rsidRDefault="00B83419" w:rsidP="00B83419">
      <w:pPr>
        <w:rPr>
          <w:rFonts w:cs="Arial"/>
        </w:rPr>
      </w:pPr>
    </w:p>
    <w:p w14:paraId="31D2DE99" w14:textId="77777777" w:rsidR="00B83419" w:rsidRPr="00046DA5" w:rsidRDefault="00B83419" w:rsidP="00B83419">
      <w:bookmarkStart w:id="77" w:name="EastAust"/>
      <w:r w:rsidRPr="00046DA5">
        <w:rPr>
          <w:rFonts w:cs="Arial"/>
          <w:noProof/>
        </w:rPr>
        <w:lastRenderedPageBreak/>
        <w:drawing>
          <wp:inline distT="0" distB="0" distL="0" distR="0" wp14:anchorId="271D6813" wp14:editId="2E2E65B0">
            <wp:extent cx="4871085" cy="6039344"/>
            <wp:effectExtent l="0" t="0" r="5715" b="0"/>
            <wp:docPr id="8" name="Picture 8" descr="Map of region" title="East Australia low densit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wong\AppData\Local\Microsoft\Windows\Temporary Internet Files\Content.Outlook\U6K077CZ\eastern2.jpg"/>
                    <pic:cNvPicPr>
                      <a:picLocks noChangeAspect="1" noChangeArrowheads="1"/>
                    </pic:cNvPicPr>
                  </pic:nvPicPr>
                  <pic:blipFill>
                    <a:blip r:embed="rId46" cstate="email"/>
                    <a:srcRect/>
                    <a:stretch>
                      <a:fillRect/>
                    </a:stretch>
                  </pic:blipFill>
                  <pic:spPr bwMode="auto">
                    <a:xfrm>
                      <a:off x="0" y="0"/>
                      <a:ext cx="4871085" cy="6039344"/>
                    </a:xfrm>
                    <a:prstGeom prst="rect">
                      <a:avLst/>
                    </a:prstGeom>
                    <a:noFill/>
                    <a:ln w="9525">
                      <a:noFill/>
                      <a:miter lim="800000"/>
                      <a:headEnd/>
                      <a:tailEnd/>
                    </a:ln>
                  </pic:spPr>
                </pic:pic>
              </a:graphicData>
            </a:graphic>
          </wp:inline>
        </w:drawing>
      </w:r>
      <w:bookmarkEnd w:id="77"/>
    </w:p>
    <w:p w14:paraId="01B25C7E" w14:textId="77777777" w:rsidR="00B83419" w:rsidRPr="00046DA5" w:rsidRDefault="00B83419" w:rsidP="00B83419">
      <w:pPr>
        <w:pageBreakBefore/>
      </w:pPr>
      <w:bookmarkStart w:id="78" w:name="WA"/>
      <w:r w:rsidRPr="00046DA5">
        <w:rPr>
          <w:rFonts w:cs="Arial"/>
          <w:noProof/>
        </w:rPr>
        <w:lastRenderedPageBreak/>
        <w:drawing>
          <wp:inline distT="0" distB="0" distL="0" distR="0" wp14:anchorId="44FFE109" wp14:editId="2768F6C7">
            <wp:extent cx="4871085" cy="6039183"/>
            <wp:effectExtent l="0" t="0" r="5715" b="0"/>
            <wp:docPr id="9" name="Picture 9" descr="Map of region" title="Western Australia low densit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wong\AppData\Local\Microsoft\Windows\Temporary Internet Files\Content.Outlook\U6K077CZ\western2.jpg"/>
                    <pic:cNvPicPr>
                      <a:picLocks noChangeAspect="1" noChangeArrowheads="1"/>
                    </pic:cNvPicPr>
                  </pic:nvPicPr>
                  <pic:blipFill>
                    <a:blip r:embed="rId47" cstate="email"/>
                    <a:srcRect/>
                    <a:stretch>
                      <a:fillRect/>
                    </a:stretch>
                  </pic:blipFill>
                  <pic:spPr bwMode="auto">
                    <a:xfrm>
                      <a:off x="0" y="0"/>
                      <a:ext cx="4871085" cy="6039183"/>
                    </a:xfrm>
                    <a:prstGeom prst="rect">
                      <a:avLst/>
                    </a:prstGeom>
                    <a:noFill/>
                    <a:ln w="9525">
                      <a:noFill/>
                      <a:miter lim="800000"/>
                      <a:headEnd/>
                      <a:tailEnd/>
                    </a:ln>
                  </pic:spPr>
                </pic:pic>
              </a:graphicData>
            </a:graphic>
          </wp:inline>
        </w:drawing>
      </w:r>
      <w:bookmarkEnd w:id="78"/>
    </w:p>
    <w:p w14:paraId="3292F723" w14:textId="77777777" w:rsidR="00B83419" w:rsidRPr="00046DA5" w:rsidRDefault="00B83419" w:rsidP="00B83419"/>
    <w:p w14:paraId="4B1FB762" w14:textId="77777777" w:rsidR="00B83419" w:rsidRPr="00046DA5" w:rsidRDefault="00B83419" w:rsidP="00B83419">
      <w:bookmarkStart w:id="79" w:name="Tas"/>
      <w:r w:rsidRPr="00046DA5">
        <w:rPr>
          <w:rFonts w:cs="Arial"/>
          <w:noProof/>
        </w:rPr>
        <w:lastRenderedPageBreak/>
        <w:drawing>
          <wp:inline distT="0" distB="0" distL="0" distR="0" wp14:anchorId="00D00857" wp14:editId="47DC8F21">
            <wp:extent cx="4871085" cy="6039656"/>
            <wp:effectExtent l="0" t="0" r="5715" b="0"/>
            <wp:docPr id="11" name="Picture 11" descr="Map of region" title="Tasmania low densit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wong\AppData\Local\Microsoft\Windows\Temporary Internet Files\Content.Outlook\U6K077CZ\tasmania2.jpg"/>
                    <pic:cNvPicPr>
                      <a:picLocks noChangeAspect="1" noChangeArrowheads="1"/>
                    </pic:cNvPicPr>
                  </pic:nvPicPr>
                  <pic:blipFill>
                    <a:blip r:embed="rId48" cstate="email"/>
                    <a:srcRect/>
                    <a:stretch>
                      <a:fillRect/>
                    </a:stretch>
                  </pic:blipFill>
                  <pic:spPr bwMode="auto">
                    <a:xfrm>
                      <a:off x="0" y="0"/>
                      <a:ext cx="4871085" cy="6039656"/>
                    </a:xfrm>
                    <a:prstGeom prst="rect">
                      <a:avLst/>
                    </a:prstGeom>
                    <a:noFill/>
                    <a:ln w="9525">
                      <a:noFill/>
                      <a:miter lim="800000"/>
                      <a:headEnd/>
                      <a:tailEnd/>
                    </a:ln>
                  </pic:spPr>
                </pic:pic>
              </a:graphicData>
            </a:graphic>
          </wp:inline>
        </w:drawing>
      </w:r>
      <w:bookmarkEnd w:id="79"/>
    </w:p>
    <w:p w14:paraId="1ACB07E4" w14:textId="77777777" w:rsidR="00B83419" w:rsidRPr="00046DA5" w:rsidRDefault="00B83419" w:rsidP="00B83419"/>
    <w:p w14:paraId="79FA6EC5" w14:textId="77777777" w:rsidR="00B83419" w:rsidRPr="00046DA5" w:rsidRDefault="00B83419" w:rsidP="00B83419">
      <w:r w:rsidRPr="00046DA5">
        <w:rPr>
          <w:rFonts w:cs="Arial"/>
          <w:b/>
          <w:noProof/>
        </w:rPr>
        <w:lastRenderedPageBreak/>
        <w:drawing>
          <wp:inline distT="0" distB="0" distL="0" distR="0" wp14:anchorId="736BAE31" wp14:editId="050684DE">
            <wp:extent cx="4871085" cy="6039405"/>
            <wp:effectExtent l="0" t="0" r="5715" b="0"/>
            <wp:docPr id="4" name="Picture 11" descr="Map of region" title="Darwin low densit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wong\AppData\Local\Microsoft\Windows\Temporary Internet Files\Content.Outlook\U6K077CZ\darwin2 (2).jpg"/>
                    <pic:cNvPicPr>
                      <a:picLocks noChangeAspect="1" noChangeArrowheads="1"/>
                    </pic:cNvPicPr>
                  </pic:nvPicPr>
                  <pic:blipFill>
                    <a:blip r:embed="rId49" cstate="email"/>
                    <a:srcRect/>
                    <a:stretch>
                      <a:fillRect/>
                    </a:stretch>
                  </pic:blipFill>
                  <pic:spPr bwMode="auto">
                    <a:xfrm>
                      <a:off x="0" y="0"/>
                      <a:ext cx="4871085" cy="6039405"/>
                    </a:xfrm>
                    <a:prstGeom prst="rect">
                      <a:avLst/>
                    </a:prstGeom>
                    <a:noFill/>
                    <a:ln w="9525">
                      <a:noFill/>
                      <a:miter lim="800000"/>
                      <a:headEnd/>
                      <a:tailEnd/>
                    </a:ln>
                  </pic:spPr>
                </pic:pic>
              </a:graphicData>
            </a:graphic>
          </wp:inline>
        </w:drawing>
      </w:r>
    </w:p>
    <w:p w14:paraId="17787D92" w14:textId="77777777" w:rsidR="00B83419" w:rsidRPr="00046DA5" w:rsidRDefault="00B83419" w:rsidP="00B83419">
      <w:pPr>
        <w:pStyle w:val="ACMASpaceaftertable"/>
      </w:pPr>
    </w:p>
    <w:p w14:paraId="04760337" w14:textId="34AC5FAF" w:rsidR="00FC23B6" w:rsidRPr="00046DA5" w:rsidRDefault="00FC23B6">
      <w:pPr>
        <w:spacing w:after="0" w:line="240" w:lineRule="auto"/>
      </w:pPr>
      <w:r w:rsidRPr="00046DA5">
        <w:br w:type="page"/>
      </w:r>
    </w:p>
    <w:p w14:paraId="79459773" w14:textId="41298787" w:rsidR="00DE3EAF" w:rsidRPr="00046DA5" w:rsidRDefault="00FC23B6" w:rsidP="00EC156D">
      <w:pPr>
        <w:pStyle w:val="Heading1"/>
      </w:pPr>
      <w:bookmarkStart w:id="80" w:name="_Toc33758222"/>
      <w:r w:rsidRPr="00046DA5">
        <w:lastRenderedPageBreak/>
        <w:t>Appendix C</w:t>
      </w:r>
      <w:r w:rsidR="00DE3EAF" w:rsidRPr="00046DA5">
        <w:t xml:space="preserve">: </w:t>
      </w:r>
      <w:r w:rsidR="00D74DB5" w:rsidRPr="00046DA5">
        <w:t>Calculating commercial broadcasting taxes</w:t>
      </w:r>
      <w:bookmarkEnd w:id="80"/>
      <w:r w:rsidR="00D74DB5" w:rsidRPr="00046DA5" w:rsidDel="00D74DB5">
        <w:t xml:space="preserve"> </w:t>
      </w:r>
    </w:p>
    <w:p w14:paraId="207C3016" w14:textId="5C0F382B" w:rsidR="005A479A" w:rsidRPr="00046DA5" w:rsidRDefault="008C3BC9" w:rsidP="00127034">
      <w:pPr>
        <w:spacing w:after="80"/>
      </w:pPr>
      <w:bookmarkStart w:id="81" w:name="_Toc12943997"/>
      <w:r w:rsidRPr="00046DA5">
        <w:t xml:space="preserve">The following provides are brief explanation of how commercial broadcasting taxes are calculated. Of </w:t>
      </w:r>
      <w:r w:rsidR="008C64D1" w:rsidRPr="00046DA5">
        <w:t>note</w:t>
      </w:r>
      <w:r w:rsidRPr="00046DA5">
        <w:t xml:space="preserve"> is the maximum power factor</w:t>
      </w:r>
      <w:r w:rsidR="008C64D1" w:rsidRPr="00046DA5">
        <w:t>, which</w:t>
      </w:r>
      <w:r w:rsidRPr="00046DA5">
        <w:t xml:space="preserve"> acts in a similar way to the low power discount </w:t>
      </w:r>
      <w:r w:rsidR="005A479A" w:rsidRPr="00046DA5">
        <w:t>provided in apparatus licence taxes. One of the differences between the approaches is that maximum power factor provides a more granular approach to reflecting the differences in spectrum denial.</w:t>
      </w:r>
    </w:p>
    <w:p w14:paraId="2F8CB27B" w14:textId="23842B41" w:rsidR="00FC23B6" w:rsidRPr="00046DA5" w:rsidRDefault="00FC23B6" w:rsidP="0034689E">
      <w:pPr>
        <w:pStyle w:val="Heading3"/>
      </w:pPr>
      <w:r w:rsidRPr="00046DA5">
        <w:t>Transmitter information required</w:t>
      </w:r>
      <w:bookmarkEnd w:id="81"/>
    </w:p>
    <w:p w14:paraId="43A7F3CC" w14:textId="77777777" w:rsidR="00FC23B6" w:rsidRPr="00046DA5" w:rsidRDefault="00FC23B6" w:rsidP="00FC23B6">
      <w:pPr>
        <w:pStyle w:val="Heading3"/>
      </w:pPr>
      <w:bookmarkStart w:id="82" w:name="_Toc12943998"/>
      <w:r w:rsidRPr="00046DA5">
        <w:t>1. Spectrum band</w:t>
      </w:r>
      <w:bookmarkEnd w:id="82"/>
    </w:p>
    <w:p w14:paraId="1D40AE28" w14:textId="77777777" w:rsidR="00FC23B6" w:rsidRPr="00046DA5" w:rsidRDefault="00FC23B6" w:rsidP="00FC23B6">
      <w:pPr>
        <w:spacing w:after="80"/>
      </w:pPr>
      <w:r w:rsidRPr="00046DA5">
        <w:t>The transmitter will be operating in either the AM or FM band (for radio broadcasting), and the VHF or UHF band (for television broadcasting). The spectrum band that the transmitter is using will have the following characteristics:</w:t>
      </w:r>
    </w:p>
    <w:p w14:paraId="5565EE3A" w14:textId="77777777" w:rsidR="00FC23B6" w:rsidRPr="00046DA5" w:rsidRDefault="00FC23B6" w:rsidP="00FC23B6">
      <w:pPr>
        <w:pStyle w:val="ListBullet"/>
        <w:rPr>
          <w:bCs/>
        </w:rPr>
      </w:pPr>
      <w:r w:rsidRPr="00046DA5">
        <w:rPr>
          <w:bCs/>
        </w:rPr>
        <w:t>AM band (radio): Frequency from 526.6 to 1606.5 kHz; bandwidth of 18 kHz</w:t>
      </w:r>
    </w:p>
    <w:p w14:paraId="4270FBAA" w14:textId="77777777" w:rsidR="00FC23B6" w:rsidRPr="00046DA5" w:rsidRDefault="00FC23B6" w:rsidP="00FC23B6">
      <w:pPr>
        <w:pStyle w:val="ListBullet"/>
        <w:rPr>
          <w:bCs/>
        </w:rPr>
      </w:pPr>
      <w:r w:rsidRPr="00046DA5">
        <w:rPr>
          <w:bCs/>
        </w:rPr>
        <w:t>FM band (radio): Frequency from 87.5 to 108 MHz; bandwidth of 200 kHz</w:t>
      </w:r>
    </w:p>
    <w:p w14:paraId="03738560" w14:textId="77777777" w:rsidR="00FC23B6" w:rsidRPr="00046DA5" w:rsidRDefault="00FC23B6" w:rsidP="00FC23B6">
      <w:pPr>
        <w:pStyle w:val="ListBullet"/>
        <w:rPr>
          <w:bCs/>
        </w:rPr>
      </w:pPr>
      <w:r w:rsidRPr="00046DA5">
        <w:rPr>
          <w:bCs/>
        </w:rPr>
        <w:t>VHF band (television): Frequency from 174 to 230 MHz; bandwidth of 7 MHz</w:t>
      </w:r>
    </w:p>
    <w:p w14:paraId="01D05479" w14:textId="77777777" w:rsidR="00FC23B6" w:rsidRPr="00046DA5" w:rsidRDefault="00FC23B6" w:rsidP="00FC23B6">
      <w:pPr>
        <w:pStyle w:val="ListBulletLast"/>
      </w:pPr>
      <w:r w:rsidRPr="00046DA5">
        <w:rPr>
          <w:bCs/>
        </w:rPr>
        <w:t>UHF band (television): Frequency</w:t>
      </w:r>
      <w:r w:rsidRPr="00046DA5">
        <w:t xml:space="preserve"> from 520 to 694 MHz; bandwidth of 7 MHz.</w:t>
      </w:r>
    </w:p>
    <w:p w14:paraId="304559F5" w14:textId="77777777" w:rsidR="00FC23B6" w:rsidRPr="00046DA5" w:rsidRDefault="00FC23B6" w:rsidP="00FC23B6">
      <w:pPr>
        <w:pStyle w:val="Heading3"/>
      </w:pPr>
      <w:bookmarkStart w:id="83" w:name="_Toc12943999"/>
      <w:r w:rsidRPr="00046DA5">
        <w:t>2. Area density</w:t>
      </w:r>
      <w:bookmarkEnd w:id="83"/>
    </w:p>
    <w:p w14:paraId="6F98E817" w14:textId="1E5E79DD" w:rsidR="00FC23B6" w:rsidRPr="00046DA5" w:rsidRDefault="00FC23B6" w:rsidP="00FC23B6">
      <w:pPr>
        <w:rPr>
          <w:rFonts w:cs="Arial"/>
        </w:rPr>
      </w:pPr>
      <w:r w:rsidRPr="00046DA5">
        <w:t xml:space="preserve">The area density of the transmitter’s location refers to whether the transmitter is located in a high, medium, low or remote density area for apparatus licence fees. The geographic area maps outlining the different density areas are in Appendix </w:t>
      </w:r>
      <w:r w:rsidR="005A479A" w:rsidRPr="00046DA5">
        <w:t>B</w:t>
      </w:r>
      <w:r w:rsidRPr="00046DA5">
        <w:t>.</w:t>
      </w:r>
    </w:p>
    <w:p w14:paraId="580CB443" w14:textId="77777777" w:rsidR="00FC23B6" w:rsidRPr="00046DA5" w:rsidRDefault="00FC23B6" w:rsidP="00FC23B6">
      <w:pPr>
        <w:pStyle w:val="Heading3"/>
      </w:pPr>
      <w:bookmarkStart w:id="84" w:name="_Toc12944000"/>
      <w:r w:rsidRPr="00046DA5">
        <w:t>3. Maximum power factor</w:t>
      </w:r>
      <w:bookmarkEnd w:id="84"/>
    </w:p>
    <w:p w14:paraId="7A6C5C8E" w14:textId="77777777" w:rsidR="00FC23B6" w:rsidRPr="00046DA5" w:rsidRDefault="00FC23B6" w:rsidP="00FC23B6">
      <w:pPr>
        <w:spacing w:after="80"/>
      </w:pPr>
      <w:r w:rsidRPr="00046DA5">
        <w:t>The maximum power of a transmitter is measured using:</w:t>
      </w:r>
    </w:p>
    <w:p w14:paraId="2A27BB35" w14:textId="77777777" w:rsidR="00FC23B6" w:rsidRPr="00046DA5" w:rsidRDefault="00FC23B6" w:rsidP="00FC23B6">
      <w:pPr>
        <w:pStyle w:val="ListBullet"/>
      </w:pPr>
      <w:r w:rsidRPr="00046DA5">
        <w:t>volts CMF—for the AM band</w:t>
      </w:r>
    </w:p>
    <w:p w14:paraId="5145B167" w14:textId="77777777" w:rsidR="00FC23B6" w:rsidRPr="00046DA5" w:rsidRDefault="00FC23B6" w:rsidP="00FC23B6">
      <w:pPr>
        <w:pStyle w:val="ListBulletLast"/>
      </w:pPr>
      <w:r w:rsidRPr="00046DA5">
        <w:t>watts ERP—for the FM, VHF and UHF bands.</w:t>
      </w:r>
    </w:p>
    <w:p w14:paraId="79B38B64" w14:textId="4767D1B7" w:rsidR="00FC23B6" w:rsidRPr="00046DA5" w:rsidRDefault="00FC23B6" w:rsidP="00FC23B6">
      <w:r w:rsidRPr="00046DA5">
        <w:t>The level of maximum power will determine whether the transmitter is considered high, medium or low power. It should be noted that these categories differ depending on the spectrum band. The different power categorisation for each band is outlined in Table 4. The maximum power factor will then be used in the formula to calculate individual transmitter amounts.</w:t>
      </w:r>
    </w:p>
    <w:p w14:paraId="77F76666" w14:textId="77777777" w:rsidR="00FC23B6" w:rsidRPr="00046DA5" w:rsidRDefault="00FC23B6" w:rsidP="00CD224B">
      <w:pPr>
        <w:pStyle w:val="ACMATableHeader"/>
      </w:pPr>
      <w:r w:rsidRPr="00046DA5">
        <w:t>Maximum power of a transmitter</w:t>
      </w:r>
    </w:p>
    <w:tbl>
      <w:tblPr>
        <w:tblW w:w="85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Caption w:val="Table 1.2 Annual licence tax ($ per kHz)"/>
      </w:tblPr>
      <w:tblGrid>
        <w:gridCol w:w="2284"/>
        <w:gridCol w:w="1555"/>
        <w:gridCol w:w="1555"/>
        <w:gridCol w:w="1555"/>
        <w:gridCol w:w="1556"/>
      </w:tblGrid>
      <w:tr w:rsidR="00FC23B6" w:rsidRPr="00046DA5" w14:paraId="03D5D5D7" w14:textId="77777777" w:rsidTr="00CD224B">
        <w:trPr>
          <w:tblHeader/>
        </w:trPr>
        <w:tc>
          <w:tcPr>
            <w:tcW w:w="2284" w:type="dxa"/>
            <w:vMerge w:val="restart"/>
            <w:shd w:val="clear" w:color="auto" w:fill="404040" w:themeFill="text1" w:themeFillTint="BF"/>
            <w:vAlign w:val="center"/>
          </w:tcPr>
          <w:p w14:paraId="6920469F" w14:textId="77777777" w:rsidR="00FC23B6" w:rsidRPr="00046DA5" w:rsidRDefault="00FC23B6" w:rsidP="00377963">
            <w:pPr>
              <w:pStyle w:val="TableHeading0"/>
              <w:rPr>
                <w:color w:val="FFFFFF" w:themeColor="background1"/>
              </w:rPr>
            </w:pPr>
            <w:r w:rsidRPr="00046DA5">
              <w:rPr>
                <w:color w:val="FFFFFF" w:themeColor="background1"/>
              </w:rPr>
              <w:t>Maximum power category</w:t>
            </w:r>
          </w:p>
        </w:tc>
        <w:tc>
          <w:tcPr>
            <w:tcW w:w="6221" w:type="dxa"/>
            <w:gridSpan w:val="4"/>
            <w:shd w:val="clear" w:color="auto" w:fill="404040" w:themeFill="text1" w:themeFillTint="BF"/>
            <w:vAlign w:val="center"/>
          </w:tcPr>
          <w:p w14:paraId="16422D70" w14:textId="77777777" w:rsidR="00FC23B6" w:rsidRPr="00046DA5" w:rsidRDefault="00FC23B6" w:rsidP="00377963">
            <w:pPr>
              <w:pStyle w:val="TableHeading0"/>
              <w:jc w:val="center"/>
              <w:rPr>
                <w:color w:val="FFFFFF" w:themeColor="background1"/>
              </w:rPr>
            </w:pPr>
            <w:r w:rsidRPr="00046DA5">
              <w:rPr>
                <w:color w:val="FFFFFF" w:themeColor="background1"/>
              </w:rPr>
              <w:t>Spectrum band</w:t>
            </w:r>
          </w:p>
        </w:tc>
      </w:tr>
      <w:tr w:rsidR="00FC23B6" w:rsidRPr="00046DA5" w14:paraId="41BA24A1" w14:textId="77777777" w:rsidTr="00CD224B">
        <w:trPr>
          <w:tblHeader/>
        </w:trPr>
        <w:tc>
          <w:tcPr>
            <w:tcW w:w="2284" w:type="dxa"/>
            <w:vMerge/>
            <w:shd w:val="clear" w:color="auto" w:fill="404040" w:themeFill="text1" w:themeFillTint="BF"/>
            <w:vAlign w:val="center"/>
          </w:tcPr>
          <w:p w14:paraId="3D795CC4" w14:textId="77777777" w:rsidR="00FC23B6" w:rsidRPr="00046DA5" w:rsidRDefault="00FC23B6" w:rsidP="00377963">
            <w:pPr>
              <w:pStyle w:val="TableHeading0"/>
              <w:rPr>
                <w:color w:val="FFFFFF" w:themeColor="background1"/>
              </w:rPr>
            </w:pPr>
          </w:p>
        </w:tc>
        <w:tc>
          <w:tcPr>
            <w:tcW w:w="1555" w:type="dxa"/>
            <w:shd w:val="clear" w:color="auto" w:fill="404040" w:themeFill="text1" w:themeFillTint="BF"/>
            <w:vAlign w:val="center"/>
          </w:tcPr>
          <w:p w14:paraId="73E8A5DD" w14:textId="77777777" w:rsidR="00FC23B6" w:rsidRPr="00046DA5" w:rsidRDefault="00FC23B6" w:rsidP="00377963">
            <w:pPr>
              <w:pStyle w:val="TableHeading0"/>
              <w:rPr>
                <w:color w:val="FFFFFF" w:themeColor="background1"/>
              </w:rPr>
            </w:pPr>
            <w:r w:rsidRPr="00046DA5">
              <w:rPr>
                <w:color w:val="FFFFFF" w:themeColor="background1"/>
              </w:rPr>
              <w:t>AM band</w:t>
            </w:r>
          </w:p>
        </w:tc>
        <w:tc>
          <w:tcPr>
            <w:tcW w:w="1555" w:type="dxa"/>
            <w:shd w:val="clear" w:color="auto" w:fill="404040" w:themeFill="text1" w:themeFillTint="BF"/>
            <w:vAlign w:val="center"/>
          </w:tcPr>
          <w:p w14:paraId="3F30073F" w14:textId="77777777" w:rsidR="00FC23B6" w:rsidRPr="00046DA5" w:rsidRDefault="00FC23B6" w:rsidP="00377963">
            <w:pPr>
              <w:pStyle w:val="TableHeading0"/>
              <w:rPr>
                <w:color w:val="FFFFFF" w:themeColor="background1"/>
              </w:rPr>
            </w:pPr>
            <w:r w:rsidRPr="00046DA5">
              <w:rPr>
                <w:color w:val="FFFFFF" w:themeColor="background1"/>
              </w:rPr>
              <w:t>FM band</w:t>
            </w:r>
          </w:p>
        </w:tc>
        <w:tc>
          <w:tcPr>
            <w:tcW w:w="1555" w:type="dxa"/>
            <w:shd w:val="clear" w:color="auto" w:fill="404040" w:themeFill="text1" w:themeFillTint="BF"/>
            <w:vAlign w:val="center"/>
          </w:tcPr>
          <w:p w14:paraId="3092CE62" w14:textId="77777777" w:rsidR="00FC23B6" w:rsidRPr="00046DA5" w:rsidRDefault="00FC23B6" w:rsidP="00377963">
            <w:pPr>
              <w:pStyle w:val="TableHeading0"/>
              <w:rPr>
                <w:color w:val="FFFFFF" w:themeColor="background1"/>
              </w:rPr>
            </w:pPr>
            <w:r w:rsidRPr="00046DA5">
              <w:rPr>
                <w:color w:val="FFFFFF" w:themeColor="background1"/>
              </w:rPr>
              <w:t>VHF band</w:t>
            </w:r>
          </w:p>
        </w:tc>
        <w:tc>
          <w:tcPr>
            <w:tcW w:w="1556" w:type="dxa"/>
            <w:shd w:val="clear" w:color="auto" w:fill="404040" w:themeFill="text1" w:themeFillTint="BF"/>
            <w:vAlign w:val="center"/>
          </w:tcPr>
          <w:p w14:paraId="0B045EEB" w14:textId="77777777" w:rsidR="00FC23B6" w:rsidRPr="00046DA5" w:rsidRDefault="00FC23B6" w:rsidP="00377963">
            <w:pPr>
              <w:pStyle w:val="TableHeading0"/>
              <w:rPr>
                <w:color w:val="FFFFFF" w:themeColor="background1"/>
              </w:rPr>
            </w:pPr>
            <w:r w:rsidRPr="00046DA5">
              <w:rPr>
                <w:color w:val="FFFFFF" w:themeColor="background1"/>
              </w:rPr>
              <w:t>UHF band</w:t>
            </w:r>
          </w:p>
        </w:tc>
      </w:tr>
      <w:tr w:rsidR="00FC23B6" w:rsidRPr="00046DA5" w14:paraId="5ED50615" w14:textId="77777777" w:rsidTr="00CD224B">
        <w:trPr>
          <w:tblHeader/>
        </w:trPr>
        <w:tc>
          <w:tcPr>
            <w:tcW w:w="2284" w:type="dxa"/>
          </w:tcPr>
          <w:p w14:paraId="1D1C045D" w14:textId="77777777" w:rsidR="00FC23B6" w:rsidRPr="00046DA5" w:rsidRDefault="00FC23B6" w:rsidP="00377963">
            <w:pPr>
              <w:pStyle w:val="TableBody"/>
              <w:keepNext/>
              <w:keepLines/>
              <w:rPr>
                <w:rFonts w:cs="Arial"/>
              </w:rPr>
            </w:pPr>
            <w:r w:rsidRPr="00046DA5">
              <w:rPr>
                <w:rFonts w:cstheme="minorHAnsi"/>
                <w:color w:val="000000"/>
                <w:szCs w:val="20"/>
              </w:rPr>
              <w:t>Low</w:t>
            </w:r>
          </w:p>
        </w:tc>
        <w:tc>
          <w:tcPr>
            <w:tcW w:w="1555" w:type="dxa"/>
          </w:tcPr>
          <w:p w14:paraId="56E02F63" w14:textId="77777777" w:rsidR="00FC23B6" w:rsidRPr="00046DA5" w:rsidRDefault="00FC23B6" w:rsidP="00377963">
            <w:pPr>
              <w:keepNext/>
              <w:keepLines/>
              <w:spacing w:after="0"/>
              <w:rPr>
                <w:rFonts w:cs="Arial"/>
                <w:szCs w:val="20"/>
              </w:rPr>
            </w:pPr>
            <w:r w:rsidRPr="00046DA5">
              <w:rPr>
                <w:rFonts w:cstheme="minorHAnsi"/>
                <w:color w:val="000000"/>
                <w:szCs w:val="20"/>
              </w:rPr>
              <w:t>n/a</w:t>
            </w:r>
          </w:p>
        </w:tc>
        <w:tc>
          <w:tcPr>
            <w:tcW w:w="1555" w:type="dxa"/>
          </w:tcPr>
          <w:p w14:paraId="7186CD5E" w14:textId="77777777" w:rsidR="00FC23B6" w:rsidRPr="00046DA5" w:rsidRDefault="00FC23B6" w:rsidP="00377963">
            <w:pPr>
              <w:keepNext/>
              <w:keepLines/>
              <w:spacing w:after="0"/>
              <w:rPr>
                <w:rFonts w:cs="Arial"/>
                <w:szCs w:val="20"/>
              </w:rPr>
            </w:pPr>
            <w:r w:rsidRPr="00046DA5">
              <w:rPr>
                <w:rFonts w:cstheme="minorHAnsi"/>
                <w:color w:val="000000"/>
                <w:szCs w:val="20"/>
              </w:rPr>
              <w:t>Not more than 150 watts ERP</w:t>
            </w:r>
          </w:p>
        </w:tc>
        <w:tc>
          <w:tcPr>
            <w:tcW w:w="1555" w:type="dxa"/>
          </w:tcPr>
          <w:p w14:paraId="5B817845" w14:textId="77777777" w:rsidR="00FC23B6" w:rsidRPr="00046DA5" w:rsidRDefault="00FC23B6" w:rsidP="00377963">
            <w:pPr>
              <w:keepNext/>
              <w:keepLines/>
              <w:spacing w:after="0"/>
              <w:rPr>
                <w:rFonts w:cs="Arial"/>
                <w:szCs w:val="20"/>
              </w:rPr>
            </w:pPr>
            <w:r w:rsidRPr="00046DA5">
              <w:rPr>
                <w:rFonts w:cstheme="minorHAnsi"/>
                <w:color w:val="000000"/>
                <w:szCs w:val="20"/>
              </w:rPr>
              <w:t>Not more than 150 watts ERP</w:t>
            </w:r>
          </w:p>
        </w:tc>
        <w:tc>
          <w:tcPr>
            <w:tcW w:w="1556" w:type="dxa"/>
          </w:tcPr>
          <w:p w14:paraId="10EFE947" w14:textId="77777777" w:rsidR="00FC23B6" w:rsidRPr="00046DA5" w:rsidRDefault="00FC23B6" w:rsidP="00377963">
            <w:pPr>
              <w:keepNext/>
              <w:keepLines/>
              <w:spacing w:after="0"/>
              <w:rPr>
                <w:rFonts w:cs="Arial"/>
                <w:szCs w:val="20"/>
              </w:rPr>
            </w:pPr>
            <w:r w:rsidRPr="00046DA5">
              <w:rPr>
                <w:rFonts w:cstheme="minorHAnsi"/>
                <w:color w:val="000000"/>
                <w:szCs w:val="20"/>
              </w:rPr>
              <w:t>Not more than 600 watts ERP</w:t>
            </w:r>
          </w:p>
        </w:tc>
      </w:tr>
      <w:tr w:rsidR="00FC23B6" w:rsidRPr="00046DA5" w14:paraId="0314CEF7" w14:textId="77777777" w:rsidTr="00CD224B">
        <w:trPr>
          <w:tblHeader/>
        </w:trPr>
        <w:tc>
          <w:tcPr>
            <w:tcW w:w="2284" w:type="dxa"/>
          </w:tcPr>
          <w:p w14:paraId="2D5743CC" w14:textId="77777777" w:rsidR="00FC23B6" w:rsidRPr="00046DA5" w:rsidRDefault="00FC23B6" w:rsidP="00377963">
            <w:pPr>
              <w:pStyle w:val="TableBody"/>
              <w:keepNext/>
              <w:keepLines/>
              <w:rPr>
                <w:rFonts w:cs="Arial"/>
              </w:rPr>
            </w:pPr>
            <w:r w:rsidRPr="00046DA5">
              <w:rPr>
                <w:rFonts w:cstheme="minorHAnsi"/>
                <w:color w:val="000000"/>
                <w:szCs w:val="20"/>
              </w:rPr>
              <w:t>Medium</w:t>
            </w:r>
          </w:p>
        </w:tc>
        <w:tc>
          <w:tcPr>
            <w:tcW w:w="1555" w:type="dxa"/>
          </w:tcPr>
          <w:p w14:paraId="07D0BFBB" w14:textId="77777777" w:rsidR="00FC23B6" w:rsidRPr="00046DA5" w:rsidRDefault="00FC23B6" w:rsidP="00377963">
            <w:pPr>
              <w:keepNext/>
              <w:keepLines/>
              <w:spacing w:after="0"/>
              <w:rPr>
                <w:rFonts w:cs="Arial"/>
                <w:szCs w:val="20"/>
              </w:rPr>
            </w:pPr>
            <w:r w:rsidRPr="00046DA5">
              <w:rPr>
                <w:rFonts w:cstheme="minorHAnsi"/>
                <w:color w:val="000000"/>
                <w:szCs w:val="20"/>
              </w:rPr>
              <w:t>Not more than 220 volts CMF</w:t>
            </w:r>
          </w:p>
        </w:tc>
        <w:tc>
          <w:tcPr>
            <w:tcW w:w="1555" w:type="dxa"/>
          </w:tcPr>
          <w:p w14:paraId="6E581B82" w14:textId="77777777" w:rsidR="00FC23B6" w:rsidRPr="00046DA5" w:rsidRDefault="00FC23B6" w:rsidP="00377963">
            <w:pPr>
              <w:keepNext/>
              <w:keepLines/>
              <w:spacing w:after="0"/>
              <w:rPr>
                <w:rFonts w:cs="Arial"/>
                <w:szCs w:val="20"/>
              </w:rPr>
            </w:pPr>
            <w:r w:rsidRPr="00046DA5">
              <w:rPr>
                <w:rFonts w:cstheme="minorHAnsi"/>
                <w:color w:val="000000"/>
                <w:szCs w:val="20"/>
              </w:rPr>
              <w:t>Greater than 150 watts ERP but not more than 15,000 watts ERP</w:t>
            </w:r>
          </w:p>
        </w:tc>
        <w:tc>
          <w:tcPr>
            <w:tcW w:w="1555" w:type="dxa"/>
          </w:tcPr>
          <w:p w14:paraId="45243B5E" w14:textId="77777777" w:rsidR="00FC23B6" w:rsidRPr="00046DA5" w:rsidRDefault="00FC23B6" w:rsidP="00377963">
            <w:pPr>
              <w:keepNext/>
              <w:keepLines/>
              <w:spacing w:after="0"/>
              <w:rPr>
                <w:rFonts w:cs="Arial"/>
                <w:szCs w:val="20"/>
              </w:rPr>
            </w:pPr>
            <w:r w:rsidRPr="00046DA5">
              <w:rPr>
                <w:rFonts w:cstheme="minorHAnsi"/>
                <w:color w:val="000000"/>
                <w:szCs w:val="20"/>
              </w:rPr>
              <w:t>Greater than 150 watts ERP but not more than 15,000 watts ERP</w:t>
            </w:r>
          </w:p>
        </w:tc>
        <w:tc>
          <w:tcPr>
            <w:tcW w:w="1556" w:type="dxa"/>
          </w:tcPr>
          <w:p w14:paraId="1A0669C8" w14:textId="77777777" w:rsidR="00FC23B6" w:rsidRPr="00046DA5" w:rsidRDefault="00FC23B6" w:rsidP="00377963">
            <w:pPr>
              <w:keepNext/>
              <w:keepLines/>
              <w:spacing w:after="0"/>
              <w:rPr>
                <w:rFonts w:cs="Arial"/>
                <w:szCs w:val="20"/>
              </w:rPr>
            </w:pPr>
            <w:r w:rsidRPr="00046DA5">
              <w:rPr>
                <w:rFonts w:cstheme="minorHAnsi"/>
                <w:color w:val="000000"/>
                <w:szCs w:val="20"/>
              </w:rPr>
              <w:t>Greater than 600 watts ERP but not more than 60,000 watts ERP</w:t>
            </w:r>
          </w:p>
        </w:tc>
      </w:tr>
      <w:tr w:rsidR="00FC23B6" w:rsidRPr="00046DA5" w14:paraId="249B7E57" w14:textId="77777777" w:rsidTr="00CD224B">
        <w:trPr>
          <w:tblHeader/>
        </w:trPr>
        <w:tc>
          <w:tcPr>
            <w:tcW w:w="2284" w:type="dxa"/>
          </w:tcPr>
          <w:p w14:paraId="50547AC6" w14:textId="77777777" w:rsidR="00FC23B6" w:rsidRPr="00046DA5" w:rsidRDefault="00FC23B6" w:rsidP="00377963">
            <w:pPr>
              <w:pStyle w:val="TableBody"/>
              <w:rPr>
                <w:rFonts w:cs="Arial"/>
              </w:rPr>
            </w:pPr>
            <w:r w:rsidRPr="00046DA5">
              <w:rPr>
                <w:rFonts w:cstheme="minorHAnsi"/>
                <w:color w:val="000000"/>
                <w:szCs w:val="20"/>
              </w:rPr>
              <w:t>High</w:t>
            </w:r>
          </w:p>
        </w:tc>
        <w:tc>
          <w:tcPr>
            <w:tcW w:w="1555" w:type="dxa"/>
          </w:tcPr>
          <w:p w14:paraId="53F6DBBE" w14:textId="77777777" w:rsidR="00FC23B6" w:rsidRPr="00046DA5" w:rsidRDefault="00FC23B6" w:rsidP="00377963">
            <w:pPr>
              <w:spacing w:after="0"/>
              <w:rPr>
                <w:rFonts w:cs="Arial"/>
                <w:szCs w:val="20"/>
              </w:rPr>
            </w:pPr>
            <w:r w:rsidRPr="00046DA5">
              <w:rPr>
                <w:rFonts w:cstheme="minorHAnsi"/>
                <w:color w:val="000000"/>
                <w:szCs w:val="20"/>
              </w:rPr>
              <w:t>Greater than 220 volts CMF</w:t>
            </w:r>
          </w:p>
        </w:tc>
        <w:tc>
          <w:tcPr>
            <w:tcW w:w="1555" w:type="dxa"/>
          </w:tcPr>
          <w:p w14:paraId="4058E263" w14:textId="77777777" w:rsidR="00FC23B6" w:rsidRPr="00046DA5" w:rsidRDefault="00FC23B6" w:rsidP="00377963">
            <w:pPr>
              <w:spacing w:after="0"/>
              <w:rPr>
                <w:rFonts w:cs="Arial"/>
                <w:szCs w:val="20"/>
              </w:rPr>
            </w:pPr>
            <w:r w:rsidRPr="00046DA5">
              <w:rPr>
                <w:rFonts w:cstheme="minorHAnsi"/>
                <w:color w:val="000000"/>
                <w:szCs w:val="20"/>
              </w:rPr>
              <w:t>Greater than 15,000 watts ERP</w:t>
            </w:r>
          </w:p>
        </w:tc>
        <w:tc>
          <w:tcPr>
            <w:tcW w:w="1555" w:type="dxa"/>
          </w:tcPr>
          <w:p w14:paraId="2CF1CC0E" w14:textId="77777777" w:rsidR="00FC23B6" w:rsidRPr="00046DA5" w:rsidRDefault="00FC23B6" w:rsidP="00377963">
            <w:pPr>
              <w:spacing w:after="0"/>
              <w:rPr>
                <w:rFonts w:cs="Arial"/>
                <w:szCs w:val="20"/>
              </w:rPr>
            </w:pPr>
            <w:r w:rsidRPr="00046DA5">
              <w:rPr>
                <w:rFonts w:cstheme="minorHAnsi"/>
                <w:color w:val="000000"/>
                <w:szCs w:val="20"/>
              </w:rPr>
              <w:t>Greater than 15,000 watts ERP</w:t>
            </w:r>
          </w:p>
        </w:tc>
        <w:tc>
          <w:tcPr>
            <w:tcW w:w="1556" w:type="dxa"/>
          </w:tcPr>
          <w:p w14:paraId="532DF1A1" w14:textId="77777777" w:rsidR="00FC23B6" w:rsidRPr="00046DA5" w:rsidRDefault="00FC23B6" w:rsidP="00377963">
            <w:pPr>
              <w:spacing w:after="0"/>
              <w:rPr>
                <w:rFonts w:cs="Arial"/>
                <w:szCs w:val="20"/>
              </w:rPr>
            </w:pPr>
            <w:r w:rsidRPr="00046DA5">
              <w:rPr>
                <w:rFonts w:cstheme="minorHAnsi"/>
                <w:color w:val="000000"/>
                <w:szCs w:val="20"/>
              </w:rPr>
              <w:t>Greater than 60,000 watts ERP</w:t>
            </w:r>
          </w:p>
        </w:tc>
      </w:tr>
    </w:tbl>
    <w:p w14:paraId="51852EF2" w14:textId="77777777" w:rsidR="00FC23B6" w:rsidRPr="00046DA5" w:rsidRDefault="00FC23B6" w:rsidP="00CD224B">
      <w:pPr>
        <w:pStyle w:val="Heading3"/>
        <w:spacing w:before="360"/>
      </w:pPr>
      <w:bookmarkStart w:id="85" w:name="_Toc12944001"/>
      <w:r w:rsidRPr="00046DA5">
        <w:lastRenderedPageBreak/>
        <w:t>Calculation method</w:t>
      </w:r>
      <w:bookmarkEnd w:id="85"/>
    </w:p>
    <w:p w14:paraId="7D66E7FB" w14:textId="77777777" w:rsidR="00FC23B6" w:rsidRPr="00046DA5" w:rsidRDefault="00FC23B6" w:rsidP="00FC23B6">
      <w:pPr>
        <w:pStyle w:val="Heading3"/>
      </w:pPr>
      <w:bookmarkStart w:id="86" w:name="_Toc12944002"/>
      <w:r w:rsidRPr="00046DA5">
        <w:t>1. Determine the uncapped individual transmitter amount</w:t>
      </w:r>
      <w:bookmarkEnd w:id="86"/>
    </w:p>
    <w:p w14:paraId="6FDE81DD" w14:textId="77777777" w:rsidR="00FC23B6" w:rsidRPr="00046DA5" w:rsidRDefault="00FC23B6" w:rsidP="00FC23B6">
      <w:pPr>
        <w:spacing w:after="80"/>
        <w:rPr>
          <w:rFonts w:cs="Arial"/>
        </w:rPr>
      </w:pPr>
      <w:r w:rsidRPr="00046DA5">
        <w:rPr>
          <w:rFonts w:cs="Arial"/>
        </w:rPr>
        <w:t>To determine the tax amount for an individual transmitter, according to the Tax Determination:</w:t>
      </w:r>
    </w:p>
    <w:p w14:paraId="4628FAE3" w14:textId="219CB10A" w:rsidR="00FC23B6" w:rsidRPr="00046DA5" w:rsidRDefault="00FC23B6" w:rsidP="00FC23B6">
      <w:pPr>
        <w:pStyle w:val="ListBullet"/>
      </w:pPr>
      <w:r w:rsidRPr="00046DA5">
        <w:t>Find the $/kHz rate for the band (AM, FM, VHF or UHF) and area density (high, medium, low or remote) in which the transmitter operates</w:t>
      </w:r>
      <w:r w:rsidR="005A479A" w:rsidRPr="00046DA5">
        <w:t xml:space="preserve"> and </w:t>
      </w:r>
      <w:r w:rsidR="00F0560A" w:rsidRPr="00046DA5">
        <w:t xml:space="preserve">that has been </w:t>
      </w:r>
      <w:r w:rsidR="005A479A" w:rsidRPr="00046DA5">
        <w:t>increased for inflation</w:t>
      </w:r>
      <w:r w:rsidRPr="00046DA5">
        <w:t>.</w:t>
      </w:r>
      <w:r w:rsidRPr="00046DA5">
        <w:rPr>
          <w:vertAlign w:val="superscript"/>
        </w:rPr>
        <w:footnoteReference w:id="16"/>
      </w:r>
      <w:r w:rsidRPr="00046DA5">
        <w:t xml:space="preserve"> </w:t>
      </w:r>
    </w:p>
    <w:p w14:paraId="2D2DBD31" w14:textId="77777777" w:rsidR="00FC23B6" w:rsidRPr="00046DA5" w:rsidRDefault="00FC23B6" w:rsidP="00FC23B6">
      <w:pPr>
        <w:pStyle w:val="ListBullet"/>
      </w:pPr>
      <w:r w:rsidRPr="00046DA5">
        <w:t>Multiply this rate by the amount of bandwidth (in kHz) used by the transmitter, which will depend on the spectrum band:</w:t>
      </w:r>
    </w:p>
    <w:p w14:paraId="4EBFDBC3" w14:textId="77777777" w:rsidR="00FC23B6" w:rsidRPr="00046DA5" w:rsidRDefault="00FC23B6" w:rsidP="00FC23B6">
      <w:pPr>
        <w:pStyle w:val="ListBullet2"/>
      </w:pPr>
      <w:r w:rsidRPr="00046DA5">
        <w:t>AM band: 18 kHz</w:t>
      </w:r>
    </w:p>
    <w:p w14:paraId="315EB550" w14:textId="77777777" w:rsidR="00FC23B6" w:rsidRPr="00046DA5" w:rsidRDefault="00FC23B6" w:rsidP="00FC23B6">
      <w:pPr>
        <w:pStyle w:val="ListBullet2"/>
      </w:pPr>
      <w:r w:rsidRPr="00046DA5">
        <w:t>FM band: 200 kHz</w:t>
      </w:r>
    </w:p>
    <w:p w14:paraId="195E8001" w14:textId="77777777" w:rsidR="00FC23B6" w:rsidRPr="00046DA5" w:rsidRDefault="00FC23B6" w:rsidP="00FC23B6">
      <w:pPr>
        <w:pStyle w:val="ListBullet2"/>
      </w:pPr>
      <w:r w:rsidRPr="00046DA5">
        <w:t>VHF/UHF band: 7,000 kHz.</w:t>
      </w:r>
      <w:r w:rsidRPr="00046DA5">
        <w:rPr>
          <w:vertAlign w:val="superscript"/>
        </w:rPr>
        <w:footnoteReference w:id="17"/>
      </w:r>
      <w:r w:rsidRPr="00046DA5">
        <w:t xml:space="preserve"> </w:t>
      </w:r>
    </w:p>
    <w:p w14:paraId="596153D8" w14:textId="3359F6DB" w:rsidR="00FC23B6" w:rsidRPr="00046DA5" w:rsidRDefault="00FC23B6" w:rsidP="00FC23B6">
      <w:pPr>
        <w:pStyle w:val="ListBullet"/>
      </w:pPr>
      <w:r w:rsidRPr="00046DA5">
        <w:t>Multiply the new amount by the maximum power factor</w:t>
      </w:r>
      <w:r w:rsidR="000612F2" w:rsidRPr="00046DA5">
        <w:t>.</w:t>
      </w:r>
      <w:r w:rsidRPr="00046DA5">
        <w:t xml:space="preserve"> </w:t>
      </w:r>
      <w:r w:rsidR="00DE3EAF" w:rsidRPr="00046DA5">
        <w:t>For each level of power, the</w:t>
      </w:r>
      <w:r w:rsidR="00DE3EAF" w:rsidRPr="00046DA5" w:rsidDel="00DE3EAF">
        <w:t xml:space="preserve"> </w:t>
      </w:r>
      <w:r w:rsidRPr="00046DA5">
        <w:t>maximum power factor is:</w:t>
      </w:r>
    </w:p>
    <w:p w14:paraId="05DA6921" w14:textId="77777777" w:rsidR="00FC23B6" w:rsidRPr="00046DA5" w:rsidRDefault="00FC23B6" w:rsidP="00FC23B6">
      <w:pPr>
        <w:pStyle w:val="ListBullet2"/>
      </w:pPr>
      <w:r w:rsidRPr="00046DA5">
        <w:t>low power: 0.1</w:t>
      </w:r>
    </w:p>
    <w:p w14:paraId="26FFBA6E" w14:textId="77777777" w:rsidR="00FC23B6" w:rsidRPr="00046DA5" w:rsidRDefault="00FC23B6" w:rsidP="00FC23B6">
      <w:pPr>
        <w:pStyle w:val="ListBullet2"/>
      </w:pPr>
      <w:r w:rsidRPr="00046DA5">
        <w:t>medium power: 1</w:t>
      </w:r>
    </w:p>
    <w:p w14:paraId="3B9FE494" w14:textId="77777777" w:rsidR="00FC23B6" w:rsidRPr="00046DA5" w:rsidRDefault="00FC23B6" w:rsidP="00FC23B6">
      <w:pPr>
        <w:pStyle w:val="ListBullet2"/>
        <w:spacing w:after="240"/>
      </w:pPr>
      <w:r w:rsidRPr="00046DA5">
        <w:t>high power: 10.</w:t>
      </w:r>
    </w:p>
    <w:p w14:paraId="0010DAB6" w14:textId="0D01E059" w:rsidR="00FC23B6" w:rsidRPr="00046DA5" w:rsidRDefault="00FC23B6" w:rsidP="00FC23B6">
      <w:pPr>
        <w:spacing w:after="80"/>
      </w:pPr>
      <w:r w:rsidRPr="00046DA5">
        <w:t>This method will result in the individual transmitter amount being calculated:</w:t>
      </w:r>
    </w:p>
    <w:p w14:paraId="21A31C89" w14:textId="77777777" w:rsidR="00FC23B6" w:rsidRPr="00046DA5" w:rsidRDefault="00FC23B6" w:rsidP="00FC23B6">
      <w:r w:rsidRPr="00046DA5">
        <w:t xml:space="preserve"> $/kHz rate x bandwidth x maximum power factor = individual transmitter amount. </w:t>
      </w:r>
    </w:p>
    <w:p w14:paraId="098A71E4" w14:textId="77777777" w:rsidR="00FC23B6" w:rsidRPr="00046DA5" w:rsidRDefault="00FC23B6" w:rsidP="00FC23B6">
      <w:r w:rsidRPr="00046DA5">
        <w:t>This amount should then be rounded to the nearest dollar (with 50 cents rounded up).</w:t>
      </w:r>
    </w:p>
    <w:p w14:paraId="1F3FE8D5" w14:textId="77777777" w:rsidR="00FC23B6" w:rsidRPr="00046DA5" w:rsidRDefault="00FC23B6" w:rsidP="00711554">
      <w:pPr>
        <w:keepNext/>
        <w:keepLines/>
        <w:spacing w:after="80"/>
        <w:rPr>
          <w:rFonts w:cs="Arial"/>
          <w:b/>
        </w:rPr>
      </w:pPr>
      <w:r w:rsidRPr="00046DA5">
        <w:rPr>
          <w:rFonts w:cs="Arial"/>
          <w:b/>
        </w:rPr>
        <w:t xml:space="preserve">For example: </w:t>
      </w:r>
    </w:p>
    <w:p w14:paraId="71D40546" w14:textId="77777777" w:rsidR="00FC23B6" w:rsidRPr="00046DA5" w:rsidRDefault="00FC23B6" w:rsidP="00711554">
      <w:pPr>
        <w:pStyle w:val="ListBullet"/>
        <w:keepNext/>
        <w:keepLines/>
        <w:rPr>
          <w:rFonts w:cs="Arial"/>
        </w:rPr>
      </w:pPr>
      <w:r w:rsidRPr="00046DA5">
        <w:rPr>
          <w:rFonts w:cs="Arial"/>
        </w:rPr>
        <w:t>In 2019–20, the $/kHz rate for a high-power FM band transmitter in a medium density location is 9.5732, as per the relevant table in Appendix B.</w:t>
      </w:r>
    </w:p>
    <w:p w14:paraId="6DDB3CB9" w14:textId="77777777" w:rsidR="00FC23B6" w:rsidRPr="00046DA5" w:rsidRDefault="00FC23B6" w:rsidP="00711554">
      <w:pPr>
        <w:pStyle w:val="ListBullet"/>
        <w:keepNext/>
        <w:keepLines/>
        <w:rPr>
          <w:rFonts w:cs="Arial"/>
        </w:rPr>
      </w:pPr>
      <w:r w:rsidRPr="00046DA5">
        <w:rPr>
          <w:rFonts w:cs="Arial"/>
        </w:rPr>
        <w:t>A transmitter operating in the FM band uses 200 kHz. The 200 kHz of bandwidth is multiplied by the $/kHz rate of 9.5732 to equal 1914.63.</w:t>
      </w:r>
    </w:p>
    <w:p w14:paraId="0EB56D70" w14:textId="77777777" w:rsidR="00FC23B6" w:rsidRPr="00046DA5" w:rsidRDefault="00FC23B6" w:rsidP="00711554">
      <w:pPr>
        <w:pStyle w:val="ListBullet"/>
        <w:keepNext/>
        <w:keepLines/>
        <w:rPr>
          <w:rFonts w:cs="Arial"/>
        </w:rPr>
      </w:pPr>
      <w:r w:rsidRPr="00046DA5">
        <w:rPr>
          <w:rFonts w:cs="Arial"/>
        </w:rPr>
        <w:t>The maximum power factor for a high-power transmitter is 10. Therefore, the amount of $1,914.63 needs to be multiplied by 10, which equals $19,146.32.</w:t>
      </w:r>
    </w:p>
    <w:p w14:paraId="61340846" w14:textId="77777777" w:rsidR="00FC23B6" w:rsidRPr="00046DA5" w:rsidRDefault="00FC23B6" w:rsidP="00711554">
      <w:pPr>
        <w:pStyle w:val="ListBulletLast"/>
        <w:keepNext/>
        <w:keepLines/>
      </w:pPr>
      <w:r w:rsidRPr="00046DA5">
        <w:t>This amount is rounded to the nearest dollar, leading to an uncapped individual transmitter amount of $19,146.</w:t>
      </w:r>
    </w:p>
    <w:p w14:paraId="23A96D6C" w14:textId="786CDF6A" w:rsidR="003917D3" w:rsidRPr="00046DA5" w:rsidRDefault="003917D3" w:rsidP="003917D3">
      <w:pPr>
        <w:pStyle w:val="Heading1"/>
        <w:rPr>
          <w:rFonts w:asciiTheme="majorHAnsi" w:hAnsiTheme="majorHAnsi"/>
        </w:rPr>
      </w:pPr>
      <w:bookmarkStart w:id="87" w:name="_Toc33758223"/>
      <w:bookmarkStart w:id="88" w:name="_Hlk29901734"/>
      <w:r w:rsidRPr="00046DA5">
        <w:lastRenderedPageBreak/>
        <w:t>Appendix D</w:t>
      </w:r>
      <w:r w:rsidR="00DE3EAF" w:rsidRPr="00046DA5">
        <w:t xml:space="preserve">: </w:t>
      </w:r>
      <w:r w:rsidRPr="00046DA5">
        <w:t>ACMA implementation of opportunity cost pricing of spectrum</w:t>
      </w:r>
      <w:bookmarkEnd w:id="87"/>
    </w:p>
    <w:bookmarkEnd w:id="88"/>
    <w:p w14:paraId="317A8483" w14:textId="5FE86429" w:rsidR="003D0BE4" w:rsidRPr="00046DA5" w:rsidRDefault="003D0BE4" w:rsidP="003D0BE4">
      <w:r w:rsidRPr="00046DA5">
        <w:t>In 2009</w:t>
      </w:r>
      <w:r w:rsidR="00DE3EAF" w:rsidRPr="00046DA5">
        <w:t>,</w:t>
      </w:r>
      <w:r w:rsidRPr="00046DA5">
        <w:t xml:space="preserve"> the ACMA introduced opportunity cost pricing as a methodology to better promote efficient use of spectrum. The idea is to set administrative prices for radio spectrum based on the opportunity cost of that spectrum, which creates better incentives for spectrum to move to high-value users/uses, and for end services to be provided at least cost</w:t>
      </w:r>
      <w:r w:rsidR="002C1A80" w:rsidRPr="00046DA5">
        <w:t xml:space="preserve">. </w:t>
      </w:r>
    </w:p>
    <w:p w14:paraId="443A6A69" w14:textId="65D6D5D0" w:rsidR="003D0BE4" w:rsidRPr="00046DA5" w:rsidRDefault="003D0BE4" w:rsidP="00C17623">
      <w:pPr>
        <w:spacing w:after="80"/>
      </w:pPr>
      <w:r w:rsidRPr="00046DA5">
        <w:t>The opportunity cost of a part of the radiofrequency spectrum is the value of the spectrum in the highest value alternative use that is denied by granting access to one party rather than to the alternative</w:t>
      </w:r>
      <w:r w:rsidR="002C1A80" w:rsidRPr="00046DA5">
        <w:t xml:space="preserve">. </w:t>
      </w:r>
      <w:r w:rsidR="00D41EF3" w:rsidRPr="00046DA5">
        <w:t xml:space="preserve">There are </w:t>
      </w:r>
      <w:r w:rsidRPr="00046DA5">
        <w:t>various methods for calculating opportunity cost</w:t>
      </w:r>
      <w:r w:rsidR="00FE45AB" w:rsidRPr="00046DA5">
        <w:t>,</w:t>
      </w:r>
      <w:r w:rsidRPr="00046DA5">
        <w:t xml:space="preserve"> including:</w:t>
      </w:r>
    </w:p>
    <w:p w14:paraId="1011094D" w14:textId="452056C4" w:rsidR="003D0BE4" w:rsidRPr="00046DA5" w:rsidRDefault="00FE45AB" w:rsidP="00C17623">
      <w:pPr>
        <w:pStyle w:val="ListBullet"/>
      </w:pPr>
      <w:r w:rsidRPr="00046DA5">
        <w:t>m</w:t>
      </w:r>
      <w:r w:rsidR="003D0BE4" w:rsidRPr="00046DA5">
        <w:t>arket valuation methods</w:t>
      </w:r>
      <w:r w:rsidRPr="00046DA5">
        <w:t>:</w:t>
      </w:r>
    </w:p>
    <w:p w14:paraId="789E8990" w14:textId="04AD7AA5" w:rsidR="003D0BE4" w:rsidRPr="00046DA5" w:rsidRDefault="00FE45AB" w:rsidP="00C17623">
      <w:pPr>
        <w:pStyle w:val="ListBullet2"/>
      </w:pPr>
      <w:r w:rsidRPr="00046DA5">
        <w:t>s</w:t>
      </w:r>
      <w:r w:rsidR="003D0BE4" w:rsidRPr="00046DA5">
        <w:t xml:space="preserve">pectrum value can be deduced from spectrum market transactions, such as past auction results from the same or similar bands, nationally or internationally, and spectrum trades in the secondary market </w:t>
      </w:r>
    </w:p>
    <w:p w14:paraId="75105B29" w14:textId="77777777" w:rsidR="003D0BE4" w:rsidRPr="00046DA5" w:rsidRDefault="003D0BE4" w:rsidP="00C17623">
      <w:pPr>
        <w:pStyle w:val="ListBullet2"/>
      </w:pPr>
      <w:r w:rsidRPr="00046DA5">
        <w:t xml:space="preserve">deducing value from the value of companies that own spectrum by subtracting the value of non-spectrum assets. This can also be done at the product level for products that use spectrum and by subtracting the value of non-spectrum inputs. </w:t>
      </w:r>
    </w:p>
    <w:p w14:paraId="0F862BDC" w14:textId="0E46AC77" w:rsidR="003D0BE4" w:rsidRPr="00046DA5" w:rsidRDefault="00FE45AB" w:rsidP="00C17623">
      <w:pPr>
        <w:pStyle w:val="ListBullet"/>
      </w:pPr>
      <w:r w:rsidRPr="00046DA5">
        <w:t>d</w:t>
      </w:r>
      <w:r w:rsidR="003D0BE4" w:rsidRPr="00046DA5">
        <w:t>irect calculation methods</w:t>
      </w:r>
      <w:r w:rsidRPr="00046DA5">
        <w:t>:</w:t>
      </w:r>
    </w:p>
    <w:p w14:paraId="294D430E" w14:textId="69E04D63" w:rsidR="003D0BE4" w:rsidRPr="00046DA5" w:rsidRDefault="00FE45AB" w:rsidP="00C17623">
      <w:pPr>
        <w:pStyle w:val="ListBullet2"/>
      </w:pPr>
      <w:r w:rsidRPr="00046DA5">
        <w:t>n</w:t>
      </w:r>
      <w:r w:rsidR="003D0BE4" w:rsidRPr="00046DA5">
        <w:t xml:space="preserve">et present value (NPV): </w:t>
      </w:r>
      <w:r w:rsidRPr="00046DA5">
        <w:t>t</w:t>
      </w:r>
      <w:r w:rsidR="003D0BE4" w:rsidRPr="00046DA5">
        <w:t xml:space="preserve">his approach models the value of spectrum to </w:t>
      </w:r>
      <w:r w:rsidR="00C11B1F" w:rsidRPr="00046DA5">
        <w:t>buyers/users</w:t>
      </w:r>
      <w:r w:rsidR="003D0BE4" w:rsidRPr="00046DA5">
        <w:t xml:space="preserve">, by forecasting cost and revenues expected to be derived over time from buying the spectrum </w:t>
      </w:r>
    </w:p>
    <w:p w14:paraId="14124967" w14:textId="5760218C" w:rsidR="003D0BE4" w:rsidRPr="00046DA5" w:rsidRDefault="00FE45AB" w:rsidP="00C17623">
      <w:pPr>
        <w:pStyle w:val="ListBullet2"/>
      </w:pPr>
      <w:r w:rsidRPr="00046DA5">
        <w:t>l</w:t>
      </w:r>
      <w:r w:rsidR="003D0BE4" w:rsidRPr="00046DA5">
        <w:t xml:space="preserve">east </w:t>
      </w:r>
      <w:r w:rsidRPr="00046DA5">
        <w:t>c</w:t>
      </w:r>
      <w:r w:rsidR="003D0BE4" w:rsidRPr="00046DA5">
        <w:t xml:space="preserve">ost </w:t>
      </w:r>
      <w:r w:rsidRPr="00046DA5">
        <w:t>a</w:t>
      </w:r>
      <w:r w:rsidR="003D0BE4" w:rsidRPr="00046DA5">
        <w:t>lternative (LCA)</w:t>
      </w:r>
      <w:r w:rsidRPr="00046DA5">
        <w:t>,</w:t>
      </w:r>
      <w:r w:rsidR="003D0BE4" w:rsidRPr="00046DA5">
        <w:t xml:space="preserve"> or sometimes known as </w:t>
      </w:r>
      <w:r w:rsidRPr="00046DA5">
        <w:t>o</w:t>
      </w:r>
      <w:r w:rsidR="003D0BE4" w:rsidRPr="00046DA5">
        <w:t xml:space="preserve">ptimal </w:t>
      </w:r>
      <w:r w:rsidRPr="00046DA5">
        <w:t>d</w:t>
      </w:r>
      <w:r w:rsidR="003D0BE4" w:rsidRPr="00046DA5">
        <w:t xml:space="preserve">eprival </w:t>
      </w:r>
      <w:r w:rsidRPr="00046DA5">
        <w:t>v</w:t>
      </w:r>
      <w:r w:rsidR="003D0BE4" w:rsidRPr="00046DA5">
        <w:t>aluation (ODV)</w:t>
      </w:r>
      <w:r w:rsidRPr="00046DA5">
        <w:t>:</w:t>
      </w:r>
      <w:r w:rsidR="003D0BE4" w:rsidRPr="00046DA5">
        <w:t xml:space="preserve"> this method calculates the cost impact of a hypothetical marginal change in spectrum on the costs of an ‘average firm’ in the sector, assuming the level of output and service quality were kept constant. If a marginal unit of spectrum is denied (that is, unavailable due to congestion) to a cellular operator, how many base stations (and other inputs) would need to be erected and what are the associated costs that would need to be incurred to maintain output quantity and quality if spectrum was available? These extra costs inform the value of that marginal unit of spectrum. </w:t>
      </w:r>
    </w:p>
    <w:p w14:paraId="1C96BBAD" w14:textId="1DF3CF3A" w:rsidR="003D0BE4" w:rsidRPr="00046DA5" w:rsidRDefault="003D0BE4" w:rsidP="003D0BE4">
      <w:pPr>
        <w:pStyle w:val="Heading2"/>
      </w:pPr>
      <w:bookmarkStart w:id="89" w:name="_Toc33758224"/>
      <w:r w:rsidRPr="00046DA5">
        <w:t>O</w:t>
      </w:r>
      <w:r w:rsidR="00E87F0D" w:rsidRPr="00046DA5">
        <w:t xml:space="preserve">pportunity </w:t>
      </w:r>
      <w:r w:rsidR="00FE45AB" w:rsidRPr="00046DA5">
        <w:t>c</w:t>
      </w:r>
      <w:r w:rsidR="00E87F0D" w:rsidRPr="00046DA5">
        <w:t>ost</w:t>
      </w:r>
      <w:r w:rsidRPr="00046DA5">
        <w:t xml:space="preserve"> pricing in the 400</w:t>
      </w:r>
      <w:r w:rsidR="00FE45AB" w:rsidRPr="00046DA5">
        <w:t xml:space="preserve"> </w:t>
      </w:r>
      <w:r w:rsidRPr="00046DA5">
        <w:t>MHz band</w:t>
      </w:r>
      <w:bookmarkEnd w:id="89"/>
      <w:r w:rsidRPr="00046DA5">
        <w:t xml:space="preserve"> </w:t>
      </w:r>
    </w:p>
    <w:p w14:paraId="5DAAABB8" w14:textId="1CA65163" w:rsidR="003D0BE4" w:rsidRPr="00046DA5" w:rsidRDefault="003D0BE4" w:rsidP="003D0BE4">
      <w:pPr>
        <w:rPr>
          <w:rFonts w:cs="Arial"/>
        </w:rPr>
      </w:pPr>
      <w:r w:rsidRPr="00046DA5">
        <w:t xml:space="preserve">Shortly after the ACMA adopted </w:t>
      </w:r>
      <w:r w:rsidR="00FE45AB" w:rsidRPr="00046DA5">
        <w:t>o</w:t>
      </w:r>
      <w:r w:rsidR="00DD2742" w:rsidRPr="00046DA5">
        <w:t xml:space="preserve">pportunity </w:t>
      </w:r>
      <w:r w:rsidR="00FE45AB" w:rsidRPr="00046DA5">
        <w:t>c</w:t>
      </w:r>
      <w:r w:rsidR="00DD2742" w:rsidRPr="00046DA5">
        <w:t xml:space="preserve">ost </w:t>
      </w:r>
      <w:r w:rsidRPr="00046DA5">
        <w:t xml:space="preserve">pricing, the ACMA reviewed the </w:t>
      </w:r>
      <w:r w:rsidR="00FE45AB" w:rsidRPr="00046DA5">
        <w:t>400 </w:t>
      </w:r>
      <w:r w:rsidRPr="00046DA5">
        <w:t>MHz band</w:t>
      </w:r>
      <w:r w:rsidR="00FE45AB" w:rsidRPr="00046DA5">
        <w:t>,</w:t>
      </w:r>
      <w:r w:rsidRPr="00046DA5">
        <w:t xml:space="preserve"> which it considered a high priority band that was experiencing significant congestion. A</w:t>
      </w:r>
      <w:r w:rsidRPr="00046DA5">
        <w:rPr>
          <w:rFonts w:cs="Arial"/>
        </w:rPr>
        <w:t xml:space="preserve">s part of that review, in August 2012 the ACMA proposed </w:t>
      </w:r>
      <w:r w:rsidR="007D46F6" w:rsidRPr="00046DA5">
        <w:rPr>
          <w:rFonts w:cs="Arial"/>
        </w:rPr>
        <w:t xml:space="preserve">opportunity cost </w:t>
      </w:r>
      <w:r w:rsidRPr="00046DA5">
        <w:rPr>
          <w:rFonts w:cs="Arial"/>
        </w:rPr>
        <w:t>pricing in that band</w:t>
      </w:r>
      <w:r w:rsidR="00FE45AB" w:rsidRPr="00046DA5">
        <w:rPr>
          <w:rFonts w:cs="Arial"/>
        </w:rPr>
        <w:t>,</w:t>
      </w:r>
      <w:r w:rsidRPr="00046DA5">
        <w:rPr>
          <w:rFonts w:cs="Arial"/>
        </w:rPr>
        <w:t xml:space="preserve"> with a potential </w:t>
      </w:r>
      <w:r w:rsidR="00687315" w:rsidRPr="00046DA5">
        <w:rPr>
          <w:rFonts w:cs="Arial"/>
        </w:rPr>
        <w:t xml:space="preserve">annual </w:t>
      </w:r>
      <w:r w:rsidRPr="00046DA5">
        <w:rPr>
          <w:rFonts w:cs="Arial"/>
        </w:rPr>
        <w:t>tax rate of $199/kHz in high-density areas of Sydney/Wollongong, Melbourne/Geelong and Brisbane/Gold Coast.</w:t>
      </w:r>
      <w:r w:rsidRPr="00046DA5">
        <w:rPr>
          <w:rStyle w:val="FootnoteReference"/>
          <w:rFonts w:cstheme="minorBidi"/>
        </w:rPr>
        <w:footnoteReference w:id="18"/>
      </w:r>
      <w:r w:rsidRPr="00046DA5">
        <w:rPr>
          <w:rFonts w:cs="Arial"/>
        </w:rPr>
        <w:t xml:space="preserve"> The potential target tax rate was based on the least cost alternative (LSA) methodology. </w:t>
      </w:r>
    </w:p>
    <w:p w14:paraId="778AA3CE" w14:textId="054680B3" w:rsidR="003D0BE4" w:rsidRPr="00046DA5" w:rsidRDefault="003D0BE4" w:rsidP="003D0BE4">
      <w:pPr>
        <w:rPr>
          <w:rFonts w:cstheme="minorBidi"/>
        </w:rPr>
      </w:pPr>
      <w:r w:rsidRPr="00046DA5">
        <w:lastRenderedPageBreak/>
        <w:t xml:space="preserve">The ACMA proposed staged price increases via a series of 15 per cent increments in the licence tax rate. This staged implementation </w:t>
      </w:r>
      <w:r w:rsidR="00FE45AB" w:rsidRPr="00046DA5">
        <w:t xml:space="preserve">reflected </w:t>
      </w:r>
      <w:r w:rsidRPr="00046DA5">
        <w:t xml:space="preserve">uncertainty about the ‘true’ market clearing price and </w:t>
      </w:r>
      <w:r w:rsidR="00FE45AB" w:rsidRPr="00046DA5">
        <w:t xml:space="preserve">provided </w:t>
      </w:r>
      <w:r w:rsidRPr="00046DA5">
        <w:t>flexibility to the ACMA to discontinue tax increases if congestion is eventually removed—and considered unlikely to return in the foreseeable future—prior to all the intended tax increases being implemented.</w:t>
      </w:r>
    </w:p>
    <w:p w14:paraId="1CBB209B" w14:textId="36179006" w:rsidR="003D0BE4" w:rsidRPr="00046DA5" w:rsidRDefault="003D0BE4" w:rsidP="003D0BE4">
      <w:pPr>
        <w:rPr>
          <w:rFonts w:cs="Arial"/>
        </w:rPr>
      </w:pPr>
      <w:r w:rsidRPr="00046DA5">
        <w:rPr>
          <w:rFonts w:cs="Arial"/>
        </w:rPr>
        <w:t xml:space="preserve">The ACMA implemented the first of five intended increments towards a new </w:t>
      </w:r>
      <w:r w:rsidR="00B31D77" w:rsidRPr="00046DA5">
        <w:rPr>
          <w:rFonts w:cs="Arial"/>
        </w:rPr>
        <w:t>opportunity cost</w:t>
      </w:r>
      <w:r w:rsidRPr="00046DA5">
        <w:rPr>
          <w:rFonts w:cs="Arial"/>
        </w:rPr>
        <w:t xml:space="preserve">-based </w:t>
      </w:r>
      <w:r w:rsidR="00801E1A" w:rsidRPr="00046DA5">
        <w:rPr>
          <w:rFonts w:cs="Arial"/>
        </w:rPr>
        <w:t xml:space="preserve">annual </w:t>
      </w:r>
      <w:r w:rsidRPr="00046DA5">
        <w:rPr>
          <w:rFonts w:cs="Arial"/>
        </w:rPr>
        <w:t xml:space="preserve">licence tax rate of $199/kHz (plus annual CPI escalation) for these </w:t>
      </w:r>
      <w:r w:rsidR="005871A9" w:rsidRPr="00046DA5">
        <w:rPr>
          <w:rFonts w:cs="Arial"/>
        </w:rPr>
        <w:t>high-density</w:t>
      </w:r>
      <w:r w:rsidR="005A479A" w:rsidRPr="00046DA5">
        <w:rPr>
          <w:rFonts w:cs="Arial"/>
        </w:rPr>
        <w:t xml:space="preserve"> areas </w:t>
      </w:r>
      <w:r w:rsidRPr="00046DA5">
        <w:rPr>
          <w:rFonts w:cs="Arial"/>
        </w:rPr>
        <w:t>of the 400 MHz band on 15 August 2012.</w:t>
      </w:r>
    </w:p>
    <w:p w14:paraId="51DE9D12" w14:textId="5A5323C6" w:rsidR="003D0BE4" w:rsidRPr="00046DA5" w:rsidRDefault="003D0BE4" w:rsidP="003D0BE4">
      <w:pPr>
        <w:rPr>
          <w:rFonts w:cstheme="minorBidi"/>
        </w:rPr>
      </w:pPr>
      <w:r w:rsidRPr="00046DA5">
        <w:t xml:space="preserve">In 2016, following congestion monitoring and comprehensive consultation, the ACMA implemented the </w:t>
      </w:r>
      <w:r w:rsidR="00B31D77" w:rsidRPr="00046DA5">
        <w:t xml:space="preserve">second </w:t>
      </w:r>
      <w:r w:rsidRPr="00046DA5">
        <w:t xml:space="preserve">price increase in the </w:t>
      </w:r>
      <w:r w:rsidR="00046DA5" w:rsidRPr="00046DA5">
        <w:rPr>
          <w:rFonts w:cs="Arial"/>
        </w:rPr>
        <w:t>high-density</w:t>
      </w:r>
      <w:r w:rsidR="005A479A" w:rsidRPr="00046DA5">
        <w:rPr>
          <w:rFonts w:cs="Arial"/>
        </w:rPr>
        <w:t xml:space="preserve"> areas</w:t>
      </w:r>
      <w:r w:rsidRPr="00046DA5">
        <w:t xml:space="preserve"> of the 400 MHz band. The ACMA also decreased the </w:t>
      </w:r>
      <w:r w:rsidR="00977972" w:rsidRPr="00046DA5">
        <w:t xml:space="preserve">annual </w:t>
      </w:r>
      <w:r w:rsidRPr="00046DA5">
        <w:t>apparatus licence tax rates in remote</w:t>
      </w:r>
      <w:r w:rsidR="00B31D77" w:rsidRPr="00046DA5">
        <w:t xml:space="preserve"> </w:t>
      </w:r>
      <w:r w:rsidRPr="00046DA5">
        <w:t>density areas in the band so that licensees would pay the minimum annual tax for each spectrum access. The proposal to reduce taxes in the remote</w:t>
      </w:r>
      <w:r w:rsidR="00B31D77" w:rsidRPr="00046DA5">
        <w:t xml:space="preserve"> </w:t>
      </w:r>
      <w:r w:rsidRPr="00046DA5">
        <w:t xml:space="preserve">density areas </w:t>
      </w:r>
      <w:r w:rsidR="00391E12" w:rsidRPr="00046DA5">
        <w:t>assumed</w:t>
      </w:r>
      <w:r w:rsidRPr="00046DA5">
        <w:t xml:space="preserve"> that there w</w:t>
      </w:r>
      <w:r w:rsidR="0006597E" w:rsidRPr="00046DA5">
        <w:t>ere</w:t>
      </w:r>
      <w:r w:rsidRPr="00046DA5">
        <w:t xml:space="preserve"> generally low levels of use of spectrum across the remote density areas in the 400 MHz band</w:t>
      </w:r>
      <w:r w:rsidR="00B31D77" w:rsidRPr="00046DA5">
        <w:t>,</w:t>
      </w:r>
      <w:r w:rsidRPr="00046DA5">
        <w:t xml:space="preserve"> which suggested that the opportunity cost was low. </w:t>
      </w:r>
    </w:p>
    <w:p w14:paraId="0252A664" w14:textId="7605823C" w:rsidR="003D0BE4" w:rsidRPr="00046DA5" w:rsidRDefault="003D0BE4" w:rsidP="003D0BE4">
      <w:pPr>
        <w:pStyle w:val="Heading2"/>
      </w:pPr>
      <w:bookmarkStart w:id="90" w:name="_Toc33758225"/>
      <w:r w:rsidRPr="00046DA5">
        <w:t>O</w:t>
      </w:r>
      <w:r w:rsidR="00E06C71" w:rsidRPr="00046DA5">
        <w:t xml:space="preserve">pportunity </w:t>
      </w:r>
      <w:r w:rsidR="00B31D77" w:rsidRPr="00046DA5">
        <w:t>c</w:t>
      </w:r>
      <w:r w:rsidR="00E06C71" w:rsidRPr="00046DA5">
        <w:t>ost</w:t>
      </w:r>
      <w:r w:rsidRPr="00046DA5">
        <w:t xml:space="preserve"> pricing in high frequency satellite bands (Ka and above)</w:t>
      </w:r>
      <w:bookmarkEnd w:id="90"/>
    </w:p>
    <w:p w14:paraId="37C5F1E4" w14:textId="6D07E220" w:rsidR="003D0BE4" w:rsidRPr="00046DA5" w:rsidRDefault="003D0BE4" w:rsidP="003D0BE4">
      <w:r w:rsidRPr="00046DA5">
        <w:t>In 2016, the ACMA reviewed pricing arrangements for high-frequency spectrum bands (</w:t>
      </w:r>
      <w:r w:rsidRPr="00046DA5">
        <w:rPr>
          <w:rFonts w:cs="Arial"/>
        </w:rPr>
        <w:t>17.3–51.4 GHz</w:t>
      </w:r>
      <w:r w:rsidRPr="00046DA5">
        <w:t xml:space="preserve">) because it was receiving stakeholder feedback that prices in high-frequency spectrum bands were high by international standards, suggesting that prices were particularly prohibitive for newer high-bandwidth technologies. </w:t>
      </w:r>
    </w:p>
    <w:p w14:paraId="3FDD8E13" w14:textId="49C66311" w:rsidR="003D0BE4" w:rsidRPr="00046DA5" w:rsidRDefault="003D0BE4" w:rsidP="003D0BE4">
      <w:r w:rsidRPr="00046DA5">
        <w:t xml:space="preserve">The ACMA reviewed congestion levels and anticipated future </w:t>
      </w:r>
      <w:r w:rsidR="00391E12" w:rsidRPr="00046DA5">
        <w:t>demand and</w:t>
      </w:r>
      <w:r w:rsidRPr="00046DA5">
        <w:t xml:space="preserve"> used </w:t>
      </w:r>
      <w:r w:rsidR="001E7D76" w:rsidRPr="00046DA5">
        <w:t xml:space="preserve">opportunity cost </w:t>
      </w:r>
      <w:r w:rsidRPr="00046DA5">
        <w:t>pricing principles and estimation methods to implement price reductions to promote better utilisation of higher frequency spectrum.</w:t>
      </w:r>
    </w:p>
    <w:p w14:paraId="31A03C01" w14:textId="77777777" w:rsidR="003D0BE4" w:rsidRPr="00046DA5" w:rsidRDefault="003D0BE4" w:rsidP="00C17623">
      <w:pPr>
        <w:spacing w:after="80"/>
      </w:pPr>
      <w:r w:rsidRPr="00046DA5">
        <w:t xml:space="preserve">The main tax reform involved the following tax reductions for satellite services in the 17.3–51.4 GHz band: </w:t>
      </w:r>
    </w:p>
    <w:p w14:paraId="6B2AC8AE" w14:textId="627ACD19" w:rsidR="003D0BE4" w:rsidRPr="00046DA5" w:rsidRDefault="003D0BE4" w:rsidP="00C17623">
      <w:pPr>
        <w:pStyle w:val="ListBullet"/>
      </w:pPr>
      <w:r w:rsidRPr="00046DA5">
        <w:t xml:space="preserve">30 per cent for Australia-wide and high-density area licences </w:t>
      </w:r>
    </w:p>
    <w:p w14:paraId="63619EA4" w14:textId="1C1B3271" w:rsidR="003D0BE4" w:rsidRPr="00046DA5" w:rsidRDefault="003D0BE4" w:rsidP="00C17623">
      <w:pPr>
        <w:pStyle w:val="ListBullet"/>
      </w:pPr>
      <w:r w:rsidRPr="00046DA5">
        <w:t>50 per cent for medium-density area and low-density area licences</w:t>
      </w:r>
    </w:p>
    <w:p w14:paraId="330FD4EB" w14:textId="5A6AE447" w:rsidR="003D0BE4" w:rsidRPr="00046DA5" w:rsidRDefault="003D0BE4" w:rsidP="00C17623">
      <w:pPr>
        <w:pStyle w:val="ListBulletLast"/>
      </w:pPr>
      <w:r w:rsidRPr="00046DA5">
        <w:t>$0 tax for remote density area licences (subject to cost recovery fees and the minimum tax).</w:t>
      </w:r>
    </w:p>
    <w:p w14:paraId="04A654F0" w14:textId="77777777" w:rsidR="003917D3" w:rsidRDefault="003917D3" w:rsidP="005F4EE4"/>
    <w:sectPr w:rsidR="003917D3" w:rsidSect="00ED23D4">
      <w:headerReference w:type="even" r:id="rId50"/>
      <w:headerReference w:type="default" r:id="rId51"/>
      <w:footerReference w:type="even" r:id="rId52"/>
      <w:footerReference w:type="default" r:id="rId53"/>
      <w:pgSz w:w="11906" w:h="16838" w:code="9"/>
      <w:pgMar w:top="1945" w:right="3101" w:bottom="1134" w:left="1134" w:header="709"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7A02CC" w14:textId="77777777" w:rsidR="004A685A" w:rsidRDefault="004A685A">
      <w:r>
        <w:separator/>
      </w:r>
    </w:p>
  </w:endnote>
  <w:endnote w:type="continuationSeparator" w:id="0">
    <w:p w14:paraId="2DBC9A54" w14:textId="77777777" w:rsidR="004A685A" w:rsidRDefault="004A685A">
      <w:r>
        <w:continuationSeparator/>
      </w:r>
    </w:p>
  </w:endnote>
  <w:endnote w:type="continuationNotice" w:id="1">
    <w:p w14:paraId="4401AE49" w14:textId="77777777" w:rsidR="004A685A" w:rsidRDefault="004A68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70C1E" w14:textId="77777777" w:rsidR="00535588" w:rsidRDefault="00535588" w:rsidP="005E250B">
    <w:pPr>
      <w:pStyle w:val="Footer"/>
      <w:jc w:val="right"/>
    </w:pPr>
    <w:r w:rsidRPr="005E250B">
      <w:rPr>
        <w:noProof/>
        <w:vertAlign w:val="subscript"/>
      </w:rPr>
      <w:drawing>
        <wp:inline distT="0" distB="0" distL="0" distR="0" wp14:anchorId="3BFF70C6" wp14:editId="51963638">
          <wp:extent cx="1066800" cy="277368"/>
          <wp:effectExtent l="0" t="0" r="0" b="0"/>
          <wp:docPr id="15" name="Picture 15"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cma.gov.au">
                    <a:hlinkClick r:id="rId1"/>
                  </pic:cNvPr>
                  <pic:cNvPicPr/>
                </pic:nvPicPr>
                <pic:blipFill>
                  <a:blip r:embed="rId2"/>
                  <a:stretch>
                    <a:fillRect/>
                  </a:stretch>
                </pic:blipFill>
                <pic:spPr>
                  <a:xfrm>
                    <a:off x="0" y="0"/>
                    <a:ext cx="1133985" cy="294836"/>
                  </a:xfrm>
                  <a:prstGeom prst="rect">
                    <a:avLst/>
                  </a:prstGeom>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3FB22" w14:textId="46A9B9F6" w:rsidR="00535588" w:rsidRPr="00622A3B" w:rsidRDefault="00535588"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Pr>
        <w:noProof/>
        <w:color w:val="505050"/>
      </w:rPr>
      <w:t>1</w:t>
    </w:r>
    <w:r w:rsidRPr="00575AC5">
      <w:rPr>
        <w:color w:val="505050"/>
      </w:rPr>
      <w:fldChar w:fldCharType="end"/>
    </w:r>
  </w:p>
  <w:p w14:paraId="6AD5F9C7" w14:textId="77777777" w:rsidR="00535588" w:rsidRPr="00A5474E" w:rsidRDefault="00535588" w:rsidP="00A547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F6A14" w14:textId="77777777" w:rsidR="00535588" w:rsidRDefault="005355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FB56C" w14:textId="77777777" w:rsidR="00535588" w:rsidRDefault="005355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764B6" w14:textId="77777777" w:rsidR="00535588" w:rsidRPr="00622A3B" w:rsidRDefault="00535588"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iv</w:t>
    </w:r>
    <w:r w:rsidRPr="002E4DDC">
      <w:rPr>
        <w:color w:val="505050"/>
      </w:rPr>
      <w:fldChar w:fldCharType="end"/>
    </w:r>
  </w:p>
  <w:p w14:paraId="6FBF830D" w14:textId="77777777" w:rsidR="00535588" w:rsidRPr="00A5474E" w:rsidRDefault="00535588" w:rsidP="00A547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E2217" w14:textId="77777777" w:rsidR="00535588" w:rsidRPr="00622A3B" w:rsidRDefault="00535588"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v</w:t>
    </w:r>
    <w:r w:rsidRPr="002E4DDC">
      <w:rPr>
        <w:color w:val="505050"/>
      </w:rPr>
      <w:fldChar w:fldCharType="end"/>
    </w:r>
  </w:p>
  <w:p w14:paraId="246E86F4" w14:textId="77777777" w:rsidR="00535588" w:rsidRPr="00A5474E" w:rsidRDefault="00535588" w:rsidP="00A547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377B9" w14:textId="77777777" w:rsidR="00535588" w:rsidRPr="00622A3B" w:rsidRDefault="00535588"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iii</w:t>
    </w:r>
    <w:r w:rsidRPr="002E4DDC">
      <w:rPr>
        <w:color w:val="505050"/>
      </w:rPr>
      <w:fldChar w:fldCharType="end"/>
    </w:r>
  </w:p>
  <w:p w14:paraId="7214E605" w14:textId="77777777" w:rsidR="00535588" w:rsidRPr="00A5474E" w:rsidRDefault="00535588" w:rsidP="00A547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E96C0" w14:textId="77777777" w:rsidR="00535588" w:rsidRPr="00622A3B" w:rsidRDefault="00535588" w:rsidP="00B43262">
    <w:pPr>
      <w:pStyle w:val="FooterLeft"/>
      <w:framePr w:wrap="around" w:x="1141" w:y="16166"/>
      <w:tabs>
        <w:tab w:val="clear" w:pos="113"/>
        <w:tab w:val="right" w:pos="397"/>
      </w:tabs>
    </w:pPr>
    <w:r>
      <w:fldChar w:fldCharType="begin"/>
    </w:r>
    <w:r>
      <w:instrText xml:space="preserve"> PAGE   \* MERGEFORMAT </w:instrText>
    </w:r>
    <w:r>
      <w:fldChar w:fldCharType="separate"/>
    </w:r>
    <w:r>
      <w:rPr>
        <w:noProof/>
      </w:rPr>
      <w:t>1</w:t>
    </w:r>
    <w:r>
      <w:rPr>
        <w:noProof/>
      </w:rPr>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6E2A09CE" w14:textId="77777777" w:rsidR="00535588" w:rsidRPr="00A5474E" w:rsidRDefault="00535588" w:rsidP="00A547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A1073" w14:textId="77777777" w:rsidR="00535588" w:rsidRPr="00622A3B" w:rsidRDefault="00535588"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fldChar w:fldCharType="begin"/>
    </w:r>
    <w:r>
      <w:instrText xml:space="preserve"> PAGE   \* MERGEFORMAT </w:instrText>
    </w:r>
    <w:r>
      <w:fldChar w:fldCharType="separate"/>
    </w:r>
    <w:r>
      <w:rPr>
        <w:noProof/>
      </w:rPr>
      <w:t>1</w:t>
    </w:r>
    <w:r>
      <w:rPr>
        <w:noProof/>
      </w:rPr>
      <w:fldChar w:fldCharType="end"/>
    </w:r>
  </w:p>
  <w:p w14:paraId="74E5D1C2" w14:textId="77777777" w:rsidR="00535588" w:rsidRPr="00A5474E" w:rsidRDefault="00535588" w:rsidP="00A5474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8331E" w14:textId="77777777" w:rsidR="00535588" w:rsidRPr="00622A3B" w:rsidRDefault="00535588"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Pr>
        <w:noProof/>
      </w:rPr>
      <w:t>6</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2A4DF2D9" w14:textId="77777777" w:rsidR="00535588" w:rsidRPr="00A5474E" w:rsidRDefault="00535588" w:rsidP="00A54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458D93" w14:textId="77777777" w:rsidR="004A685A" w:rsidRDefault="004A685A">
      <w:r>
        <w:separator/>
      </w:r>
    </w:p>
  </w:footnote>
  <w:footnote w:type="continuationSeparator" w:id="0">
    <w:p w14:paraId="18DCE538" w14:textId="77777777" w:rsidR="004A685A" w:rsidRDefault="004A685A">
      <w:r>
        <w:continuationSeparator/>
      </w:r>
    </w:p>
  </w:footnote>
  <w:footnote w:type="continuationNotice" w:id="1">
    <w:p w14:paraId="09616AB9" w14:textId="77777777" w:rsidR="004A685A" w:rsidRDefault="004A685A">
      <w:pPr>
        <w:spacing w:after="0" w:line="240" w:lineRule="auto"/>
      </w:pPr>
    </w:p>
  </w:footnote>
  <w:footnote w:id="2">
    <w:p w14:paraId="32F79FBE" w14:textId="49D2D366" w:rsidR="00535588" w:rsidRDefault="00535588">
      <w:pPr>
        <w:pStyle w:val="FootnoteText"/>
      </w:pPr>
      <w:r>
        <w:rPr>
          <w:rStyle w:val="FootnoteReference"/>
        </w:rPr>
        <w:footnoteRef/>
      </w:r>
      <w:r>
        <w:t xml:space="preserve"> The paper outlining the recommendations can be found at: </w:t>
      </w:r>
      <w:hyperlink r:id="rId1" w:history="1">
        <w:r w:rsidRPr="00B94ABF">
          <w:rPr>
            <w:rStyle w:val="Hyperlink"/>
          </w:rPr>
          <w:t>www.communications.gov.au/file/34821/download?token=7jbYg1eg</w:t>
        </w:r>
      </w:hyperlink>
    </w:p>
  </w:footnote>
  <w:footnote w:id="3">
    <w:p w14:paraId="018803B4" w14:textId="264F8455" w:rsidR="00535588" w:rsidRDefault="00535588">
      <w:pPr>
        <w:pStyle w:val="FootnoteText"/>
      </w:pPr>
      <w:r>
        <w:rPr>
          <w:rStyle w:val="FootnoteReference"/>
        </w:rPr>
        <w:footnoteRef/>
      </w:r>
      <w:r>
        <w:t xml:space="preserve"> The current version of the FYSO 2019–23 can be found at: </w:t>
      </w:r>
      <w:hyperlink r:id="rId2" w:history="1">
        <w:r w:rsidRPr="00311529">
          <w:rPr>
            <w:rStyle w:val="Hyperlink"/>
          </w:rPr>
          <w:t>https://www.acma.gov.au/five-year-spectrum-outlook</w:t>
        </w:r>
      </w:hyperlink>
      <w:r>
        <w:t>.</w:t>
      </w:r>
    </w:p>
    <w:p w14:paraId="33E70EDD" w14:textId="77777777" w:rsidR="00535588" w:rsidRDefault="00535588">
      <w:pPr>
        <w:pStyle w:val="FootnoteText"/>
      </w:pPr>
    </w:p>
  </w:footnote>
  <w:footnote w:id="4">
    <w:p w14:paraId="66075C08" w14:textId="54E79A04" w:rsidR="00535588" w:rsidRDefault="00535588">
      <w:pPr>
        <w:pStyle w:val="FootnoteText"/>
      </w:pPr>
      <w:r>
        <w:rPr>
          <w:rStyle w:val="FootnoteReference"/>
        </w:rPr>
        <w:footnoteRef/>
      </w:r>
      <w:r>
        <w:t xml:space="preserve"> Information about the ACMA fees and the Apparatus Licence Fee Schedule can be found at </w:t>
      </w:r>
      <w:hyperlink r:id="rId3" w:history="1">
        <w:r w:rsidRPr="0058755F">
          <w:rPr>
            <w:rStyle w:val="Hyperlink"/>
          </w:rPr>
          <w:t>www.acma.gov.au/fees-apparatus-licences</w:t>
        </w:r>
      </w:hyperlink>
      <w:r w:rsidRPr="00FE07C9">
        <w:rPr>
          <w:rStyle w:val="Hyperlink"/>
          <w:color w:val="auto"/>
          <w:u w:val="none"/>
        </w:rPr>
        <w:t>.</w:t>
      </w:r>
    </w:p>
    <w:p w14:paraId="582AEAAE" w14:textId="77777777" w:rsidR="00535588" w:rsidRDefault="00535588">
      <w:pPr>
        <w:pStyle w:val="FootnoteText"/>
      </w:pPr>
    </w:p>
  </w:footnote>
  <w:footnote w:id="5">
    <w:p w14:paraId="540FDCE7" w14:textId="78B27004" w:rsidR="00535588" w:rsidRDefault="00535588" w:rsidP="00241092">
      <w:pPr>
        <w:pStyle w:val="FootnoteText"/>
        <w:spacing w:after="40"/>
      </w:pPr>
      <w:r>
        <w:rPr>
          <w:rStyle w:val="FootnoteReference"/>
        </w:rPr>
        <w:footnoteRef/>
      </w:r>
      <w:r>
        <w:t xml:space="preserve"> ACMA </w:t>
      </w:r>
      <w:hyperlink r:id="rId4" w:history="1">
        <w:r w:rsidRPr="00E76B26">
          <w:rPr>
            <w:rStyle w:val="Hyperlink"/>
            <w:i/>
          </w:rPr>
          <w:t xml:space="preserve">Corporate </w:t>
        </w:r>
        <w:r>
          <w:rPr>
            <w:rStyle w:val="Hyperlink"/>
            <w:i/>
          </w:rPr>
          <w:t>p</w:t>
        </w:r>
        <w:r w:rsidRPr="00E76B26">
          <w:rPr>
            <w:rStyle w:val="Hyperlink"/>
            <w:i/>
          </w:rPr>
          <w:t>lan 2019</w:t>
        </w:r>
        <w:r>
          <w:rPr>
            <w:rStyle w:val="Hyperlink"/>
            <w:i/>
          </w:rPr>
          <w:t>–</w:t>
        </w:r>
        <w:r w:rsidRPr="00E76B26">
          <w:rPr>
            <w:rStyle w:val="Hyperlink"/>
            <w:i/>
          </w:rPr>
          <w:t>20</w:t>
        </w:r>
      </w:hyperlink>
    </w:p>
  </w:footnote>
  <w:footnote w:id="6">
    <w:p w14:paraId="0BECBC8C" w14:textId="65585A4E" w:rsidR="00535588" w:rsidRDefault="00535588">
      <w:pPr>
        <w:pStyle w:val="FootnoteText"/>
      </w:pPr>
      <w:r>
        <w:rPr>
          <w:rStyle w:val="FootnoteReference"/>
        </w:rPr>
        <w:footnoteRef/>
      </w:r>
      <w:r>
        <w:t xml:space="preserve"> This is also relevant for cost recovery initiatives relating to spectrum licensing.</w:t>
      </w:r>
    </w:p>
  </w:footnote>
  <w:footnote w:id="7">
    <w:p w14:paraId="1092D71E" w14:textId="77777777" w:rsidR="00535588" w:rsidRDefault="00535588" w:rsidP="005D55D2">
      <w:pPr>
        <w:pStyle w:val="FootnoteText"/>
      </w:pPr>
      <w:r>
        <w:rPr>
          <w:rStyle w:val="FootnoteReference"/>
        </w:rPr>
        <w:footnoteRef/>
      </w:r>
      <w:r>
        <w:t xml:space="preserve"> </w:t>
      </w:r>
      <w:r w:rsidRPr="00615474">
        <w:t>Due to possible security issues associated with foreign ownership of aspects of space communications, some applications may be subject to wider government consultation</w:t>
      </w:r>
      <w:r>
        <w:t>.</w:t>
      </w:r>
    </w:p>
  </w:footnote>
  <w:footnote w:id="8">
    <w:p w14:paraId="2CC171EE" w14:textId="0F086A23" w:rsidR="00535588" w:rsidRDefault="00535588" w:rsidP="007727DB">
      <w:pPr>
        <w:pStyle w:val="FootnoteText"/>
      </w:pPr>
      <w:r>
        <w:rPr>
          <w:rStyle w:val="FootnoteReference"/>
        </w:rPr>
        <w:footnoteRef/>
      </w:r>
      <w:r>
        <w:t xml:space="preserve"> </w:t>
      </w:r>
      <w:r w:rsidRPr="004E75B6">
        <w:t xml:space="preserve">CubeSats are a standardised type of small satellite comprising up to six modular units (or cubes) each measuring 10 x 10 x 10 cm with a combined weight under 10 kilograms. CubeSats have a limited operational lifetime of between one to three years. CubeSats usually orbit the Earth in what is known as a non-geostationary orbit (NGSO) in low circular or elliptical orbits, with altitudes between 400 </w:t>
      </w:r>
      <w:r>
        <w:t>and</w:t>
      </w:r>
      <w:r w:rsidRPr="004E75B6">
        <w:t xml:space="preserve"> 800 km. Each orbit of the Earth </w:t>
      </w:r>
      <w:r>
        <w:t>takes</w:t>
      </w:r>
      <w:r w:rsidRPr="004E75B6">
        <w:t xml:space="preserve"> around 90 minutes, with the satellite being visible at any specific point on Earth for only two or three passes a day</w:t>
      </w:r>
      <w:r>
        <w:t>,</w:t>
      </w:r>
      <w:r w:rsidRPr="004E75B6">
        <w:t xml:space="preserve"> of no more than ten minutes visibility</w:t>
      </w:r>
      <w:r>
        <w:t>.</w:t>
      </w:r>
    </w:p>
  </w:footnote>
  <w:footnote w:id="9">
    <w:p w14:paraId="1A4B349D" w14:textId="39969285" w:rsidR="00535588" w:rsidRDefault="00535588" w:rsidP="00CC0BE9">
      <w:pPr>
        <w:pStyle w:val="FootnoteText"/>
        <w:ind w:left="120" w:hanging="120"/>
        <w:rPr>
          <w:sz w:val="18"/>
          <w:szCs w:val="18"/>
        </w:rPr>
      </w:pPr>
      <w:r w:rsidRPr="00784929">
        <w:rPr>
          <w:rStyle w:val="FootnoteReference"/>
          <w:rFonts w:cs="Arial"/>
        </w:rPr>
        <w:footnoteRef/>
      </w:r>
      <w:r w:rsidRPr="00784929">
        <w:rPr>
          <w:rFonts w:cs="Arial"/>
          <w:b/>
        </w:rPr>
        <w:t xml:space="preserve"> </w:t>
      </w:r>
      <w:r w:rsidRPr="00784929">
        <w:rPr>
          <w:rFonts w:cs="Arial"/>
        </w:rPr>
        <w:t>Local terrain clutter may reduce practicably achievable ranges to substantially less than a two</w:t>
      </w:r>
      <w:r>
        <w:rPr>
          <w:rFonts w:cs="Arial"/>
        </w:rPr>
        <w:t>-</w:t>
      </w:r>
      <w:r w:rsidRPr="00784929">
        <w:rPr>
          <w:rFonts w:cs="Arial"/>
        </w:rPr>
        <w:t>kilometre radius.</w:t>
      </w:r>
      <w:r w:rsidRPr="00784929">
        <w:rPr>
          <w:rFonts w:cs="Arial"/>
          <w:b/>
        </w:rPr>
        <w:t xml:space="preserve"> </w:t>
      </w:r>
      <w:r w:rsidRPr="00784929">
        <w:rPr>
          <w:rFonts w:cs="Arial"/>
        </w:rPr>
        <w:t>Frequency re-use distances applicable to low power spectrum accesses are such that ranges will ultimately be interference</w:t>
      </w:r>
      <w:r>
        <w:rPr>
          <w:rFonts w:cs="Arial"/>
        </w:rPr>
        <w:t>-</w:t>
      </w:r>
      <w:r w:rsidRPr="00784929">
        <w:rPr>
          <w:rFonts w:cs="Arial"/>
        </w:rPr>
        <w:t>limited to a maximum of approximately two kilometres.</w:t>
      </w:r>
    </w:p>
  </w:footnote>
  <w:footnote w:id="10">
    <w:p w14:paraId="33D1EAB5" w14:textId="02AB5E4A" w:rsidR="00535588" w:rsidRDefault="00535588">
      <w:pPr>
        <w:pStyle w:val="FootnoteText"/>
      </w:pPr>
      <w:r>
        <w:rPr>
          <w:rStyle w:val="FootnoteReference"/>
        </w:rPr>
        <w:footnoteRef/>
      </w:r>
      <w:r>
        <w:t xml:space="preserve"> The consultation process was </w:t>
      </w:r>
      <w:r w:rsidRPr="00B80D48">
        <w:t>IFC 35/2018 – Land Mobile Services – New small service area models</w:t>
      </w:r>
      <w:r>
        <w:t>.</w:t>
      </w:r>
    </w:p>
  </w:footnote>
  <w:footnote w:id="11">
    <w:p w14:paraId="7D2799B4" w14:textId="6758149C" w:rsidR="00535588" w:rsidRDefault="00535588" w:rsidP="0017116F">
      <w:pPr>
        <w:pStyle w:val="FootnoteText"/>
      </w:pPr>
      <w:r>
        <w:rPr>
          <w:rStyle w:val="FootnoteReference"/>
        </w:rPr>
        <w:footnoteRef/>
      </w:r>
      <w:r>
        <w:t xml:space="preserve"> </w:t>
      </w:r>
      <w:hyperlink r:id="rId5" w:history="1">
        <w:r w:rsidRPr="00030BC3">
          <w:rPr>
            <w:rStyle w:val="Hyperlink"/>
          </w:rPr>
          <w:t>www.acma.gov.au/publications/2018-03/report/managing-spectrum-400-mhz-band</w:t>
        </w:r>
      </w:hyperlink>
    </w:p>
  </w:footnote>
  <w:footnote w:id="12">
    <w:p w14:paraId="73408F0A" w14:textId="71499CCF" w:rsidR="00535588" w:rsidRDefault="00535588" w:rsidP="0017116F">
      <w:pPr>
        <w:pStyle w:val="FootnoteText"/>
      </w:pPr>
      <w:r>
        <w:rPr>
          <w:rStyle w:val="FootnoteReference"/>
        </w:rPr>
        <w:footnoteRef/>
      </w:r>
      <w:r>
        <w:t xml:space="preserve"> The averaged denial indicator depends on the re-use distances for the relevant service type, the size of the relevant high-density area and modelled representative base station locations.</w:t>
      </w:r>
    </w:p>
  </w:footnote>
  <w:footnote w:id="13">
    <w:p w14:paraId="0EBC6E31" w14:textId="77777777" w:rsidR="00535588" w:rsidRDefault="00535588" w:rsidP="0017116F">
      <w:pPr>
        <w:pStyle w:val="FootnoteText"/>
      </w:pPr>
      <w:r>
        <w:rPr>
          <w:rStyle w:val="FootnoteReference"/>
        </w:rPr>
        <w:footnoteRef/>
      </w:r>
      <w:r>
        <w:t xml:space="preserve"> Relative to the size of each high-density area.</w:t>
      </w:r>
    </w:p>
  </w:footnote>
  <w:footnote w:id="14">
    <w:p w14:paraId="3FCE508A" w14:textId="465B80E5" w:rsidR="00535588" w:rsidRDefault="00535588">
      <w:pPr>
        <w:pStyle w:val="FootnoteText"/>
      </w:pPr>
      <w:r>
        <w:rPr>
          <w:rStyle w:val="FootnoteReference"/>
        </w:rPr>
        <w:footnoteRef/>
      </w:r>
      <w:r>
        <w:t xml:space="preserve"> Page 12 of the FYSO.</w:t>
      </w:r>
    </w:p>
  </w:footnote>
  <w:footnote w:id="15">
    <w:p w14:paraId="6623DDE3" w14:textId="77777777" w:rsidR="00535588" w:rsidRDefault="00535588" w:rsidP="00B83419">
      <w:pPr>
        <w:pStyle w:val="FootnoteText"/>
        <w:ind w:left="120" w:hanging="120"/>
        <w:rPr>
          <w:sz w:val="18"/>
          <w:szCs w:val="18"/>
        </w:rPr>
      </w:pPr>
      <w:r w:rsidRPr="00784929">
        <w:rPr>
          <w:rStyle w:val="FootnoteReference"/>
          <w:rFonts w:cs="Arial"/>
        </w:rPr>
        <w:footnoteRef/>
      </w:r>
      <w:r w:rsidRPr="00784929">
        <w:rPr>
          <w:rFonts w:cs="Arial"/>
          <w:b/>
        </w:rPr>
        <w:t xml:space="preserve"> </w:t>
      </w:r>
      <w:r w:rsidRPr="00784929">
        <w:rPr>
          <w:rFonts w:cs="Arial"/>
        </w:rPr>
        <w:t>Local terrain clutter may reduce practicably achievable ranges to substantially less than a two</w:t>
      </w:r>
      <w:r>
        <w:rPr>
          <w:rFonts w:cs="Arial"/>
        </w:rPr>
        <w:t>-</w:t>
      </w:r>
      <w:r w:rsidRPr="00784929">
        <w:rPr>
          <w:rFonts w:cs="Arial"/>
        </w:rPr>
        <w:t>kilometre radius.</w:t>
      </w:r>
      <w:r w:rsidRPr="00784929">
        <w:rPr>
          <w:rFonts w:cs="Arial"/>
          <w:b/>
        </w:rPr>
        <w:t xml:space="preserve"> </w:t>
      </w:r>
      <w:r w:rsidRPr="00784929">
        <w:rPr>
          <w:rFonts w:cs="Arial"/>
        </w:rPr>
        <w:t>Frequency re-use distances applicable to low power spectrum accesses are such that ranges will ultimately be interference limited to a maximum of approximately two kilometres.</w:t>
      </w:r>
    </w:p>
  </w:footnote>
  <w:footnote w:id="16">
    <w:p w14:paraId="242E542D" w14:textId="77777777" w:rsidR="00535588" w:rsidRDefault="00535588" w:rsidP="00FC23B6">
      <w:pPr>
        <w:pStyle w:val="FootnoteText"/>
      </w:pPr>
      <w:r>
        <w:rPr>
          <w:rStyle w:val="FootnoteReference"/>
        </w:rPr>
        <w:footnoteRef/>
      </w:r>
      <w:r>
        <w:t xml:space="preserve"> The $/kHz table for 2017–18 can be found at section 6(5) of the </w:t>
      </w:r>
      <w:hyperlink r:id="rId6" w:history="1">
        <w:r w:rsidRPr="008044CF">
          <w:rPr>
            <w:rStyle w:val="Hyperlink"/>
          </w:rPr>
          <w:t>Tax Determination</w:t>
        </w:r>
      </w:hyperlink>
      <w:r>
        <w:t>.</w:t>
      </w:r>
    </w:p>
  </w:footnote>
  <w:footnote w:id="17">
    <w:p w14:paraId="1F12928C" w14:textId="77777777" w:rsidR="00535588" w:rsidRDefault="00535588" w:rsidP="00FC23B6">
      <w:pPr>
        <w:pStyle w:val="FootnoteText"/>
      </w:pPr>
      <w:r>
        <w:rPr>
          <w:rStyle w:val="FootnoteReference"/>
        </w:rPr>
        <w:footnoteRef/>
      </w:r>
      <w:r>
        <w:t xml:space="preserve"> The bandwidth amounts can be found at section 6(7) of the </w:t>
      </w:r>
      <w:hyperlink r:id="rId7" w:history="1">
        <w:r w:rsidRPr="00266B0E">
          <w:rPr>
            <w:rStyle w:val="Hyperlink"/>
          </w:rPr>
          <w:t>Tax Determination</w:t>
        </w:r>
      </w:hyperlink>
      <w:r>
        <w:t>.</w:t>
      </w:r>
    </w:p>
  </w:footnote>
  <w:footnote w:id="18">
    <w:p w14:paraId="5DC0D4EF" w14:textId="70FE14E9" w:rsidR="00535588" w:rsidRDefault="00535588" w:rsidP="003D0BE4">
      <w:pPr>
        <w:pStyle w:val="FootnoteText"/>
      </w:pPr>
      <w:r>
        <w:rPr>
          <w:rStyle w:val="FootnoteReference"/>
        </w:rPr>
        <w:footnoteRef/>
      </w:r>
      <w:r>
        <w:t xml:space="preserve"> These high density areas are depicted as maps along with their geo-spatial coordinates in the </w:t>
      </w:r>
      <w:hyperlink r:id="rId8" w:history="1">
        <w:r>
          <w:rPr>
            <w:rStyle w:val="Hyperlink"/>
            <w:rFonts w:eastAsiaTheme="majorEastAsia"/>
          </w:rPr>
          <w:t>A</w:t>
        </w:r>
        <w:r w:rsidRPr="00B661D3">
          <w:rPr>
            <w:rStyle w:val="Hyperlink"/>
            <w:rFonts w:eastAsiaTheme="majorEastAsia" w:cs="Arial"/>
          </w:rPr>
          <w:t xml:space="preserve">pparatus </w:t>
        </w:r>
        <w:r>
          <w:rPr>
            <w:rStyle w:val="Hyperlink"/>
            <w:rFonts w:eastAsiaTheme="majorEastAsia" w:cs="Arial"/>
          </w:rPr>
          <w:t>L</w:t>
        </w:r>
        <w:r w:rsidRPr="00B661D3">
          <w:rPr>
            <w:rStyle w:val="Hyperlink"/>
            <w:rFonts w:eastAsiaTheme="majorEastAsia" w:cs="Arial"/>
          </w:rPr>
          <w:t xml:space="preserve">icence </w:t>
        </w:r>
        <w:r>
          <w:rPr>
            <w:rStyle w:val="Hyperlink"/>
            <w:rFonts w:eastAsiaTheme="majorEastAsia" w:cs="Arial"/>
          </w:rPr>
          <w:t>F</w:t>
        </w:r>
        <w:r w:rsidRPr="00B661D3">
          <w:rPr>
            <w:rStyle w:val="Hyperlink"/>
            <w:rFonts w:eastAsiaTheme="majorEastAsia" w:cs="Arial"/>
          </w:rPr>
          <w:t xml:space="preserve">ee </w:t>
        </w:r>
        <w:r>
          <w:rPr>
            <w:rStyle w:val="Hyperlink"/>
            <w:rFonts w:eastAsiaTheme="majorEastAsia" w:cs="Arial"/>
          </w:rPr>
          <w:t>S</w:t>
        </w:r>
        <w:r w:rsidRPr="00B661D3">
          <w:rPr>
            <w:rStyle w:val="Hyperlink"/>
            <w:rFonts w:eastAsiaTheme="majorEastAsia" w:cs="Arial"/>
          </w:rPr>
          <w:t>chedule</w:t>
        </w:r>
      </w:hyperlink>
      <w:r w:rsidRPr="00B661D3">
        <w:t>.</w:t>
      </w:r>
      <w:r>
        <w:rPr>
          <w:rFonts w:cs="Arial"/>
          <w:bCs/>
          <w:iCs/>
          <w:lang w:eastAsia="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93F2B" w14:textId="77777777" w:rsidR="00535588" w:rsidRPr="00A5474E" w:rsidRDefault="00535588" w:rsidP="00A5474E">
    <w:pPr>
      <w:pStyle w:val="Header"/>
    </w:pPr>
    <w:r>
      <w:rPr>
        <w:noProof/>
      </w:rPr>
      <w:drawing>
        <wp:inline distT="0" distB="0" distL="0" distR="0" wp14:anchorId="1A55B713" wp14:editId="655D0115">
          <wp:extent cx="6210300" cy="571134"/>
          <wp:effectExtent l="0" t="0" r="0" b="0"/>
          <wp:docPr id="14" name="Picture 14" descr="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stretch>
                    <a:fillRect/>
                  </a:stretch>
                </pic:blipFill>
                <pic:spPr>
                  <a:xfrm>
                    <a:off x="0" y="0"/>
                    <a:ext cx="6210300" cy="571134"/>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74AAB" w14:textId="77777777" w:rsidR="00535588" w:rsidRDefault="005355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5D627" w14:textId="77777777" w:rsidR="00535588" w:rsidRPr="00A5474E" w:rsidRDefault="00535588" w:rsidP="00594E9C">
    <w:pPr>
      <w:pStyle w:val="TOCHeading"/>
    </w:pPr>
    <w:r w:rsidRPr="0029593B">
      <w:t>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CF9F8" w14:textId="77777777" w:rsidR="00535588" w:rsidRDefault="005355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97BAE" w14:textId="77777777" w:rsidR="00535588" w:rsidRDefault="005355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678" w:type="dxa"/>
      <w:tblLayout w:type="fixed"/>
      <w:tblCellMar>
        <w:left w:w="0" w:type="dxa"/>
        <w:right w:w="0" w:type="dxa"/>
      </w:tblCellMar>
      <w:tblLook w:val="01E0" w:firstRow="1" w:lastRow="1" w:firstColumn="1" w:lastColumn="1" w:noHBand="0" w:noVBand="0"/>
    </w:tblPr>
    <w:tblGrid>
      <w:gridCol w:w="7678"/>
    </w:tblGrid>
    <w:tr w:rsidR="00535588" w14:paraId="05C110A2" w14:textId="77777777" w:rsidTr="00C962B7">
      <w:trPr>
        <w:trHeight w:hRule="exact" w:val="988"/>
      </w:trPr>
      <w:tc>
        <w:tcPr>
          <w:tcW w:w="7678" w:type="dxa"/>
          <w:shd w:val="clear" w:color="auto" w:fill="auto"/>
        </w:tcPr>
        <w:p w14:paraId="74F568C4" w14:textId="77777777" w:rsidR="00535588" w:rsidRDefault="00535588" w:rsidP="00971914">
          <w:pPr>
            <w:pStyle w:val="Header"/>
          </w:pPr>
        </w:p>
      </w:tc>
    </w:tr>
    <w:tr w:rsidR="00535588" w14:paraId="6F9166A3" w14:textId="77777777" w:rsidTr="00C962B7">
      <w:tc>
        <w:tcPr>
          <w:tcW w:w="7678" w:type="dxa"/>
          <w:shd w:val="clear" w:color="auto" w:fill="auto"/>
        </w:tcPr>
        <w:p w14:paraId="5AA7B9D7" w14:textId="77777777" w:rsidR="00535588" w:rsidRDefault="00535588" w:rsidP="00971914">
          <w:pPr>
            <w:pStyle w:val="GridTable31"/>
          </w:pPr>
          <w:r>
            <w:t xml:space="preserve">Contents </w:t>
          </w:r>
          <w:r w:rsidRPr="00915B1C">
            <w:rPr>
              <w:b w:val="0"/>
              <w:spacing w:val="0"/>
              <w:sz w:val="28"/>
              <w:szCs w:val="28"/>
            </w:rPr>
            <w:t>(Continued)</w:t>
          </w:r>
        </w:p>
      </w:tc>
    </w:tr>
    <w:tr w:rsidR="00535588" w14:paraId="0F2CE2B6" w14:textId="77777777" w:rsidTr="00C962B7">
      <w:trPr>
        <w:trHeight w:val="1220"/>
      </w:trPr>
      <w:tc>
        <w:tcPr>
          <w:tcW w:w="7678" w:type="dxa"/>
          <w:shd w:val="clear" w:color="auto" w:fill="auto"/>
        </w:tcPr>
        <w:p w14:paraId="381B6CE2" w14:textId="77777777" w:rsidR="00535588" w:rsidRDefault="00535588" w:rsidP="00971914"/>
      </w:tc>
    </w:tr>
  </w:tbl>
  <w:p w14:paraId="480213F8" w14:textId="77777777" w:rsidR="00535588" w:rsidRDefault="00535588" w:rsidP="009719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678" w:type="dxa"/>
      <w:tblLayout w:type="fixed"/>
      <w:tblCellMar>
        <w:left w:w="0" w:type="dxa"/>
        <w:right w:w="0" w:type="dxa"/>
      </w:tblCellMar>
      <w:tblLook w:val="01E0" w:firstRow="1" w:lastRow="1" w:firstColumn="1" w:lastColumn="1" w:noHBand="0" w:noVBand="0"/>
    </w:tblPr>
    <w:tblGrid>
      <w:gridCol w:w="7678"/>
    </w:tblGrid>
    <w:tr w:rsidR="00535588" w14:paraId="344BEE95" w14:textId="77777777" w:rsidTr="00C962B7">
      <w:trPr>
        <w:trHeight w:hRule="exact" w:val="988"/>
      </w:trPr>
      <w:tc>
        <w:tcPr>
          <w:tcW w:w="7678" w:type="dxa"/>
          <w:shd w:val="clear" w:color="auto" w:fill="auto"/>
        </w:tcPr>
        <w:p w14:paraId="25B538AC" w14:textId="77777777" w:rsidR="00535588" w:rsidRDefault="00535588" w:rsidP="00971914">
          <w:pPr>
            <w:pStyle w:val="Header"/>
          </w:pPr>
        </w:p>
      </w:tc>
    </w:tr>
    <w:tr w:rsidR="00535588" w14:paraId="60FB0741" w14:textId="77777777" w:rsidTr="00C962B7">
      <w:tc>
        <w:tcPr>
          <w:tcW w:w="7678" w:type="dxa"/>
          <w:shd w:val="clear" w:color="auto" w:fill="auto"/>
        </w:tcPr>
        <w:p w14:paraId="600CAAA3" w14:textId="77777777" w:rsidR="00535588" w:rsidRDefault="00535588" w:rsidP="00971914">
          <w:pPr>
            <w:pStyle w:val="GridTable31"/>
          </w:pPr>
          <w:r>
            <w:t xml:space="preserve">Contents </w:t>
          </w:r>
          <w:r w:rsidRPr="00915B1C">
            <w:rPr>
              <w:b w:val="0"/>
              <w:spacing w:val="0"/>
              <w:sz w:val="28"/>
              <w:szCs w:val="28"/>
            </w:rPr>
            <w:t>(Continued)</w:t>
          </w:r>
        </w:p>
      </w:tc>
    </w:tr>
    <w:tr w:rsidR="00535588" w14:paraId="0176117F" w14:textId="77777777" w:rsidTr="00C962B7">
      <w:trPr>
        <w:trHeight w:val="1220"/>
      </w:trPr>
      <w:tc>
        <w:tcPr>
          <w:tcW w:w="7678" w:type="dxa"/>
          <w:shd w:val="clear" w:color="auto" w:fill="auto"/>
        </w:tcPr>
        <w:p w14:paraId="195232DD" w14:textId="77777777" w:rsidR="00535588" w:rsidRDefault="00535588" w:rsidP="00971914"/>
      </w:tc>
    </w:tr>
  </w:tbl>
  <w:p w14:paraId="2989D402" w14:textId="77777777" w:rsidR="00535588" w:rsidRPr="00A5474E" w:rsidRDefault="00535588" w:rsidP="00A547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2E475" w14:textId="77777777" w:rsidR="00535588" w:rsidRDefault="0053558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5EF88" w14:textId="77777777" w:rsidR="00535588" w:rsidRDefault="0053558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46D42" w14:textId="77777777" w:rsidR="00535588" w:rsidRDefault="005355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75F22F60"/>
    <w:lvl w:ilvl="0">
      <w:start w:val="1"/>
      <w:numFmt w:val="lowerRoman"/>
      <w:pStyle w:val="ListNumber2"/>
      <w:lvlText w:val="%1."/>
      <w:lvlJc w:val="right"/>
      <w:pPr>
        <w:ind w:left="717" w:hanging="360"/>
      </w:pPr>
      <w:rPr>
        <w:rFonts w:hint="default"/>
      </w:rPr>
    </w:lvl>
  </w:abstractNum>
  <w:abstractNum w:abstractNumId="1" w15:restartNumberingAfterBreak="0">
    <w:nsid w:val="FFFFFF83"/>
    <w:multiLevelType w:val="singleLevel"/>
    <w:tmpl w:val="909E78B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2" w15:restartNumberingAfterBreak="0">
    <w:nsid w:val="FFFFFF88"/>
    <w:multiLevelType w:val="singleLevel"/>
    <w:tmpl w:val="F4D2DDE0"/>
    <w:lvl w:ilvl="0">
      <w:start w:val="1"/>
      <w:numFmt w:val="decimal"/>
      <w:lvlText w:val="%1."/>
      <w:lvlJc w:val="left"/>
      <w:pPr>
        <w:ind w:left="360" w:hanging="360"/>
      </w:pPr>
      <w:rPr>
        <w:rFonts w:hint="default"/>
        <w:b w:val="0"/>
        <w:bCs/>
        <w:caps/>
        <w:sz w:val="20"/>
      </w:rPr>
    </w:lvl>
  </w:abstractNum>
  <w:abstractNum w:abstractNumId="3" w15:restartNumberingAfterBreak="0">
    <w:nsid w:val="FFFFFF89"/>
    <w:multiLevelType w:val="singleLevel"/>
    <w:tmpl w:val="961E7C4A"/>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4" w15:restartNumberingAfterBreak="0">
    <w:nsid w:val="03D53F79"/>
    <w:multiLevelType w:val="hybridMultilevel"/>
    <w:tmpl w:val="9B885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785D4A"/>
    <w:multiLevelType w:val="hybridMultilevel"/>
    <w:tmpl w:val="5F080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BD67FD"/>
    <w:multiLevelType w:val="hybridMultilevel"/>
    <w:tmpl w:val="2E3C4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5D697B"/>
    <w:multiLevelType w:val="hybridMultilevel"/>
    <w:tmpl w:val="CE2269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C2B0798"/>
    <w:multiLevelType w:val="hybridMultilevel"/>
    <w:tmpl w:val="067E5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CB6CDA"/>
    <w:multiLevelType w:val="hybridMultilevel"/>
    <w:tmpl w:val="45EA94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D8C601F"/>
    <w:multiLevelType w:val="hybridMultilevel"/>
    <w:tmpl w:val="BBA0746A"/>
    <w:lvl w:ilvl="0" w:tplc="7B804E66">
      <w:start w:val="1"/>
      <w:numFmt w:val="decimal"/>
      <w:lvlText w:val="%1."/>
      <w:lvlJc w:val="left"/>
      <w:pPr>
        <w:ind w:left="4275"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E76A81"/>
    <w:multiLevelType w:val="hybridMultilevel"/>
    <w:tmpl w:val="6CCC4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F3097E"/>
    <w:multiLevelType w:val="hybridMultilevel"/>
    <w:tmpl w:val="98A0A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C147F9"/>
    <w:multiLevelType w:val="hybridMultilevel"/>
    <w:tmpl w:val="C3701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5" w15:restartNumberingAfterBreak="0">
    <w:nsid w:val="3BBE2093"/>
    <w:multiLevelType w:val="hybridMultilevel"/>
    <w:tmpl w:val="B6520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686CE1"/>
    <w:multiLevelType w:val="hybridMultilevel"/>
    <w:tmpl w:val="A080E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1C4A20"/>
    <w:multiLevelType w:val="hybridMultilevel"/>
    <w:tmpl w:val="0394BB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6B6CF4"/>
    <w:multiLevelType w:val="hybridMultilevel"/>
    <w:tmpl w:val="1206B532"/>
    <w:lvl w:ilvl="0" w:tplc="48EAAD14">
      <w:start w:val="1"/>
      <w:numFmt w:val="decimal"/>
      <w:pStyle w:val="ListNumber"/>
      <w:lvlText w:val="%1."/>
      <w:lvlJc w:val="left"/>
      <w:pPr>
        <w:ind w:left="360" w:hanging="360"/>
      </w:pPr>
      <w:rPr>
        <w:rFonts w:hint="default"/>
        <w:b w:val="0"/>
        <w:bCs/>
        <w:caps/>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2E0451B"/>
    <w:multiLevelType w:val="hybridMultilevel"/>
    <w:tmpl w:val="C38EA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40582B"/>
    <w:multiLevelType w:val="hybridMultilevel"/>
    <w:tmpl w:val="56046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4A111B"/>
    <w:multiLevelType w:val="hybridMultilevel"/>
    <w:tmpl w:val="CD664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DC7818"/>
    <w:multiLevelType w:val="hybridMultilevel"/>
    <w:tmpl w:val="E3DE7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AA21F0"/>
    <w:multiLevelType w:val="hybridMultilevel"/>
    <w:tmpl w:val="9B5CB936"/>
    <w:lvl w:ilvl="0" w:tplc="CCA08FFA">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192E4B"/>
    <w:multiLevelType w:val="hybridMultilevel"/>
    <w:tmpl w:val="742EA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994096"/>
    <w:multiLevelType w:val="hybridMultilevel"/>
    <w:tmpl w:val="E1BEB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071478"/>
    <w:multiLevelType w:val="hybridMultilevel"/>
    <w:tmpl w:val="16D2B96E"/>
    <w:lvl w:ilvl="0" w:tplc="3A9CF91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396062"/>
    <w:multiLevelType w:val="hybridMultilevel"/>
    <w:tmpl w:val="AAD89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DB3E5F"/>
    <w:multiLevelType w:val="hybridMultilevel"/>
    <w:tmpl w:val="21BC7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CB49D3"/>
    <w:multiLevelType w:val="hybridMultilevel"/>
    <w:tmpl w:val="BA840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462499"/>
    <w:multiLevelType w:val="hybridMultilevel"/>
    <w:tmpl w:val="87AA0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2A56223"/>
    <w:multiLevelType w:val="hybridMultilevel"/>
    <w:tmpl w:val="59B4C8C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4704C64"/>
    <w:multiLevelType w:val="hybridMultilevel"/>
    <w:tmpl w:val="A11A1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C1F1341"/>
    <w:multiLevelType w:val="hybridMultilevel"/>
    <w:tmpl w:val="A15820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7D9056D7"/>
    <w:multiLevelType w:val="hybridMultilevel"/>
    <w:tmpl w:val="A1688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DB55616"/>
    <w:multiLevelType w:val="hybridMultilevel"/>
    <w:tmpl w:val="9C90C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EE86E52"/>
    <w:multiLevelType w:val="hybridMultilevel"/>
    <w:tmpl w:val="10E6B460"/>
    <w:lvl w:ilvl="0" w:tplc="5608DFA4">
      <w:start w:val="1"/>
      <w:numFmt w:val="bullet"/>
      <w:lvlText w:val="•"/>
      <w:lvlJc w:val="left"/>
      <w:pPr>
        <w:tabs>
          <w:tab w:val="num" w:pos="720"/>
        </w:tabs>
        <w:ind w:left="720" w:hanging="360"/>
      </w:pPr>
      <w:rPr>
        <w:rFonts w:ascii="Arial" w:hAnsi="Arial" w:hint="default"/>
      </w:rPr>
    </w:lvl>
    <w:lvl w:ilvl="1" w:tplc="33BAB40A" w:tentative="1">
      <w:start w:val="1"/>
      <w:numFmt w:val="bullet"/>
      <w:lvlText w:val="•"/>
      <w:lvlJc w:val="left"/>
      <w:pPr>
        <w:tabs>
          <w:tab w:val="num" w:pos="1440"/>
        </w:tabs>
        <w:ind w:left="1440" w:hanging="360"/>
      </w:pPr>
      <w:rPr>
        <w:rFonts w:ascii="Arial" w:hAnsi="Arial" w:hint="default"/>
      </w:rPr>
    </w:lvl>
    <w:lvl w:ilvl="2" w:tplc="933E2EC6" w:tentative="1">
      <w:start w:val="1"/>
      <w:numFmt w:val="bullet"/>
      <w:lvlText w:val="•"/>
      <w:lvlJc w:val="left"/>
      <w:pPr>
        <w:tabs>
          <w:tab w:val="num" w:pos="2160"/>
        </w:tabs>
        <w:ind w:left="2160" w:hanging="360"/>
      </w:pPr>
      <w:rPr>
        <w:rFonts w:ascii="Arial" w:hAnsi="Arial" w:hint="default"/>
      </w:rPr>
    </w:lvl>
    <w:lvl w:ilvl="3" w:tplc="D0328DEA" w:tentative="1">
      <w:start w:val="1"/>
      <w:numFmt w:val="bullet"/>
      <w:lvlText w:val="•"/>
      <w:lvlJc w:val="left"/>
      <w:pPr>
        <w:tabs>
          <w:tab w:val="num" w:pos="2880"/>
        </w:tabs>
        <w:ind w:left="2880" w:hanging="360"/>
      </w:pPr>
      <w:rPr>
        <w:rFonts w:ascii="Arial" w:hAnsi="Arial" w:hint="default"/>
      </w:rPr>
    </w:lvl>
    <w:lvl w:ilvl="4" w:tplc="B2063BD0" w:tentative="1">
      <w:start w:val="1"/>
      <w:numFmt w:val="bullet"/>
      <w:lvlText w:val="•"/>
      <w:lvlJc w:val="left"/>
      <w:pPr>
        <w:tabs>
          <w:tab w:val="num" w:pos="3600"/>
        </w:tabs>
        <w:ind w:left="3600" w:hanging="360"/>
      </w:pPr>
      <w:rPr>
        <w:rFonts w:ascii="Arial" w:hAnsi="Arial" w:hint="default"/>
      </w:rPr>
    </w:lvl>
    <w:lvl w:ilvl="5" w:tplc="2D7AF636" w:tentative="1">
      <w:start w:val="1"/>
      <w:numFmt w:val="bullet"/>
      <w:lvlText w:val="•"/>
      <w:lvlJc w:val="left"/>
      <w:pPr>
        <w:tabs>
          <w:tab w:val="num" w:pos="4320"/>
        </w:tabs>
        <w:ind w:left="4320" w:hanging="360"/>
      </w:pPr>
      <w:rPr>
        <w:rFonts w:ascii="Arial" w:hAnsi="Arial" w:hint="default"/>
      </w:rPr>
    </w:lvl>
    <w:lvl w:ilvl="6" w:tplc="1C8ECA70" w:tentative="1">
      <w:start w:val="1"/>
      <w:numFmt w:val="bullet"/>
      <w:lvlText w:val="•"/>
      <w:lvlJc w:val="left"/>
      <w:pPr>
        <w:tabs>
          <w:tab w:val="num" w:pos="5040"/>
        </w:tabs>
        <w:ind w:left="5040" w:hanging="360"/>
      </w:pPr>
      <w:rPr>
        <w:rFonts w:ascii="Arial" w:hAnsi="Arial" w:hint="default"/>
      </w:rPr>
    </w:lvl>
    <w:lvl w:ilvl="7" w:tplc="D01ECA2E" w:tentative="1">
      <w:start w:val="1"/>
      <w:numFmt w:val="bullet"/>
      <w:lvlText w:val="•"/>
      <w:lvlJc w:val="left"/>
      <w:pPr>
        <w:tabs>
          <w:tab w:val="num" w:pos="5760"/>
        </w:tabs>
        <w:ind w:left="5760" w:hanging="360"/>
      </w:pPr>
      <w:rPr>
        <w:rFonts w:ascii="Arial" w:hAnsi="Arial" w:hint="default"/>
      </w:rPr>
    </w:lvl>
    <w:lvl w:ilvl="8" w:tplc="BAD86D8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EFD7325"/>
    <w:multiLevelType w:val="hybridMultilevel"/>
    <w:tmpl w:val="54DA90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0"/>
  </w:num>
  <w:num w:numId="4">
    <w:abstractNumId w:val="14"/>
  </w:num>
  <w:num w:numId="5">
    <w:abstractNumId w:val="27"/>
  </w:num>
  <w:num w:numId="6">
    <w:abstractNumId w:val="23"/>
  </w:num>
  <w:num w:numId="7">
    <w:abstractNumId w:val="26"/>
  </w:num>
  <w:num w:numId="8">
    <w:abstractNumId w:val="31"/>
  </w:num>
  <w:num w:numId="9">
    <w:abstractNumId w:val="2"/>
    <w:lvlOverride w:ilvl="0">
      <w:startOverride w:val="1"/>
    </w:lvlOverride>
  </w:num>
  <w:num w:numId="10">
    <w:abstractNumId w:val="15"/>
  </w:num>
  <w:num w:numId="11">
    <w:abstractNumId w:val="10"/>
  </w:num>
  <w:num w:numId="12">
    <w:abstractNumId w:val="18"/>
  </w:num>
  <w:num w:numId="13">
    <w:abstractNumId w:val="28"/>
  </w:num>
  <w:num w:numId="14">
    <w:abstractNumId w:val="21"/>
  </w:num>
  <w:num w:numId="15">
    <w:abstractNumId w:val="13"/>
  </w:num>
  <w:num w:numId="16">
    <w:abstractNumId w:val="16"/>
  </w:num>
  <w:num w:numId="17">
    <w:abstractNumId w:val="25"/>
  </w:num>
  <w:num w:numId="18">
    <w:abstractNumId w:val="29"/>
  </w:num>
  <w:num w:numId="19">
    <w:abstractNumId w:val="38"/>
  </w:num>
  <w:num w:numId="20">
    <w:abstractNumId w:val="5"/>
  </w:num>
  <w:num w:numId="21">
    <w:abstractNumId w:val="30"/>
  </w:num>
  <w:num w:numId="22">
    <w:abstractNumId w:val="11"/>
  </w:num>
  <w:num w:numId="23">
    <w:abstractNumId w:val="33"/>
  </w:num>
  <w:num w:numId="24">
    <w:abstractNumId w:val="20"/>
  </w:num>
  <w:num w:numId="25">
    <w:abstractNumId w:val="6"/>
  </w:num>
  <w:num w:numId="26">
    <w:abstractNumId w:val="36"/>
  </w:num>
  <w:num w:numId="27">
    <w:abstractNumId w:val="3"/>
  </w:num>
  <w:num w:numId="28">
    <w:abstractNumId w:val="32"/>
  </w:num>
  <w:num w:numId="29">
    <w:abstractNumId w:val="9"/>
  </w:num>
  <w:num w:numId="30">
    <w:abstractNumId w:val="37"/>
  </w:num>
  <w:num w:numId="31">
    <w:abstractNumId w:val="12"/>
  </w:num>
  <w:num w:numId="32">
    <w:abstractNumId w:val="3"/>
  </w:num>
  <w:num w:numId="33">
    <w:abstractNumId w:val="7"/>
  </w:num>
  <w:num w:numId="34">
    <w:abstractNumId w:val="3"/>
  </w:num>
  <w:num w:numId="35">
    <w:abstractNumId w:val="3"/>
  </w:num>
  <w:num w:numId="36">
    <w:abstractNumId w:val="3"/>
  </w:num>
  <w:num w:numId="37">
    <w:abstractNumId w:val="3"/>
  </w:num>
  <w:num w:numId="38">
    <w:abstractNumId w:val="34"/>
  </w:num>
  <w:num w:numId="39">
    <w:abstractNumId w:val="3"/>
  </w:num>
  <w:num w:numId="40">
    <w:abstractNumId w:val="1"/>
  </w:num>
  <w:num w:numId="41">
    <w:abstractNumId w:val="24"/>
  </w:num>
  <w:num w:numId="42">
    <w:abstractNumId w:val="4"/>
  </w:num>
  <w:num w:numId="43">
    <w:abstractNumId w:val="35"/>
  </w:num>
  <w:num w:numId="44">
    <w:abstractNumId w:val="17"/>
  </w:num>
  <w:num w:numId="45">
    <w:abstractNumId w:val="22"/>
  </w:num>
  <w:num w:numId="46">
    <w:abstractNumId w:val="39"/>
  </w:num>
  <w:num w:numId="47">
    <w:abstractNumId w:val="3"/>
  </w:num>
  <w:num w:numId="48">
    <w:abstractNumId w:val="19"/>
  </w:num>
  <w:num w:numId="49">
    <w:abstractNumId w:val="3"/>
  </w:num>
  <w:num w:numId="50">
    <w:abstractNumId w:val="8"/>
  </w:num>
  <w:num w:numId="51">
    <w:abstractNumId w:val="3"/>
  </w:num>
  <w:num w:numId="52">
    <w:abstractNumId w:val="3"/>
  </w:num>
  <w:num w:numId="53">
    <w:abstractNumId w:val="3"/>
  </w:num>
  <w:num w:numId="54">
    <w:abstractNumId w:val="3"/>
  </w:num>
  <w:num w:numId="55">
    <w:abstractNumId w:val="3"/>
  </w:num>
  <w:num w:numId="56">
    <w:abstractNumId w:val="3"/>
  </w:num>
  <w:num w:numId="57">
    <w:abstractNumId w:val="3"/>
  </w:num>
  <w:num w:numId="58">
    <w:abstractNumId w:val="3"/>
  </w:num>
  <w:num w:numId="59">
    <w:abstractNumId w:val="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284"/>
  <w:evenAndOddHeaders/>
  <w:drawingGridHorizontalSpacing w:val="100"/>
  <w:displayHorizontalDrawingGridEvery w:val="2"/>
  <w:characterSpacingControl w:val="doNotCompress"/>
  <w:hdrShapeDefaults>
    <o:shapedefaults v:ext="edit" spidmax="2049">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8DB"/>
    <w:rsid w:val="00000ADD"/>
    <w:rsid w:val="00002262"/>
    <w:rsid w:val="000049DA"/>
    <w:rsid w:val="0000550D"/>
    <w:rsid w:val="0000592E"/>
    <w:rsid w:val="00006C65"/>
    <w:rsid w:val="00010667"/>
    <w:rsid w:val="00011022"/>
    <w:rsid w:val="000110A4"/>
    <w:rsid w:val="00011CDA"/>
    <w:rsid w:val="00012375"/>
    <w:rsid w:val="000126C5"/>
    <w:rsid w:val="00012841"/>
    <w:rsid w:val="000129D5"/>
    <w:rsid w:val="000147C7"/>
    <w:rsid w:val="00015AE7"/>
    <w:rsid w:val="000161DF"/>
    <w:rsid w:val="00016E21"/>
    <w:rsid w:val="0001719C"/>
    <w:rsid w:val="00017970"/>
    <w:rsid w:val="0002093C"/>
    <w:rsid w:val="00021C4E"/>
    <w:rsid w:val="0002224E"/>
    <w:rsid w:val="00022857"/>
    <w:rsid w:val="00022935"/>
    <w:rsid w:val="00022D27"/>
    <w:rsid w:val="00023E7E"/>
    <w:rsid w:val="000245E5"/>
    <w:rsid w:val="00026F91"/>
    <w:rsid w:val="00027A1D"/>
    <w:rsid w:val="00030BC3"/>
    <w:rsid w:val="00032621"/>
    <w:rsid w:val="000343C6"/>
    <w:rsid w:val="0003484D"/>
    <w:rsid w:val="000356EC"/>
    <w:rsid w:val="00042ECD"/>
    <w:rsid w:val="000449EF"/>
    <w:rsid w:val="00044D3B"/>
    <w:rsid w:val="00045163"/>
    <w:rsid w:val="000461FE"/>
    <w:rsid w:val="00046DA5"/>
    <w:rsid w:val="00047187"/>
    <w:rsid w:val="0004764C"/>
    <w:rsid w:val="00047977"/>
    <w:rsid w:val="0005011A"/>
    <w:rsid w:val="0005045A"/>
    <w:rsid w:val="000509B5"/>
    <w:rsid w:val="00051C1E"/>
    <w:rsid w:val="00051DA5"/>
    <w:rsid w:val="0005206F"/>
    <w:rsid w:val="00053741"/>
    <w:rsid w:val="000539F9"/>
    <w:rsid w:val="00053C7A"/>
    <w:rsid w:val="00054818"/>
    <w:rsid w:val="00054C27"/>
    <w:rsid w:val="000553E5"/>
    <w:rsid w:val="0005586E"/>
    <w:rsid w:val="00055EC3"/>
    <w:rsid w:val="000563CE"/>
    <w:rsid w:val="00056C08"/>
    <w:rsid w:val="000571DD"/>
    <w:rsid w:val="0005741A"/>
    <w:rsid w:val="0005765D"/>
    <w:rsid w:val="00057BFF"/>
    <w:rsid w:val="000602EC"/>
    <w:rsid w:val="000612F2"/>
    <w:rsid w:val="00061E79"/>
    <w:rsid w:val="0006291B"/>
    <w:rsid w:val="00065314"/>
    <w:rsid w:val="0006597E"/>
    <w:rsid w:val="000659B6"/>
    <w:rsid w:val="00065B08"/>
    <w:rsid w:val="0006686F"/>
    <w:rsid w:val="0006722A"/>
    <w:rsid w:val="000732CF"/>
    <w:rsid w:val="00074F50"/>
    <w:rsid w:val="00075914"/>
    <w:rsid w:val="00075B96"/>
    <w:rsid w:val="00075F59"/>
    <w:rsid w:val="000766D5"/>
    <w:rsid w:val="00077175"/>
    <w:rsid w:val="00080729"/>
    <w:rsid w:val="00080929"/>
    <w:rsid w:val="00080981"/>
    <w:rsid w:val="00080CAC"/>
    <w:rsid w:val="00081128"/>
    <w:rsid w:val="00081888"/>
    <w:rsid w:val="0008196A"/>
    <w:rsid w:val="00082CF0"/>
    <w:rsid w:val="00085B4A"/>
    <w:rsid w:val="00087366"/>
    <w:rsid w:val="00087ACA"/>
    <w:rsid w:val="000915ED"/>
    <w:rsid w:val="0009209D"/>
    <w:rsid w:val="0009257D"/>
    <w:rsid w:val="00092C0F"/>
    <w:rsid w:val="00092EF7"/>
    <w:rsid w:val="00093F9D"/>
    <w:rsid w:val="00094332"/>
    <w:rsid w:val="0009463C"/>
    <w:rsid w:val="00096925"/>
    <w:rsid w:val="000969B2"/>
    <w:rsid w:val="000969BD"/>
    <w:rsid w:val="000969BF"/>
    <w:rsid w:val="00097F88"/>
    <w:rsid w:val="000A0182"/>
    <w:rsid w:val="000A0C22"/>
    <w:rsid w:val="000A12DD"/>
    <w:rsid w:val="000A1400"/>
    <w:rsid w:val="000A1982"/>
    <w:rsid w:val="000A3C43"/>
    <w:rsid w:val="000A4433"/>
    <w:rsid w:val="000A4A51"/>
    <w:rsid w:val="000A5D2B"/>
    <w:rsid w:val="000A6B38"/>
    <w:rsid w:val="000A7726"/>
    <w:rsid w:val="000B307B"/>
    <w:rsid w:val="000B3A20"/>
    <w:rsid w:val="000B3AF7"/>
    <w:rsid w:val="000B3F11"/>
    <w:rsid w:val="000B4664"/>
    <w:rsid w:val="000B5DE3"/>
    <w:rsid w:val="000B679E"/>
    <w:rsid w:val="000B7474"/>
    <w:rsid w:val="000C0797"/>
    <w:rsid w:val="000C0A57"/>
    <w:rsid w:val="000C230C"/>
    <w:rsid w:val="000C3381"/>
    <w:rsid w:val="000C6AB4"/>
    <w:rsid w:val="000D0984"/>
    <w:rsid w:val="000D316D"/>
    <w:rsid w:val="000D4ADD"/>
    <w:rsid w:val="000D609A"/>
    <w:rsid w:val="000D6750"/>
    <w:rsid w:val="000D6BF8"/>
    <w:rsid w:val="000D71D9"/>
    <w:rsid w:val="000D72C8"/>
    <w:rsid w:val="000D76E0"/>
    <w:rsid w:val="000D7E8B"/>
    <w:rsid w:val="000E0728"/>
    <w:rsid w:val="000E158A"/>
    <w:rsid w:val="000E1F7D"/>
    <w:rsid w:val="000E214C"/>
    <w:rsid w:val="000E4449"/>
    <w:rsid w:val="000E4F82"/>
    <w:rsid w:val="000E5531"/>
    <w:rsid w:val="000E6097"/>
    <w:rsid w:val="000F0CB4"/>
    <w:rsid w:val="000F138B"/>
    <w:rsid w:val="000F2A21"/>
    <w:rsid w:val="000F2CB6"/>
    <w:rsid w:val="000F5529"/>
    <w:rsid w:val="000F5867"/>
    <w:rsid w:val="000F735E"/>
    <w:rsid w:val="001016C9"/>
    <w:rsid w:val="00103829"/>
    <w:rsid w:val="00105A07"/>
    <w:rsid w:val="00105A33"/>
    <w:rsid w:val="0010625F"/>
    <w:rsid w:val="0011040A"/>
    <w:rsid w:val="00111FCE"/>
    <w:rsid w:val="00113485"/>
    <w:rsid w:val="00113644"/>
    <w:rsid w:val="0011483C"/>
    <w:rsid w:val="0011605E"/>
    <w:rsid w:val="00117E0A"/>
    <w:rsid w:val="00120C04"/>
    <w:rsid w:val="00120C93"/>
    <w:rsid w:val="00121889"/>
    <w:rsid w:val="00121B92"/>
    <w:rsid w:val="001229A5"/>
    <w:rsid w:val="0012489B"/>
    <w:rsid w:val="00125281"/>
    <w:rsid w:val="00127034"/>
    <w:rsid w:val="001271BA"/>
    <w:rsid w:val="0012785A"/>
    <w:rsid w:val="00130017"/>
    <w:rsid w:val="00130A7B"/>
    <w:rsid w:val="00130F91"/>
    <w:rsid w:val="0013498D"/>
    <w:rsid w:val="001349ED"/>
    <w:rsid w:val="001351FA"/>
    <w:rsid w:val="00135A0A"/>
    <w:rsid w:val="00136A80"/>
    <w:rsid w:val="00137424"/>
    <w:rsid w:val="00140318"/>
    <w:rsid w:val="001408AE"/>
    <w:rsid w:val="00141AD9"/>
    <w:rsid w:val="00141D78"/>
    <w:rsid w:val="0014275B"/>
    <w:rsid w:val="00144266"/>
    <w:rsid w:val="00145176"/>
    <w:rsid w:val="00146A20"/>
    <w:rsid w:val="00146CE6"/>
    <w:rsid w:val="00152903"/>
    <w:rsid w:val="00153FD5"/>
    <w:rsid w:val="0015614F"/>
    <w:rsid w:val="001577C2"/>
    <w:rsid w:val="001609B6"/>
    <w:rsid w:val="00161C0E"/>
    <w:rsid w:val="00162B17"/>
    <w:rsid w:val="001633C4"/>
    <w:rsid w:val="00165455"/>
    <w:rsid w:val="00165C30"/>
    <w:rsid w:val="001704D5"/>
    <w:rsid w:val="00170B40"/>
    <w:rsid w:val="0017116F"/>
    <w:rsid w:val="00171591"/>
    <w:rsid w:val="001717AF"/>
    <w:rsid w:val="00173164"/>
    <w:rsid w:val="00173981"/>
    <w:rsid w:val="001753A6"/>
    <w:rsid w:val="0017719D"/>
    <w:rsid w:val="001778C4"/>
    <w:rsid w:val="00180E76"/>
    <w:rsid w:val="00181176"/>
    <w:rsid w:val="00181213"/>
    <w:rsid w:val="001814C3"/>
    <w:rsid w:val="001825F6"/>
    <w:rsid w:val="00183FD7"/>
    <w:rsid w:val="0018548B"/>
    <w:rsid w:val="00185CAB"/>
    <w:rsid w:val="001875B7"/>
    <w:rsid w:val="00187747"/>
    <w:rsid w:val="00187C85"/>
    <w:rsid w:val="00187CB3"/>
    <w:rsid w:val="0019050A"/>
    <w:rsid w:val="00190BB0"/>
    <w:rsid w:val="001910D4"/>
    <w:rsid w:val="00191520"/>
    <w:rsid w:val="001929CF"/>
    <w:rsid w:val="001943B8"/>
    <w:rsid w:val="001947E7"/>
    <w:rsid w:val="00194BBC"/>
    <w:rsid w:val="00195956"/>
    <w:rsid w:val="00196328"/>
    <w:rsid w:val="0019640C"/>
    <w:rsid w:val="00196800"/>
    <w:rsid w:val="001976E3"/>
    <w:rsid w:val="001A124F"/>
    <w:rsid w:val="001A1687"/>
    <w:rsid w:val="001A2CA7"/>
    <w:rsid w:val="001A44EC"/>
    <w:rsid w:val="001A473D"/>
    <w:rsid w:val="001A4D12"/>
    <w:rsid w:val="001A54D7"/>
    <w:rsid w:val="001A5712"/>
    <w:rsid w:val="001A7FF7"/>
    <w:rsid w:val="001B106E"/>
    <w:rsid w:val="001B4D8E"/>
    <w:rsid w:val="001B58AA"/>
    <w:rsid w:val="001B5B11"/>
    <w:rsid w:val="001B5F4D"/>
    <w:rsid w:val="001B62B1"/>
    <w:rsid w:val="001B7E48"/>
    <w:rsid w:val="001C140F"/>
    <w:rsid w:val="001C17CE"/>
    <w:rsid w:val="001C1E39"/>
    <w:rsid w:val="001C20BA"/>
    <w:rsid w:val="001C2250"/>
    <w:rsid w:val="001C2B3F"/>
    <w:rsid w:val="001C36CA"/>
    <w:rsid w:val="001C3F7D"/>
    <w:rsid w:val="001C44D1"/>
    <w:rsid w:val="001C4DBE"/>
    <w:rsid w:val="001C59D9"/>
    <w:rsid w:val="001C5DC8"/>
    <w:rsid w:val="001C5FF8"/>
    <w:rsid w:val="001C65A4"/>
    <w:rsid w:val="001C6AEE"/>
    <w:rsid w:val="001C6BF5"/>
    <w:rsid w:val="001C7630"/>
    <w:rsid w:val="001D15B8"/>
    <w:rsid w:val="001D2969"/>
    <w:rsid w:val="001D3882"/>
    <w:rsid w:val="001D4260"/>
    <w:rsid w:val="001D56AF"/>
    <w:rsid w:val="001D5DF1"/>
    <w:rsid w:val="001D6D15"/>
    <w:rsid w:val="001D7800"/>
    <w:rsid w:val="001E116E"/>
    <w:rsid w:val="001E1423"/>
    <w:rsid w:val="001E3A4F"/>
    <w:rsid w:val="001E4605"/>
    <w:rsid w:val="001E5375"/>
    <w:rsid w:val="001E624E"/>
    <w:rsid w:val="001E6CC7"/>
    <w:rsid w:val="001E7D76"/>
    <w:rsid w:val="001F22FF"/>
    <w:rsid w:val="001F2B7F"/>
    <w:rsid w:val="001F347D"/>
    <w:rsid w:val="001F6492"/>
    <w:rsid w:val="001F7558"/>
    <w:rsid w:val="001F794D"/>
    <w:rsid w:val="00201BD8"/>
    <w:rsid w:val="00201EE2"/>
    <w:rsid w:val="00203638"/>
    <w:rsid w:val="0020411D"/>
    <w:rsid w:val="00205B57"/>
    <w:rsid w:val="00205F33"/>
    <w:rsid w:val="00206099"/>
    <w:rsid w:val="0020730A"/>
    <w:rsid w:val="002079FF"/>
    <w:rsid w:val="002107BA"/>
    <w:rsid w:val="002108B7"/>
    <w:rsid w:val="00212176"/>
    <w:rsid w:val="0021426C"/>
    <w:rsid w:val="00214F75"/>
    <w:rsid w:val="00215270"/>
    <w:rsid w:val="002153C2"/>
    <w:rsid w:val="002157E0"/>
    <w:rsid w:val="00215D40"/>
    <w:rsid w:val="00216A57"/>
    <w:rsid w:val="00217448"/>
    <w:rsid w:val="00217DFE"/>
    <w:rsid w:val="002204A8"/>
    <w:rsid w:val="002212BD"/>
    <w:rsid w:val="002224AB"/>
    <w:rsid w:val="0022252A"/>
    <w:rsid w:val="00222AB2"/>
    <w:rsid w:val="0022334F"/>
    <w:rsid w:val="002234F5"/>
    <w:rsid w:val="00224745"/>
    <w:rsid w:val="00224965"/>
    <w:rsid w:val="00224F9A"/>
    <w:rsid w:val="00226351"/>
    <w:rsid w:val="00226819"/>
    <w:rsid w:val="00227974"/>
    <w:rsid w:val="002305A4"/>
    <w:rsid w:val="002316A5"/>
    <w:rsid w:val="00232A67"/>
    <w:rsid w:val="00233101"/>
    <w:rsid w:val="00233817"/>
    <w:rsid w:val="00233D44"/>
    <w:rsid w:val="00234177"/>
    <w:rsid w:val="002351FF"/>
    <w:rsid w:val="002367FF"/>
    <w:rsid w:val="00237765"/>
    <w:rsid w:val="00240CE9"/>
    <w:rsid w:val="00241092"/>
    <w:rsid w:val="00241F37"/>
    <w:rsid w:val="002434BA"/>
    <w:rsid w:val="00245061"/>
    <w:rsid w:val="00246089"/>
    <w:rsid w:val="00246093"/>
    <w:rsid w:val="00246702"/>
    <w:rsid w:val="00247C59"/>
    <w:rsid w:val="00247F2E"/>
    <w:rsid w:val="00250ADC"/>
    <w:rsid w:val="00250B07"/>
    <w:rsid w:val="00252D9E"/>
    <w:rsid w:val="0025547A"/>
    <w:rsid w:val="00255F98"/>
    <w:rsid w:val="00256EB1"/>
    <w:rsid w:val="00257553"/>
    <w:rsid w:val="0025794F"/>
    <w:rsid w:val="00260FB2"/>
    <w:rsid w:val="00261569"/>
    <w:rsid w:val="00262128"/>
    <w:rsid w:val="002644D5"/>
    <w:rsid w:val="00264641"/>
    <w:rsid w:val="0026762F"/>
    <w:rsid w:val="00270263"/>
    <w:rsid w:val="0027165D"/>
    <w:rsid w:val="00271D03"/>
    <w:rsid w:val="00273CEB"/>
    <w:rsid w:val="002742A3"/>
    <w:rsid w:val="00274D50"/>
    <w:rsid w:val="002752C1"/>
    <w:rsid w:val="00275DE6"/>
    <w:rsid w:val="0028049B"/>
    <w:rsid w:val="002813E1"/>
    <w:rsid w:val="00281C89"/>
    <w:rsid w:val="0028282F"/>
    <w:rsid w:val="00282D8A"/>
    <w:rsid w:val="00284128"/>
    <w:rsid w:val="002858B5"/>
    <w:rsid w:val="00287733"/>
    <w:rsid w:val="00290B7C"/>
    <w:rsid w:val="00290BFE"/>
    <w:rsid w:val="00290EB6"/>
    <w:rsid w:val="0029110B"/>
    <w:rsid w:val="002915B2"/>
    <w:rsid w:val="002919F9"/>
    <w:rsid w:val="002925F6"/>
    <w:rsid w:val="0029593B"/>
    <w:rsid w:val="00295E60"/>
    <w:rsid w:val="00297102"/>
    <w:rsid w:val="002976B8"/>
    <w:rsid w:val="00297FC5"/>
    <w:rsid w:val="002A0417"/>
    <w:rsid w:val="002A16D8"/>
    <w:rsid w:val="002A1BC8"/>
    <w:rsid w:val="002A1DD2"/>
    <w:rsid w:val="002A27A6"/>
    <w:rsid w:val="002A31F2"/>
    <w:rsid w:val="002A3829"/>
    <w:rsid w:val="002A3EF2"/>
    <w:rsid w:val="002A4B85"/>
    <w:rsid w:val="002A6215"/>
    <w:rsid w:val="002A6F32"/>
    <w:rsid w:val="002B0DED"/>
    <w:rsid w:val="002B19A2"/>
    <w:rsid w:val="002B381A"/>
    <w:rsid w:val="002B4FCC"/>
    <w:rsid w:val="002B565C"/>
    <w:rsid w:val="002B58E0"/>
    <w:rsid w:val="002B5E3A"/>
    <w:rsid w:val="002B7408"/>
    <w:rsid w:val="002B7CFD"/>
    <w:rsid w:val="002C0BF9"/>
    <w:rsid w:val="002C1390"/>
    <w:rsid w:val="002C15DD"/>
    <w:rsid w:val="002C1A80"/>
    <w:rsid w:val="002C1C11"/>
    <w:rsid w:val="002C210F"/>
    <w:rsid w:val="002C2345"/>
    <w:rsid w:val="002C4A56"/>
    <w:rsid w:val="002C61FA"/>
    <w:rsid w:val="002D0029"/>
    <w:rsid w:val="002D0A51"/>
    <w:rsid w:val="002D1318"/>
    <w:rsid w:val="002D1361"/>
    <w:rsid w:val="002D21DC"/>
    <w:rsid w:val="002D22AA"/>
    <w:rsid w:val="002D2A55"/>
    <w:rsid w:val="002D2EBB"/>
    <w:rsid w:val="002D3600"/>
    <w:rsid w:val="002D3930"/>
    <w:rsid w:val="002D3AE6"/>
    <w:rsid w:val="002D4EA8"/>
    <w:rsid w:val="002D5685"/>
    <w:rsid w:val="002D6108"/>
    <w:rsid w:val="002D65C7"/>
    <w:rsid w:val="002D6F2A"/>
    <w:rsid w:val="002D700D"/>
    <w:rsid w:val="002D71E0"/>
    <w:rsid w:val="002D7EE0"/>
    <w:rsid w:val="002E0625"/>
    <w:rsid w:val="002E0CBF"/>
    <w:rsid w:val="002E2CB4"/>
    <w:rsid w:val="002E3227"/>
    <w:rsid w:val="002E341E"/>
    <w:rsid w:val="002E45B6"/>
    <w:rsid w:val="002E469B"/>
    <w:rsid w:val="002E4C86"/>
    <w:rsid w:val="002E4DDC"/>
    <w:rsid w:val="002F008A"/>
    <w:rsid w:val="002F0E80"/>
    <w:rsid w:val="002F1DB2"/>
    <w:rsid w:val="002F3D73"/>
    <w:rsid w:val="002F3ED3"/>
    <w:rsid w:val="002F43BF"/>
    <w:rsid w:val="002F6E0E"/>
    <w:rsid w:val="002F705C"/>
    <w:rsid w:val="00300EC1"/>
    <w:rsid w:val="00302480"/>
    <w:rsid w:val="0030250D"/>
    <w:rsid w:val="00302758"/>
    <w:rsid w:val="00302D57"/>
    <w:rsid w:val="00311FC3"/>
    <w:rsid w:val="00313EE7"/>
    <w:rsid w:val="003165E6"/>
    <w:rsid w:val="00317930"/>
    <w:rsid w:val="00317D5C"/>
    <w:rsid w:val="00317F13"/>
    <w:rsid w:val="0032052F"/>
    <w:rsid w:val="003215B5"/>
    <w:rsid w:val="003221CF"/>
    <w:rsid w:val="003233ED"/>
    <w:rsid w:val="0032353C"/>
    <w:rsid w:val="00324301"/>
    <w:rsid w:val="00324D9F"/>
    <w:rsid w:val="00325ACF"/>
    <w:rsid w:val="00326551"/>
    <w:rsid w:val="00327948"/>
    <w:rsid w:val="0033000F"/>
    <w:rsid w:val="003308DB"/>
    <w:rsid w:val="00331EB1"/>
    <w:rsid w:val="00332011"/>
    <w:rsid w:val="0033247E"/>
    <w:rsid w:val="00332518"/>
    <w:rsid w:val="00332925"/>
    <w:rsid w:val="00332BA2"/>
    <w:rsid w:val="003332ED"/>
    <w:rsid w:val="0033469A"/>
    <w:rsid w:val="003360C7"/>
    <w:rsid w:val="00336357"/>
    <w:rsid w:val="003368DC"/>
    <w:rsid w:val="00336989"/>
    <w:rsid w:val="00337AD4"/>
    <w:rsid w:val="003400FB"/>
    <w:rsid w:val="00343180"/>
    <w:rsid w:val="0034355A"/>
    <w:rsid w:val="00343B94"/>
    <w:rsid w:val="0034425E"/>
    <w:rsid w:val="00344386"/>
    <w:rsid w:val="00344A25"/>
    <w:rsid w:val="003452F9"/>
    <w:rsid w:val="00345927"/>
    <w:rsid w:val="0034689E"/>
    <w:rsid w:val="00350584"/>
    <w:rsid w:val="00351857"/>
    <w:rsid w:val="00353E36"/>
    <w:rsid w:val="003545E8"/>
    <w:rsid w:val="003610E1"/>
    <w:rsid w:val="00362B1E"/>
    <w:rsid w:val="00366B82"/>
    <w:rsid w:val="003671BE"/>
    <w:rsid w:val="0037046E"/>
    <w:rsid w:val="00370FA8"/>
    <w:rsid w:val="00372485"/>
    <w:rsid w:val="00373200"/>
    <w:rsid w:val="003734C5"/>
    <w:rsid w:val="003748E6"/>
    <w:rsid w:val="003749F5"/>
    <w:rsid w:val="00374CCD"/>
    <w:rsid w:val="00375EF5"/>
    <w:rsid w:val="003767A5"/>
    <w:rsid w:val="00376F6E"/>
    <w:rsid w:val="00377963"/>
    <w:rsid w:val="00380037"/>
    <w:rsid w:val="003806CB"/>
    <w:rsid w:val="00380BF7"/>
    <w:rsid w:val="003818A6"/>
    <w:rsid w:val="00381934"/>
    <w:rsid w:val="00381B31"/>
    <w:rsid w:val="00381D15"/>
    <w:rsid w:val="003820F2"/>
    <w:rsid w:val="00382D36"/>
    <w:rsid w:val="0038307E"/>
    <w:rsid w:val="00384D2E"/>
    <w:rsid w:val="00385068"/>
    <w:rsid w:val="00385254"/>
    <w:rsid w:val="003865F3"/>
    <w:rsid w:val="0038778F"/>
    <w:rsid w:val="003878C0"/>
    <w:rsid w:val="003905C0"/>
    <w:rsid w:val="003917D3"/>
    <w:rsid w:val="00391E12"/>
    <w:rsid w:val="003921FF"/>
    <w:rsid w:val="003933E8"/>
    <w:rsid w:val="00394031"/>
    <w:rsid w:val="00395744"/>
    <w:rsid w:val="00396202"/>
    <w:rsid w:val="0039694C"/>
    <w:rsid w:val="00397A89"/>
    <w:rsid w:val="003A04DB"/>
    <w:rsid w:val="003A07E8"/>
    <w:rsid w:val="003A08FA"/>
    <w:rsid w:val="003A189C"/>
    <w:rsid w:val="003A287D"/>
    <w:rsid w:val="003A5F5B"/>
    <w:rsid w:val="003A75CE"/>
    <w:rsid w:val="003A789A"/>
    <w:rsid w:val="003B010F"/>
    <w:rsid w:val="003B0BA0"/>
    <w:rsid w:val="003B0EED"/>
    <w:rsid w:val="003B12EC"/>
    <w:rsid w:val="003B1495"/>
    <w:rsid w:val="003B2859"/>
    <w:rsid w:val="003B3DDF"/>
    <w:rsid w:val="003B4844"/>
    <w:rsid w:val="003B6C03"/>
    <w:rsid w:val="003C4438"/>
    <w:rsid w:val="003C5AD0"/>
    <w:rsid w:val="003C76A6"/>
    <w:rsid w:val="003C77E0"/>
    <w:rsid w:val="003D0BE4"/>
    <w:rsid w:val="003D17D7"/>
    <w:rsid w:val="003D2678"/>
    <w:rsid w:val="003D2C26"/>
    <w:rsid w:val="003D2DD2"/>
    <w:rsid w:val="003D71A3"/>
    <w:rsid w:val="003E09CB"/>
    <w:rsid w:val="003E0F14"/>
    <w:rsid w:val="003E15EC"/>
    <w:rsid w:val="003E2B8A"/>
    <w:rsid w:val="003E4A36"/>
    <w:rsid w:val="003E6844"/>
    <w:rsid w:val="003E697A"/>
    <w:rsid w:val="003E6CCE"/>
    <w:rsid w:val="003F10EE"/>
    <w:rsid w:val="003F16F6"/>
    <w:rsid w:val="003F1EFD"/>
    <w:rsid w:val="003F20CD"/>
    <w:rsid w:val="003F324A"/>
    <w:rsid w:val="003F4659"/>
    <w:rsid w:val="003F4DC7"/>
    <w:rsid w:val="003F5235"/>
    <w:rsid w:val="003F5967"/>
    <w:rsid w:val="003F7284"/>
    <w:rsid w:val="003F7E94"/>
    <w:rsid w:val="004027E4"/>
    <w:rsid w:val="00406853"/>
    <w:rsid w:val="00406ED2"/>
    <w:rsid w:val="00406F07"/>
    <w:rsid w:val="00407749"/>
    <w:rsid w:val="004105E1"/>
    <w:rsid w:val="0041071D"/>
    <w:rsid w:val="00410B55"/>
    <w:rsid w:val="0041198E"/>
    <w:rsid w:val="00411FD8"/>
    <w:rsid w:val="00413AA9"/>
    <w:rsid w:val="00414AFC"/>
    <w:rsid w:val="004151A7"/>
    <w:rsid w:val="00415310"/>
    <w:rsid w:val="00415915"/>
    <w:rsid w:val="00416228"/>
    <w:rsid w:val="00420F6C"/>
    <w:rsid w:val="00421709"/>
    <w:rsid w:val="0042304A"/>
    <w:rsid w:val="00423052"/>
    <w:rsid w:val="00423763"/>
    <w:rsid w:val="00423E39"/>
    <w:rsid w:val="00425696"/>
    <w:rsid w:val="004267BF"/>
    <w:rsid w:val="0042762F"/>
    <w:rsid w:val="00427DC7"/>
    <w:rsid w:val="00427E1A"/>
    <w:rsid w:val="00431460"/>
    <w:rsid w:val="00431613"/>
    <w:rsid w:val="00431792"/>
    <w:rsid w:val="00431D98"/>
    <w:rsid w:val="0043297A"/>
    <w:rsid w:val="00432EB2"/>
    <w:rsid w:val="0043714F"/>
    <w:rsid w:val="00440916"/>
    <w:rsid w:val="00440A8D"/>
    <w:rsid w:val="004438B5"/>
    <w:rsid w:val="004455DA"/>
    <w:rsid w:val="00447037"/>
    <w:rsid w:val="00447FF0"/>
    <w:rsid w:val="0045124D"/>
    <w:rsid w:val="00452CAE"/>
    <w:rsid w:val="004539D4"/>
    <w:rsid w:val="00454596"/>
    <w:rsid w:val="0045498D"/>
    <w:rsid w:val="004552B2"/>
    <w:rsid w:val="004557D6"/>
    <w:rsid w:val="0045605D"/>
    <w:rsid w:val="00456A01"/>
    <w:rsid w:val="00457F1E"/>
    <w:rsid w:val="004605BA"/>
    <w:rsid w:val="0046135B"/>
    <w:rsid w:val="004616BC"/>
    <w:rsid w:val="00461D47"/>
    <w:rsid w:val="0046277E"/>
    <w:rsid w:val="00463563"/>
    <w:rsid w:val="004635D4"/>
    <w:rsid w:val="004651DD"/>
    <w:rsid w:val="004718CC"/>
    <w:rsid w:val="00472A69"/>
    <w:rsid w:val="00473502"/>
    <w:rsid w:val="004744BB"/>
    <w:rsid w:val="00475CC8"/>
    <w:rsid w:val="00477E8C"/>
    <w:rsid w:val="00481695"/>
    <w:rsid w:val="004836FE"/>
    <w:rsid w:val="00483F1F"/>
    <w:rsid w:val="00485621"/>
    <w:rsid w:val="00490EAF"/>
    <w:rsid w:val="00492221"/>
    <w:rsid w:val="004925F3"/>
    <w:rsid w:val="004941F7"/>
    <w:rsid w:val="004948A0"/>
    <w:rsid w:val="00495A96"/>
    <w:rsid w:val="00495BB3"/>
    <w:rsid w:val="00496E91"/>
    <w:rsid w:val="004A4C39"/>
    <w:rsid w:val="004A56BB"/>
    <w:rsid w:val="004A5F55"/>
    <w:rsid w:val="004A685A"/>
    <w:rsid w:val="004A70D6"/>
    <w:rsid w:val="004A713A"/>
    <w:rsid w:val="004A7ECA"/>
    <w:rsid w:val="004B0049"/>
    <w:rsid w:val="004B01AD"/>
    <w:rsid w:val="004B0F13"/>
    <w:rsid w:val="004B1751"/>
    <w:rsid w:val="004B2597"/>
    <w:rsid w:val="004B574A"/>
    <w:rsid w:val="004B5ECE"/>
    <w:rsid w:val="004B6A49"/>
    <w:rsid w:val="004C0253"/>
    <w:rsid w:val="004C14B8"/>
    <w:rsid w:val="004C1722"/>
    <w:rsid w:val="004C1947"/>
    <w:rsid w:val="004C24EC"/>
    <w:rsid w:val="004C59D4"/>
    <w:rsid w:val="004C6412"/>
    <w:rsid w:val="004D12F2"/>
    <w:rsid w:val="004D1900"/>
    <w:rsid w:val="004D2F27"/>
    <w:rsid w:val="004D3283"/>
    <w:rsid w:val="004D33F9"/>
    <w:rsid w:val="004D3EDD"/>
    <w:rsid w:val="004D4081"/>
    <w:rsid w:val="004D56FF"/>
    <w:rsid w:val="004D64B5"/>
    <w:rsid w:val="004D73BD"/>
    <w:rsid w:val="004E05DC"/>
    <w:rsid w:val="004E0E14"/>
    <w:rsid w:val="004E33EB"/>
    <w:rsid w:val="004E39D3"/>
    <w:rsid w:val="004E4FBD"/>
    <w:rsid w:val="004E508A"/>
    <w:rsid w:val="004E616D"/>
    <w:rsid w:val="004E6995"/>
    <w:rsid w:val="004E69C9"/>
    <w:rsid w:val="004E706C"/>
    <w:rsid w:val="004E75B6"/>
    <w:rsid w:val="004E75C7"/>
    <w:rsid w:val="004F064E"/>
    <w:rsid w:val="004F1BDE"/>
    <w:rsid w:val="004F235B"/>
    <w:rsid w:val="004F2CEE"/>
    <w:rsid w:val="004F3649"/>
    <w:rsid w:val="004F4894"/>
    <w:rsid w:val="004F556E"/>
    <w:rsid w:val="004F591C"/>
    <w:rsid w:val="004F7094"/>
    <w:rsid w:val="004F7171"/>
    <w:rsid w:val="004F7F44"/>
    <w:rsid w:val="00500109"/>
    <w:rsid w:val="00500B49"/>
    <w:rsid w:val="005012BB"/>
    <w:rsid w:val="00502DDC"/>
    <w:rsid w:val="005037B4"/>
    <w:rsid w:val="00504010"/>
    <w:rsid w:val="0050410F"/>
    <w:rsid w:val="00506F02"/>
    <w:rsid w:val="005079BF"/>
    <w:rsid w:val="005116EB"/>
    <w:rsid w:val="00512173"/>
    <w:rsid w:val="0051269A"/>
    <w:rsid w:val="00513956"/>
    <w:rsid w:val="005168D6"/>
    <w:rsid w:val="005208AD"/>
    <w:rsid w:val="005219E7"/>
    <w:rsid w:val="00521B1F"/>
    <w:rsid w:val="00523ECB"/>
    <w:rsid w:val="00524B24"/>
    <w:rsid w:val="00524BD0"/>
    <w:rsid w:val="00524FC6"/>
    <w:rsid w:val="00525F9A"/>
    <w:rsid w:val="0052635F"/>
    <w:rsid w:val="00526982"/>
    <w:rsid w:val="00526F3C"/>
    <w:rsid w:val="00531B9A"/>
    <w:rsid w:val="00531D15"/>
    <w:rsid w:val="00532D45"/>
    <w:rsid w:val="00533021"/>
    <w:rsid w:val="00533048"/>
    <w:rsid w:val="00533F3C"/>
    <w:rsid w:val="00535588"/>
    <w:rsid w:val="00537604"/>
    <w:rsid w:val="005377C1"/>
    <w:rsid w:val="005415A3"/>
    <w:rsid w:val="0054160B"/>
    <w:rsid w:val="00542377"/>
    <w:rsid w:val="00544632"/>
    <w:rsid w:val="005464E7"/>
    <w:rsid w:val="00546798"/>
    <w:rsid w:val="005468CD"/>
    <w:rsid w:val="005476EB"/>
    <w:rsid w:val="00547B75"/>
    <w:rsid w:val="005514FA"/>
    <w:rsid w:val="00551782"/>
    <w:rsid w:val="00553558"/>
    <w:rsid w:val="005568FB"/>
    <w:rsid w:val="00557B9F"/>
    <w:rsid w:val="00561609"/>
    <w:rsid w:val="0056180A"/>
    <w:rsid w:val="00562B6B"/>
    <w:rsid w:val="00562D55"/>
    <w:rsid w:val="00563EF1"/>
    <w:rsid w:val="005647B4"/>
    <w:rsid w:val="005664AD"/>
    <w:rsid w:val="00566AB4"/>
    <w:rsid w:val="00566F09"/>
    <w:rsid w:val="00567906"/>
    <w:rsid w:val="00567C75"/>
    <w:rsid w:val="00571842"/>
    <w:rsid w:val="005727F0"/>
    <w:rsid w:val="00572A2E"/>
    <w:rsid w:val="00573812"/>
    <w:rsid w:val="0057513E"/>
    <w:rsid w:val="005755FD"/>
    <w:rsid w:val="00575AC5"/>
    <w:rsid w:val="00575C28"/>
    <w:rsid w:val="0057605D"/>
    <w:rsid w:val="00576C74"/>
    <w:rsid w:val="0057794B"/>
    <w:rsid w:val="00577F3D"/>
    <w:rsid w:val="00580755"/>
    <w:rsid w:val="00581347"/>
    <w:rsid w:val="00581AC9"/>
    <w:rsid w:val="0058219D"/>
    <w:rsid w:val="00582396"/>
    <w:rsid w:val="00583AE0"/>
    <w:rsid w:val="005849F8"/>
    <w:rsid w:val="005871A9"/>
    <w:rsid w:val="0058755F"/>
    <w:rsid w:val="005876D7"/>
    <w:rsid w:val="00587B60"/>
    <w:rsid w:val="00590A58"/>
    <w:rsid w:val="005938DF"/>
    <w:rsid w:val="0059390B"/>
    <w:rsid w:val="00593BED"/>
    <w:rsid w:val="00594A01"/>
    <w:rsid w:val="00594E9C"/>
    <w:rsid w:val="005965F1"/>
    <w:rsid w:val="0059733B"/>
    <w:rsid w:val="00597817"/>
    <w:rsid w:val="005A099B"/>
    <w:rsid w:val="005A15B7"/>
    <w:rsid w:val="005A2D9C"/>
    <w:rsid w:val="005A3549"/>
    <w:rsid w:val="005A479A"/>
    <w:rsid w:val="005A4C37"/>
    <w:rsid w:val="005A55FE"/>
    <w:rsid w:val="005A5B65"/>
    <w:rsid w:val="005A5FB2"/>
    <w:rsid w:val="005A6A11"/>
    <w:rsid w:val="005B1F06"/>
    <w:rsid w:val="005B2093"/>
    <w:rsid w:val="005B2F0D"/>
    <w:rsid w:val="005B408B"/>
    <w:rsid w:val="005B4AFD"/>
    <w:rsid w:val="005B4B0B"/>
    <w:rsid w:val="005B5A18"/>
    <w:rsid w:val="005C1620"/>
    <w:rsid w:val="005C42D5"/>
    <w:rsid w:val="005C4B7D"/>
    <w:rsid w:val="005C4FE5"/>
    <w:rsid w:val="005C5E03"/>
    <w:rsid w:val="005C6F0F"/>
    <w:rsid w:val="005D1B78"/>
    <w:rsid w:val="005D2502"/>
    <w:rsid w:val="005D3A42"/>
    <w:rsid w:val="005D40BB"/>
    <w:rsid w:val="005D47F3"/>
    <w:rsid w:val="005D49BF"/>
    <w:rsid w:val="005D4AA5"/>
    <w:rsid w:val="005D50B4"/>
    <w:rsid w:val="005D55D2"/>
    <w:rsid w:val="005D5FFA"/>
    <w:rsid w:val="005D61AB"/>
    <w:rsid w:val="005D689C"/>
    <w:rsid w:val="005D6F4E"/>
    <w:rsid w:val="005D7C73"/>
    <w:rsid w:val="005E0E38"/>
    <w:rsid w:val="005E250B"/>
    <w:rsid w:val="005E3026"/>
    <w:rsid w:val="005E3ACD"/>
    <w:rsid w:val="005E7226"/>
    <w:rsid w:val="005E7A57"/>
    <w:rsid w:val="005F05B7"/>
    <w:rsid w:val="005F2281"/>
    <w:rsid w:val="005F242A"/>
    <w:rsid w:val="005F24B0"/>
    <w:rsid w:val="005F2F0B"/>
    <w:rsid w:val="005F4668"/>
    <w:rsid w:val="005F47A2"/>
    <w:rsid w:val="005F47CA"/>
    <w:rsid w:val="005F4EE4"/>
    <w:rsid w:val="005F4F90"/>
    <w:rsid w:val="005F6B8D"/>
    <w:rsid w:val="00600590"/>
    <w:rsid w:val="00600B63"/>
    <w:rsid w:val="0060119B"/>
    <w:rsid w:val="00602515"/>
    <w:rsid w:val="00602B5B"/>
    <w:rsid w:val="006034E1"/>
    <w:rsid w:val="00603D46"/>
    <w:rsid w:val="00603F4D"/>
    <w:rsid w:val="00604315"/>
    <w:rsid w:val="00604E26"/>
    <w:rsid w:val="0060523F"/>
    <w:rsid w:val="006052CF"/>
    <w:rsid w:val="00606726"/>
    <w:rsid w:val="006073D7"/>
    <w:rsid w:val="00607816"/>
    <w:rsid w:val="0060792C"/>
    <w:rsid w:val="00607A7E"/>
    <w:rsid w:val="00607B8D"/>
    <w:rsid w:val="0061057D"/>
    <w:rsid w:val="00611F5C"/>
    <w:rsid w:val="0061467C"/>
    <w:rsid w:val="00614B60"/>
    <w:rsid w:val="00615307"/>
    <w:rsid w:val="00616E09"/>
    <w:rsid w:val="00616E36"/>
    <w:rsid w:val="006202B0"/>
    <w:rsid w:val="00621361"/>
    <w:rsid w:val="00621947"/>
    <w:rsid w:val="00622A3B"/>
    <w:rsid w:val="00622EEA"/>
    <w:rsid w:val="0062396C"/>
    <w:rsid w:val="00623FF9"/>
    <w:rsid w:val="00624F99"/>
    <w:rsid w:val="00624FF7"/>
    <w:rsid w:val="006258BA"/>
    <w:rsid w:val="00625EBE"/>
    <w:rsid w:val="00626F45"/>
    <w:rsid w:val="00627D4E"/>
    <w:rsid w:val="00630028"/>
    <w:rsid w:val="006317D7"/>
    <w:rsid w:val="00631B28"/>
    <w:rsid w:val="00632B89"/>
    <w:rsid w:val="0063346D"/>
    <w:rsid w:val="00633728"/>
    <w:rsid w:val="00633FD4"/>
    <w:rsid w:val="00634478"/>
    <w:rsid w:val="0063452A"/>
    <w:rsid w:val="0063692A"/>
    <w:rsid w:val="00636EF5"/>
    <w:rsid w:val="006371F8"/>
    <w:rsid w:val="00637A13"/>
    <w:rsid w:val="00640159"/>
    <w:rsid w:val="0064094B"/>
    <w:rsid w:val="00644373"/>
    <w:rsid w:val="006445D9"/>
    <w:rsid w:val="00645915"/>
    <w:rsid w:val="00646B7F"/>
    <w:rsid w:val="00646CC4"/>
    <w:rsid w:val="00647785"/>
    <w:rsid w:val="00650DD8"/>
    <w:rsid w:val="0065120D"/>
    <w:rsid w:val="006519C3"/>
    <w:rsid w:val="00652B30"/>
    <w:rsid w:val="00653F32"/>
    <w:rsid w:val="006553ED"/>
    <w:rsid w:val="0065632C"/>
    <w:rsid w:val="00656345"/>
    <w:rsid w:val="00656DC6"/>
    <w:rsid w:val="00657372"/>
    <w:rsid w:val="00660B2E"/>
    <w:rsid w:val="00660D81"/>
    <w:rsid w:val="00660EC6"/>
    <w:rsid w:val="00660F4A"/>
    <w:rsid w:val="00662604"/>
    <w:rsid w:val="00664110"/>
    <w:rsid w:val="00664D17"/>
    <w:rsid w:val="006651BE"/>
    <w:rsid w:val="00665BA3"/>
    <w:rsid w:val="00666520"/>
    <w:rsid w:val="0066656A"/>
    <w:rsid w:val="00667C5B"/>
    <w:rsid w:val="00667E45"/>
    <w:rsid w:val="00667F4E"/>
    <w:rsid w:val="0067112E"/>
    <w:rsid w:val="006713ED"/>
    <w:rsid w:val="00673067"/>
    <w:rsid w:val="006738E7"/>
    <w:rsid w:val="00677247"/>
    <w:rsid w:val="00677471"/>
    <w:rsid w:val="00677F68"/>
    <w:rsid w:val="00680639"/>
    <w:rsid w:val="006815F5"/>
    <w:rsid w:val="00681E41"/>
    <w:rsid w:val="00685A9C"/>
    <w:rsid w:val="00687315"/>
    <w:rsid w:val="006908B0"/>
    <w:rsid w:val="00690F55"/>
    <w:rsid w:val="00691EB8"/>
    <w:rsid w:val="00692CDE"/>
    <w:rsid w:val="00693073"/>
    <w:rsid w:val="0069394A"/>
    <w:rsid w:val="00695070"/>
    <w:rsid w:val="00695358"/>
    <w:rsid w:val="006977FF"/>
    <w:rsid w:val="006A01FA"/>
    <w:rsid w:val="006A06BF"/>
    <w:rsid w:val="006A0E9E"/>
    <w:rsid w:val="006A1669"/>
    <w:rsid w:val="006A20EB"/>
    <w:rsid w:val="006A25C7"/>
    <w:rsid w:val="006A2C2B"/>
    <w:rsid w:val="006A3BB8"/>
    <w:rsid w:val="006A4AAD"/>
    <w:rsid w:val="006A550D"/>
    <w:rsid w:val="006A5A5A"/>
    <w:rsid w:val="006A5F48"/>
    <w:rsid w:val="006A623F"/>
    <w:rsid w:val="006A6DA2"/>
    <w:rsid w:val="006A7AB2"/>
    <w:rsid w:val="006B13E8"/>
    <w:rsid w:val="006B2758"/>
    <w:rsid w:val="006B2FFE"/>
    <w:rsid w:val="006B523A"/>
    <w:rsid w:val="006B52DE"/>
    <w:rsid w:val="006B5717"/>
    <w:rsid w:val="006B582F"/>
    <w:rsid w:val="006B5BE8"/>
    <w:rsid w:val="006B5EB2"/>
    <w:rsid w:val="006B6AE2"/>
    <w:rsid w:val="006C0CEB"/>
    <w:rsid w:val="006C1631"/>
    <w:rsid w:val="006C3B1E"/>
    <w:rsid w:val="006C4175"/>
    <w:rsid w:val="006C47FD"/>
    <w:rsid w:val="006C5C19"/>
    <w:rsid w:val="006C6690"/>
    <w:rsid w:val="006C70A0"/>
    <w:rsid w:val="006D0BA0"/>
    <w:rsid w:val="006D13B1"/>
    <w:rsid w:val="006D202F"/>
    <w:rsid w:val="006D21A5"/>
    <w:rsid w:val="006D27CB"/>
    <w:rsid w:val="006D2F08"/>
    <w:rsid w:val="006D448F"/>
    <w:rsid w:val="006D576C"/>
    <w:rsid w:val="006D5865"/>
    <w:rsid w:val="006D737C"/>
    <w:rsid w:val="006D7980"/>
    <w:rsid w:val="006E18D1"/>
    <w:rsid w:val="006E22B1"/>
    <w:rsid w:val="006E264E"/>
    <w:rsid w:val="006E46A4"/>
    <w:rsid w:val="006E4B1B"/>
    <w:rsid w:val="006E535F"/>
    <w:rsid w:val="006E5445"/>
    <w:rsid w:val="006E73FE"/>
    <w:rsid w:val="006E7D93"/>
    <w:rsid w:val="006F1917"/>
    <w:rsid w:val="006F7D33"/>
    <w:rsid w:val="00700234"/>
    <w:rsid w:val="0070133D"/>
    <w:rsid w:val="00701B64"/>
    <w:rsid w:val="00702106"/>
    <w:rsid w:val="0070227C"/>
    <w:rsid w:val="007029A3"/>
    <w:rsid w:val="00702CE8"/>
    <w:rsid w:val="00702F29"/>
    <w:rsid w:val="007033D4"/>
    <w:rsid w:val="0070522E"/>
    <w:rsid w:val="007065AA"/>
    <w:rsid w:val="00706E4E"/>
    <w:rsid w:val="0070791C"/>
    <w:rsid w:val="00711259"/>
    <w:rsid w:val="00711554"/>
    <w:rsid w:val="007127FD"/>
    <w:rsid w:val="007128F4"/>
    <w:rsid w:val="00712DAF"/>
    <w:rsid w:val="0071326A"/>
    <w:rsid w:val="0071383C"/>
    <w:rsid w:val="007141A7"/>
    <w:rsid w:val="007151E5"/>
    <w:rsid w:val="00715722"/>
    <w:rsid w:val="00715BAF"/>
    <w:rsid w:val="00716530"/>
    <w:rsid w:val="007170A5"/>
    <w:rsid w:val="00720A11"/>
    <w:rsid w:val="00721032"/>
    <w:rsid w:val="00721597"/>
    <w:rsid w:val="007217D5"/>
    <w:rsid w:val="00721B55"/>
    <w:rsid w:val="0072390A"/>
    <w:rsid w:val="00724E2E"/>
    <w:rsid w:val="00726006"/>
    <w:rsid w:val="00726CE4"/>
    <w:rsid w:val="00727176"/>
    <w:rsid w:val="00730EA0"/>
    <w:rsid w:val="00731D56"/>
    <w:rsid w:val="00732B77"/>
    <w:rsid w:val="00734143"/>
    <w:rsid w:val="00735E47"/>
    <w:rsid w:val="0073638A"/>
    <w:rsid w:val="00737E47"/>
    <w:rsid w:val="00740EAC"/>
    <w:rsid w:val="007413AB"/>
    <w:rsid w:val="00743A0E"/>
    <w:rsid w:val="00744057"/>
    <w:rsid w:val="00744956"/>
    <w:rsid w:val="00745A5C"/>
    <w:rsid w:val="0074605F"/>
    <w:rsid w:val="00747CAA"/>
    <w:rsid w:val="00747E94"/>
    <w:rsid w:val="007504ED"/>
    <w:rsid w:val="007517B5"/>
    <w:rsid w:val="00751B23"/>
    <w:rsid w:val="00754C83"/>
    <w:rsid w:val="00755138"/>
    <w:rsid w:val="00761B7F"/>
    <w:rsid w:val="00761E5C"/>
    <w:rsid w:val="00765B4B"/>
    <w:rsid w:val="00765DF8"/>
    <w:rsid w:val="00766749"/>
    <w:rsid w:val="007671FD"/>
    <w:rsid w:val="00767C1B"/>
    <w:rsid w:val="00767F98"/>
    <w:rsid w:val="00770B3F"/>
    <w:rsid w:val="007714A9"/>
    <w:rsid w:val="007727DB"/>
    <w:rsid w:val="00774F88"/>
    <w:rsid w:val="00774FDB"/>
    <w:rsid w:val="0077607E"/>
    <w:rsid w:val="00777BA2"/>
    <w:rsid w:val="00781408"/>
    <w:rsid w:val="007828E2"/>
    <w:rsid w:val="00784F7F"/>
    <w:rsid w:val="00784FDE"/>
    <w:rsid w:val="0078545B"/>
    <w:rsid w:val="007869FC"/>
    <w:rsid w:val="007878BD"/>
    <w:rsid w:val="007879A6"/>
    <w:rsid w:val="00790051"/>
    <w:rsid w:val="0079021D"/>
    <w:rsid w:val="0079156A"/>
    <w:rsid w:val="007921A7"/>
    <w:rsid w:val="0079260D"/>
    <w:rsid w:val="00792688"/>
    <w:rsid w:val="007938CF"/>
    <w:rsid w:val="00794338"/>
    <w:rsid w:val="00794358"/>
    <w:rsid w:val="00794CC7"/>
    <w:rsid w:val="00795CFE"/>
    <w:rsid w:val="00796F25"/>
    <w:rsid w:val="007A0CAD"/>
    <w:rsid w:val="007A2E98"/>
    <w:rsid w:val="007A314F"/>
    <w:rsid w:val="007A368B"/>
    <w:rsid w:val="007A3BA3"/>
    <w:rsid w:val="007A4080"/>
    <w:rsid w:val="007A4215"/>
    <w:rsid w:val="007A4C39"/>
    <w:rsid w:val="007A6CC0"/>
    <w:rsid w:val="007A753E"/>
    <w:rsid w:val="007A7FEC"/>
    <w:rsid w:val="007B1499"/>
    <w:rsid w:val="007B1BBF"/>
    <w:rsid w:val="007B2960"/>
    <w:rsid w:val="007B355D"/>
    <w:rsid w:val="007B39F1"/>
    <w:rsid w:val="007B3B44"/>
    <w:rsid w:val="007B49EA"/>
    <w:rsid w:val="007B5E5B"/>
    <w:rsid w:val="007B657C"/>
    <w:rsid w:val="007B7980"/>
    <w:rsid w:val="007C060F"/>
    <w:rsid w:val="007C0C14"/>
    <w:rsid w:val="007C0DEF"/>
    <w:rsid w:val="007C13B5"/>
    <w:rsid w:val="007C3083"/>
    <w:rsid w:val="007C31A6"/>
    <w:rsid w:val="007C58B3"/>
    <w:rsid w:val="007C5D5A"/>
    <w:rsid w:val="007C607F"/>
    <w:rsid w:val="007C6AE3"/>
    <w:rsid w:val="007C721D"/>
    <w:rsid w:val="007C747F"/>
    <w:rsid w:val="007C79DD"/>
    <w:rsid w:val="007D0940"/>
    <w:rsid w:val="007D0A98"/>
    <w:rsid w:val="007D1A97"/>
    <w:rsid w:val="007D1ED7"/>
    <w:rsid w:val="007D1F01"/>
    <w:rsid w:val="007D2CD6"/>
    <w:rsid w:val="007D3063"/>
    <w:rsid w:val="007D38A7"/>
    <w:rsid w:val="007D3CEB"/>
    <w:rsid w:val="007D46F6"/>
    <w:rsid w:val="007D58FE"/>
    <w:rsid w:val="007E1184"/>
    <w:rsid w:val="007E5A1A"/>
    <w:rsid w:val="007E5D71"/>
    <w:rsid w:val="007E6617"/>
    <w:rsid w:val="007E7683"/>
    <w:rsid w:val="007F0A6B"/>
    <w:rsid w:val="007F2865"/>
    <w:rsid w:val="007F2C55"/>
    <w:rsid w:val="007F3A3C"/>
    <w:rsid w:val="007F49FA"/>
    <w:rsid w:val="007F54C4"/>
    <w:rsid w:val="007F5901"/>
    <w:rsid w:val="007F5BCE"/>
    <w:rsid w:val="007F5ED3"/>
    <w:rsid w:val="007F6740"/>
    <w:rsid w:val="007F6775"/>
    <w:rsid w:val="007F6E75"/>
    <w:rsid w:val="007F6E9A"/>
    <w:rsid w:val="007F7E61"/>
    <w:rsid w:val="00800CCD"/>
    <w:rsid w:val="00801E1A"/>
    <w:rsid w:val="00802E49"/>
    <w:rsid w:val="008044D4"/>
    <w:rsid w:val="0080550A"/>
    <w:rsid w:val="00805F71"/>
    <w:rsid w:val="0080628C"/>
    <w:rsid w:val="00806988"/>
    <w:rsid w:val="0080750B"/>
    <w:rsid w:val="00810433"/>
    <w:rsid w:val="00810A08"/>
    <w:rsid w:val="00810AB4"/>
    <w:rsid w:val="00810F96"/>
    <w:rsid w:val="00816D43"/>
    <w:rsid w:val="008171E8"/>
    <w:rsid w:val="00817B56"/>
    <w:rsid w:val="0082076D"/>
    <w:rsid w:val="00821A88"/>
    <w:rsid w:val="00822A31"/>
    <w:rsid w:val="0082322E"/>
    <w:rsid w:val="0082495D"/>
    <w:rsid w:val="0082627D"/>
    <w:rsid w:val="00826B65"/>
    <w:rsid w:val="00827DD4"/>
    <w:rsid w:val="008309D2"/>
    <w:rsid w:val="00831AC3"/>
    <w:rsid w:val="00833441"/>
    <w:rsid w:val="00833712"/>
    <w:rsid w:val="00835C38"/>
    <w:rsid w:val="00836B09"/>
    <w:rsid w:val="00836FCE"/>
    <w:rsid w:val="008408FF"/>
    <w:rsid w:val="0084112B"/>
    <w:rsid w:val="00841BAB"/>
    <w:rsid w:val="008436D9"/>
    <w:rsid w:val="00845243"/>
    <w:rsid w:val="00851189"/>
    <w:rsid w:val="00851E28"/>
    <w:rsid w:val="00851F3F"/>
    <w:rsid w:val="0085460B"/>
    <w:rsid w:val="00854923"/>
    <w:rsid w:val="00856EDC"/>
    <w:rsid w:val="008572AB"/>
    <w:rsid w:val="00857704"/>
    <w:rsid w:val="00857F60"/>
    <w:rsid w:val="00860733"/>
    <w:rsid w:val="008623B5"/>
    <w:rsid w:val="0086266C"/>
    <w:rsid w:val="008635E9"/>
    <w:rsid w:val="00864172"/>
    <w:rsid w:val="00865D57"/>
    <w:rsid w:val="00866ED5"/>
    <w:rsid w:val="00867F4B"/>
    <w:rsid w:val="008706F8"/>
    <w:rsid w:val="00870ABA"/>
    <w:rsid w:val="008710E1"/>
    <w:rsid w:val="00871422"/>
    <w:rsid w:val="008716E5"/>
    <w:rsid w:val="00872031"/>
    <w:rsid w:val="008732C8"/>
    <w:rsid w:val="00874DE7"/>
    <w:rsid w:val="00874E69"/>
    <w:rsid w:val="0087646D"/>
    <w:rsid w:val="00876B82"/>
    <w:rsid w:val="00877116"/>
    <w:rsid w:val="008807E7"/>
    <w:rsid w:val="00881CA9"/>
    <w:rsid w:val="0088208C"/>
    <w:rsid w:val="00883628"/>
    <w:rsid w:val="0088382C"/>
    <w:rsid w:val="00884A72"/>
    <w:rsid w:val="00885544"/>
    <w:rsid w:val="0088634E"/>
    <w:rsid w:val="0088695B"/>
    <w:rsid w:val="00890593"/>
    <w:rsid w:val="008916A6"/>
    <w:rsid w:val="008917A5"/>
    <w:rsid w:val="00891B17"/>
    <w:rsid w:val="00893AB8"/>
    <w:rsid w:val="00896994"/>
    <w:rsid w:val="00897CF3"/>
    <w:rsid w:val="008A04C8"/>
    <w:rsid w:val="008A2190"/>
    <w:rsid w:val="008A30BF"/>
    <w:rsid w:val="008A38B3"/>
    <w:rsid w:val="008A3A23"/>
    <w:rsid w:val="008A61AA"/>
    <w:rsid w:val="008A6913"/>
    <w:rsid w:val="008A773D"/>
    <w:rsid w:val="008B0119"/>
    <w:rsid w:val="008B0C73"/>
    <w:rsid w:val="008B1E68"/>
    <w:rsid w:val="008B3BE1"/>
    <w:rsid w:val="008B4B35"/>
    <w:rsid w:val="008B6F01"/>
    <w:rsid w:val="008B70F3"/>
    <w:rsid w:val="008B71B7"/>
    <w:rsid w:val="008B71C4"/>
    <w:rsid w:val="008B732C"/>
    <w:rsid w:val="008B76DF"/>
    <w:rsid w:val="008C069D"/>
    <w:rsid w:val="008C10F4"/>
    <w:rsid w:val="008C2910"/>
    <w:rsid w:val="008C33D2"/>
    <w:rsid w:val="008C3A9C"/>
    <w:rsid w:val="008C3BC9"/>
    <w:rsid w:val="008C5436"/>
    <w:rsid w:val="008C57B5"/>
    <w:rsid w:val="008C64D1"/>
    <w:rsid w:val="008C65F7"/>
    <w:rsid w:val="008D0EB1"/>
    <w:rsid w:val="008D21A8"/>
    <w:rsid w:val="008D236E"/>
    <w:rsid w:val="008D39B6"/>
    <w:rsid w:val="008D486C"/>
    <w:rsid w:val="008E1128"/>
    <w:rsid w:val="008E2A11"/>
    <w:rsid w:val="008E4767"/>
    <w:rsid w:val="008E4CBE"/>
    <w:rsid w:val="008E5BE3"/>
    <w:rsid w:val="008E7A8C"/>
    <w:rsid w:val="008F0125"/>
    <w:rsid w:val="008F0BB4"/>
    <w:rsid w:val="008F31B8"/>
    <w:rsid w:val="008F5CD6"/>
    <w:rsid w:val="0090203B"/>
    <w:rsid w:val="0090227C"/>
    <w:rsid w:val="0090298A"/>
    <w:rsid w:val="00903285"/>
    <w:rsid w:val="00904AD9"/>
    <w:rsid w:val="009069FE"/>
    <w:rsid w:val="00906EB6"/>
    <w:rsid w:val="00906F40"/>
    <w:rsid w:val="0090731E"/>
    <w:rsid w:val="009074D6"/>
    <w:rsid w:val="009105F4"/>
    <w:rsid w:val="00910964"/>
    <w:rsid w:val="00911ABC"/>
    <w:rsid w:val="00915B1C"/>
    <w:rsid w:val="009165AD"/>
    <w:rsid w:val="009174F3"/>
    <w:rsid w:val="0091797D"/>
    <w:rsid w:val="00917C30"/>
    <w:rsid w:val="00920513"/>
    <w:rsid w:val="009207B7"/>
    <w:rsid w:val="00921FC8"/>
    <w:rsid w:val="0092306E"/>
    <w:rsid w:val="00923CBA"/>
    <w:rsid w:val="0092506F"/>
    <w:rsid w:val="00925EB0"/>
    <w:rsid w:val="00926703"/>
    <w:rsid w:val="009275C5"/>
    <w:rsid w:val="00927691"/>
    <w:rsid w:val="00927A5F"/>
    <w:rsid w:val="00927FF2"/>
    <w:rsid w:val="00930510"/>
    <w:rsid w:val="009308FD"/>
    <w:rsid w:val="00931774"/>
    <w:rsid w:val="00932D9F"/>
    <w:rsid w:val="009335CC"/>
    <w:rsid w:val="00934097"/>
    <w:rsid w:val="0093455B"/>
    <w:rsid w:val="00934859"/>
    <w:rsid w:val="00935220"/>
    <w:rsid w:val="009352B2"/>
    <w:rsid w:val="009356F2"/>
    <w:rsid w:val="00935A01"/>
    <w:rsid w:val="00935B63"/>
    <w:rsid w:val="00936E95"/>
    <w:rsid w:val="00936F14"/>
    <w:rsid w:val="0093789D"/>
    <w:rsid w:val="009402B2"/>
    <w:rsid w:val="0094078F"/>
    <w:rsid w:val="00940F93"/>
    <w:rsid w:val="00940FA3"/>
    <w:rsid w:val="00940FF0"/>
    <w:rsid w:val="009413B4"/>
    <w:rsid w:val="00941FB0"/>
    <w:rsid w:val="009426D4"/>
    <w:rsid w:val="00942A29"/>
    <w:rsid w:val="00943A30"/>
    <w:rsid w:val="00944CC8"/>
    <w:rsid w:val="00945363"/>
    <w:rsid w:val="00947F25"/>
    <w:rsid w:val="00950159"/>
    <w:rsid w:val="00950684"/>
    <w:rsid w:val="00951DD7"/>
    <w:rsid w:val="0095490B"/>
    <w:rsid w:val="00955164"/>
    <w:rsid w:val="00955D34"/>
    <w:rsid w:val="00956F4C"/>
    <w:rsid w:val="009573DE"/>
    <w:rsid w:val="00960A33"/>
    <w:rsid w:val="009630CA"/>
    <w:rsid w:val="00963334"/>
    <w:rsid w:val="00964A28"/>
    <w:rsid w:val="00964F23"/>
    <w:rsid w:val="009656E7"/>
    <w:rsid w:val="0096575F"/>
    <w:rsid w:val="00965D38"/>
    <w:rsid w:val="009701EB"/>
    <w:rsid w:val="0097094A"/>
    <w:rsid w:val="0097130A"/>
    <w:rsid w:val="00971914"/>
    <w:rsid w:val="00971BD6"/>
    <w:rsid w:val="00971ED4"/>
    <w:rsid w:val="00972EC2"/>
    <w:rsid w:val="00973133"/>
    <w:rsid w:val="009735C5"/>
    <w:rsid w:val="00974363"/>
    <w:rsid w:val="00975E60"/>
    <w:rsid w:val="00976206"/>
    <w:rsid w:val="009771BE"/>
    <w:rsid w:val="00977972"/>
    <w:rsid w:val="00977EC9"/>
    <w:rsid w:val="009809D5"/>
    <w:rsid w:val="00981898"/>
    <w:rsid w:val="00984ED1"/>
    <w:rsid w:val="009852C0"/>
    <w:rsid w:val="0098534E"/>
    <w:rsid w:val="00987B36"/>
    <w:rsid w:val="0099190D"/>
    <w:rsid w:val="00991B0B"/>
    <w:rsid w:val="00994718"/>
    <w:rsid w:val="00995452"/>
    <w:rsid w:val="0099577C"/>
    <w:rsid w:val="009970E8"/>
    <w:rsid w:val="009A021C"/>
    <w:rsid w:val="009A06F0"/>
    <w:rsid w:val="009A250F"/>
    <w:rsid w:val="009A25CC"/>
    <w:rsid w:val="009A2AEA"/>
    <w:rsid w:val="009A2D21"/>
    <w:rsid w:val="009A5D6B"/>
    <w:rsid w:val="009A7332"/>
    <w:rsid w:val="009A7749"/>
    <w:rsid w:val="009B0ACB"/>
    <w:rsid w:val="009B1EB3"/>
    <w:rsid w:val="009B24A5"/>
    <w:rsid w:val="009B2601"/>
    <w:rsid w:val="009B27C9"/>
    <w:rsid w:val="009B342D"/>
    <w:rsid w:val="009B49A0"/>
    <w:rsid w:val="009B4E9E"/>
    <w:rsid w:val="009B52FA"/>
    <w:rsid w:val="009B7DF4"/>
    <w:rsid w:val="009C10BE"/>
    <w:rsid w:val="009C1345"/>
    <w:rsid w:val="009C1690"/>
    <w:rsid w:val="009C19E1"/>
    <w:rsid w:val="009C20D5"/>
    <w:rsid w:val="009C2A3B"/>
    <w:rsid w:val="009C468C"/>
    <w:rsid w:val="009C6563"/>
    <w:rsid w:val="009C668F"/>
    <w:rsid w:val="009C6881"/>
    <w:rsid w:val="009C75D2"/>
    <w:rsid w:val="009C7759"/>
    <w:rsid w:val="009D043D"/>
    <w:rsid w:val="009D07C8"/>
    <w:rsid w:val="009D2137"/>
    <w:rsid w:val="009D2301"/>
    <w:rsid w:val="009D47C5"/>
    <w:rsid w:val="009D4BC9"/>
    <w:rsid w:val="009D4C85"/>
    <w:rsid w:val="009D5A31"/>
    <w:rsid w:val="009D5BEC"/>
    <w:rsid w:val="009D6C71"/>
    <w:rsid w:val="009D6F2E"/>
    <w:rsid w:val="009D7C68"/>
    <w:rsid w:val="009E0631"/>
    <w:rsid w:val="009E123D"/>
    <w:rsid w:val="009E15F8"/>
    <w:rsid w:val="009E16D0"/>
    <w:rsid w:val="009E171F"/>
    <w:rsid w:val="009E2051"/>
    <w:rsid w:val="009E38FD"/>
    <w:rsid w:val="009F13D6"/>
    <w:rsid w:val="009F285E"/>
    <w:rsid w:val="009F3589"/>
    <w:rsid w:val="009F4C6B"/>
    <w:rsid w:val="009F4FBB"/>
    <w:rsid w:val="009F5791"/>
    <w:rsid w:val="009F610F"/>
    <w:rsid w:val="009F61A6"/>
    <w:rsid w:val="009F6E63"/>
    <w:rsid w:val="009F78A8"/>
    <w:rsid w:val="00A00662"/>
    <w:rsid w:val="00A00A5A"/>
    <w:rsid w:val="00A02882"/>
    <w:rsid w:val="00A02AD6"/>
    <w:rsid w:val="00A043D1"/>
    <w:rsid w:val="00A05693"/>
    <w:rsid w:val="00A05D28"/>
    <w:rsid w:val="00A05DBB"/>
    <w:rsid w:val="00A07096"/>
    <w:rsid w:val="00A070B1"/>
    <w:rsid w:val="00A07318"/>
    <w:rsid w:val="00A10A65"/>
    <w:rsid w:val="00A11370"/>
    <w:rsid w:val="00A11A2A"/>
    <w:rsid w:val="00A1495F"/>
    <w:rsid w:val="00A14C82"/>
    <w:rsid w:val="00A158B5"/>
    <w:rsid w:val="00A203D6"/>
    <w:rsid w:val="00A20D1D"/>
    <w:rsid w:val="00A21463"/>
    <w:rsid w:val="00A224CE"/>
    <w:rsid w:val="00A22522"/>
    <w:rsid w:val="00A23E3F"/>
    <w:rsid w:val="00A2417D"/>
    <w:rsid w:val="00A242CF"/>
    <w:rsid w:val="00A24AFD"/>
    <w:rsid w:val="00A24C64"/>
    <w:rsid w:val="00A24D87"/>
    <w:rsid w:val="00A24F5C"/>
    <w:rsid w:val="00A260EF"/>
    <w:rsid w:val="00A2711B"/>
    <w:rsid w:val="00A27651"/>
    <w:rsid w:val="00A30B61"/>
    <w:rsid w:val="00A31CD9"/>
    <w:rsid w:val="00A32F96"/>
    <w:rsid w:val="00A355AA"/>
    <w:rsid w:val="00A361C3"/>
    <w:rsid w:val="00A37D3B"/>
    <w:rsid w:val="00A40218"/>
    <w:rsid w:val="00A40683"/>
    <w:rsid w:val="00A40871"/>
    <w:rsid w:val="00A412AB"/>
    <w:rsid w:val="00A4193E"/>
    <w:rsid w:val="00A41B37"/>
    <w:rsid w:val="00A439C3"/>
    <w:rsid w:val="00A440E0"/>
    <w:rsid w:val="00A4414E"/>
    <w:rsid w:val="00A441B7"/>
    <w:rsid w:val="00A442EF"/>
    <w:rsid w:val="00A44C1A"/>
    <w:rsid w:val="00A45932"/>
    <w:rsid w:val="00A46F57"/>
    <w:rsid w:val="00A47C6A"/>
    <w:rsid w:val="00A50A9D"/>
    <w:rsid w:val="00A51D1A"/>
    <w:rsid w:val="00A5418D"/>
    <w:rsid w:val="00A5474E"/>
    <w:rsid w:val="00A572E4"/>
    <w:rsid w:val="00A57B61"/>
    <w:rsid w:val="00A64234"/>
    <w:rsid w:val="00A6517A"/>
    <w:rsid w:val="00A659F6"/>
    <w:rsid w:val="00A6642D"/>
    <w:rsid w:val="00A66F42"/>
    <w:rsid w:val="00A67372"/>
    <w:rsid w:val="00A7059B"/>
    <w:rsid w:val="00A70ADF"/>
    <w:rsid w:val="00A71466"/>
    <w:rsid w:val="00A71B05"/>
    <w:rsid w:val="00A72419"/>
    <w:rsid w:val="00A7391B"/>
    <w:rsid w:val="00A7436C"/>
    <w:rsid w:val="00A7444D"/>
    <w:rsid w:val="00A74B5E"/>
    <w:rsid w:val="00A750CB"/>
    <w:rsid w:val="00A7517A"/>
    <w:rsid w:val="00A77172"/>
    <w:rsid w:val="00A77189"/>
    <w:rsid w:val="00A7753A"/>
    <w:rsid w:val="00A77C4E"/>
    <w:rsid w:val="00A80685"/>
    <w:rsid w:val="00A81725"/>
    <w:rsid w:val="00A81BED"/>
    <w:rsid w:val="00A81EC4"/>
    <w:rsid w:val="00A81EFF"/>
    <w:rsid w:val="00A824E8"/>
    <w:rsid w:val="00A825F4"/>
    <w:rsid w:val="00A87230"/>
    <w:rsid w:val="00A87927"/>
    <w:rsid w:val="00A9010F"/>
    <w:rsid w:val="00A93B05"/>
    <w:rsid w:val="00A95FAB"/>
    <w:rsid w:val="00A96122"/>
    <w:rsid w:val="00A967FD"/>
    <w:rsid w:val="00A9739F"/>
    <w:rsid w:val="00A97951"/>
    <w:rsid w:val="00AA1CB4"/>
    <w:rsid w:val="00AA2A1A"/>
    <w:rsid w:val="00AA2DE5"/>
    <w:rsid w:val="00AA6981"/>
    <w:rsid w:val="00AA743A"/>
    <w:rsid w:val="00AA79DE"/>
    <w:rsid w:val="00AB156C"/>
    <w:rsid w:val="00AB208D"/>
    <w:rsid w:val="00AB3FF2"/>
    <w:rsid w:val="00AB4173"/>
    <w:rsid w:val="00AB6814"/>
    <w:rsid w:val="00AC04BA"/>
    <w:rsid w:val="00AC0E39"/>
    <w:rsid w:val="00AC0FFD"/>
    <w:rsid w:val="00AC10D3"/>
    <w:rsid w:val="00AC14C8"/>
    <w:rsid w:val="00AC1C67"/>
    <w:rsid w:val="00AC1F3C"/>
    <w:rsid w:val="00AC2E11"/>
    <w:rsid w:val="00AC4323"/>
    <w:rsid w:val="00AC5CB8"/>
    <w:rsid w:val="00AD00AD"/>
    <w:rsid w:val="00AD3082"/>
    <w:rsid w:val="00AD32B4"/>
    <w:rsid w:val="00AD46CE"/>
    <w:rsid w:val="00AD4AD0"/>
    <w:rsid w:val="00AD5436"/>
    <w:rsid w:val="00AD5619"/>
    <w:rsid w:val="00AD60CD"/>
    <w:rsid w:val="00AD6583"/>
    <w:rsid w:val="00AD6BB2"/>
    <w:rsid w:val="00AD6C8C"/>
    <w:rsid w:val="00AE05B9"/>
    <w:rsid w:val="00AE091D"/>
    <w:rsid w:val="00AE0F28"/>
    <w:rsid w:val="00AE3066"/>
    <w:rsid w:val="00AE346A"/>
    <w:rsid w:val="00AE3B60"/>
    <w:rsid w:val="00AE3DC9"/>
    <w:rsid w:val="00AE5229"/>
    <w:rsid w:val="00AE53A1"/>
    <w:rsid w:val="00AE55B2"/>
    <w:rsid w:val="00AE5E71"/>
    <w:rsid w:val="00AE6B74"/>
    <w:rsid w:val="00AE7A01"/>
    <w:rsid w:val="00AF0EF8"/>
    <w:rsid w:val="00AF1352"/>
    <w:rsid w:val="00AF2484"/>
    <w:rsid w:val="00AF4577"/>
    <w:rsid w:val="00AF4B4C"/>
    <w:rsid w:val="00AF4C90"/>
    <w:rsid w:val="00AF63E7"/>
    <w:rsid w:val="00AF6E17"/>
    <w:rsid w:val="00AF7830"/>
    <w:rsid w:val="00B013D5"/>
    <w:rsid w:val="00B0165D"/>
    <w:rsid w:val="00B01786"/>
    <w:rsid w:val="00B01B60"/>
    <w:rsid w:val="00B030A0"/>
    <w:rsid w:val="00B030DB"/>
    <w:rsid w:val="00B031F3"/>
    <w:rsid w:val="00B04452"/>
    <w:rsid w:val="00B052A4"/>
    <w:rsid w:val="00B07E38"/>
    <w:rsid w:val="00B125DE"/>
    <w:rsid w:val="00B12909"/>
    <w:rsid w:val="00B13FDD"/>
    <w:rsid w:val="00B1490E"/>
    <w:rsid w:val="00B162DD"/>
    <w:rsid w:val="00B22EB2"/>
    <w:rsid w:val="00B23BBF"/>
    <w:rsid w:val="00B23E8C"/>
    <w:rsid w:val="00B260CA"/>
    <w:rsid w:val="00B27442"/>
    <w:rsid w:val="00B27698"/>
    <w:rsid w:val="00B30B69"/>
    <w:rsid w:val="00B31167"/>
    <w:rsid w:val="00B31C22"/>
    <w:rsid w:val="00B31D77"/>
    <w:rsid w:val="00B329D8"/>
    <w:rsid w:val="00B32BB9"/>
    <w:rsid w:val="00B32F2C"/>
    <w:rsid w:val="00B33AE1"/>
    <w:rsid w:val="00B36047"/>
    <w:rsid w:val="00B37156"/>
    <w:rsid w:val="00B37482"/>
    <w:rsid w:val="00B376F5"/>
    <w:rsid w:val="00B37C0E"/>
    <w:rsid w:val="00B37C38"/>
    <w:rsid w:val="00B4288C"/>
    <w:rsid w:val="00B42D0E"/>
    <w:rsid w:val="00B43262"/>
    <w:rsid w:val="00B44100"/>
    <w:rsid w:val="00B443C5"/>
    <w:rsid w:val="00B4452D"/>
    <w:rsid w:val="00B46770"/>
    <w:rsid w:val="00B46CBA"/>
    <w:rsid w:val="00B46E08"/>
    <w:rsid w:val="00B46F94"/>
    <w:rsid w:val="00B5109E"/>
    <w:rsid w:val="00B51662"/>
    <w:rsid w:val="00B518C2"/>
    <w:rsid w:val="00B5254F"/>
    <w:rsid w:val="00B52FAD"/>
    <w:rsid w:val="00B5396E"/>
    <w:rsid w:val="00B53BC3"/>
    <w:rsid w:val="00B548E3"/>
    <w:rsid w:val="00B55681"/>
    <w:rsid w:val="00B55D4C"/>
    <w:rsid w:val="00B56AA4"/>
    <w:rsid w:val="00B57ABD"/>
    <w:rsid w:val="00B6003C"/>
    <w:rsid w:val="00B60D75"/>
    <w:rsid w:val="00B61F03"/>
    <w:rsid w:val="00B626E4"/>
    <w:rsid w:val="00B6325C"/>
    <w:rsid w:val="00B6372E"/>
    <w:rsid w:val="00B638A2"/>
    <w:rsid w:val="00B65B4A"/>
    <w:rsid w:val="00B661D3"/>
    <w:rsid w:val="00B66C82"/>
    <w:rsid w:val="00B66E59"/>
    <w:rsid w:val="00B70028"/>
    <w:rsid w:val="00B70955"/>
    <w:rsid w:val="00B70B01"/>
    <w:rsid w:val="00B70F50"/>
    <w:rsid w:val="00B725A3"/>
    <w:rsid w:val="00B725FE"/>
    <w:rsid w:val="00B72F4A"/>
    <w:rsid w:val="00B75B11"/>
    <w:rsid w:val="00B7681C"/>
    <w:rsid w:val="00B76AC4"/>
    <w:rsid w:val="00B77A1A"/>
    <w:rsid w:val="00B77B86"/>
    <w:rsid w:val="00B80D48"/>
    <w:rsid w:val="00B80E08"/>
    <w:rsid w:val="00B81371"/>
    <w:rsid w:val="00B81948"/>
    <w:rsid w:val="00B8198D"/>
    <w:rsid w:val="00B83419"/>
    <w:rsid w:val="00B8385A"/>
    <w:rsid w:val="00B83C27"/>
    <w:rsid w:val="00B84BC3"/>
    <w:rsid w:val="00B84BDD"/>
    <w:rsid w:val="00B86544"/>
    <w:rsid w:val="00B875A1"/>
    <w:rsid w:val="00B87B70"/>
    <w:rsid w:val="00B900DB"/>
    <w:rsid w:val="00B92812"/>
    <w:rsid w:val="00B92CA2"/>
    <w:rsid w:val="00B9312F"/>
    <w:rsid w:val="00B935B4"/>
    <w:rsid w:val="00B9402F"/>
    <w:rsid w:val="00B94169"/>
    <w:rsid w:val="00B94ABF"/>
    <w:rsid w:val="00B97406"/>
    <w:rsid w:val="00BA049E"/>
    <w:rsid w:val="00BA20A3"/>
    <w:rsid w:val="00BA3396"/>
    <w:rsid w:val="00BA4C61"/>
    <w:rsid w:val="00BA5062"/>
    <w:rsid w:val="00BA7A13"/>
    <w:rsid w:val="00BB0108"/>
    <w:rsid w:val="00BB0710"/>
    <w:rsid w:val="00BB1674"/>
    <w:rsid w:val="00BB45A1"/>
    <w:rsid w:val="00BB543A"/>
    <w:rsid w:val="00BB6B47"/>
    <w:rsid w:val="00BB6C40"/>
    <w:rsid w:val="00BB7686"/>
    <w:rsid w:val="00BB7802"/>
    <w:rsid w:val="00BC04E3"/>
    <w:rsid w:val="00BC0D4A"/>
    <w:rsid w:val="00BC15F9"/>
    <w:rsid w:val="00BC23F9"/>
    <w:rsid w:val="00BC32A9"/>
    <w:rsid w:val="00BC3421"/>
    <w:rsid w:val="00BC434F"/>
    <w:rsid w:val="00BC4A2F"/>
    <w:rsid w:val="00BC5A0C"/>
    <w:rsid w:val="00BC732C"/>
    <w:rsid w:val="00BC7D12"/>
    <w:rsid w:val="00BD09B3"/>
    <w:rsid w:val="00BD09F6"/>
    <w:rsid w:val="00BD3B0D"/>
    <w:rsid w:val="00BD4421"/>
    <w:rsid w:val="00BD46AD"/>
    <w:rsid w:val="00BD55EE"/>
    <w:rsid w:val="00BD66B9"/>
    <w:rsid w:val="00BD6D4B"/>
    <w:rsid w:val="00BD7265"/>
    <w:rsid w:val="00BE0C31"/>
    <w:rsid w:val="00BE2580"/>
    <w:rsid w:val="00BE266D"/>
    <w:rsid w:val="00BE36C4"/>
    <w:rsid w:val="00BE3938"/>
    <w:rsid w:val="00BE4C11"/>
    <w:rsid w:val="00BE59CD"/>
    <w:rsid w:val="00BE71C0"/>
    <w:rsid w:val="00BE7999"/>
    <w:rsid w:val="00BE7D4B"/>
    <w:rsid w:val="00BE7DDF"/>
    <w:rsid w:val="00BF28C1"/>
    <w:rsid w:val="00BF316A"/>
    <w:rsid w:val="00BF5DC6"/>
    <w:rsid w:val="00BF610C"/>
    <w:rsid w:val="00BF6C83"/>
    <w:rsid w:val="00C0060B"/>
    <w:rsid w:val="00C00825"/>
    <w:rsid w:val="00C00DB8"/>
    <w:rsid w:val="00C00EB1"/>
    <w:rsid w:val="00C01A6C"/>
    <w:rsid w:val="00C022F2"/>
    <w:rsid w:val="00C0277D"/>
    <w:rsid w:val="00C02C3F"/>
    <w:rsid w:val="00C02F26"/>
    <w:rsid w:val="00C053A1"/>
    <w:rsid w:val="00C061F8"/>
    <w:rsid w:val="00C11B1F"/>
    <w:rsid w:val="00C11D46"/>
    <w:rsid w:val="00C13CB2"/>
    <w:rsid w:val="00C1596B"/>
    <w:rsid w:val="00C16035"/>
    <w:rsid w:val="00C16198"/>
    <w:rsid w:val="00C16C43"/>
    <w:rsid w:val="00C172B5"/>
    <w:rsid w:val="00C17623"/>
    <w:rsid w:val="00C17A4A"/>
    <w:rsid w:val="00C17CFB"/>
    <w:rsid w:val="00C20834"/>
    <w:rsid w:val="00C2083D"/>
    <w:rsid w:val="00C21C2F"/>
    <w:rsid w:val="00C22B15"/>
    <w:rsid w:val="00C22F8E"/>
    <w:rsid w:val="00C235A3"/>
    <w:rsid w:val="00C23E5E"/>
    <w:rsid w:val="00C24A53"/>
    <w:rsid w:val="00C262AC"/>
    <w:rsid w:val="00C342D6"/>
    <w:rsid w:val="00C34A05"/>
    <w:rsid w:val="00C35B16"/>
    <w:rsid w:val="00C35CCE"/>
    <w:rsid w:val="00C401AF"/>
    <w:rsid w:val="00C4032F"/>
    <w:rsid w:val="00C43EF2"/>
    <w:rsid w:val="00C44047"/>
    <w:rsid w:val="00C45155"/>
    <w:rsid w:val="00C45ADC"/>
    <w:rsid w:val="00C45E74"/>
    <w:rsid w:val="00C464BD"/>
    <w:rsid w:val="00C46894"/>
    <w:rsid w:val="00C4704E"/>
    <w:rsid w:val="00C470FF"/>
    <w:rsid w:val="00C47DEC"/>
    <w:rsid w:val="00C50D1E"/>
    <w:rsid w:val="00C51AD0"/>
    <w:rsid w:val="00C5224E"/>
    <w:rsid w:val="00C52469"/>
    <w:rsid w:val="00C53369"/>
    <w:rsid w:val="00C53575"/>
    <w:rsid w:val="00C53844"/>
    <w:rsid w:val="00C54243"/>
    <w:rsid w:val="00C5498F"/>
    <w:rsid w:val="00C55235"/>
    <w:rsid w:val="00C55487"/>
    <w:rsid w:val="00C57345"/>
    <w:rsid w:val="00C57C10"/>
    <w:rsid w:val="00C61C2A"/>
    <w:rsid w:val="00C61E64"/>
    <w:rsid w:val="00C62D68"/>
    <w:rsid w:val="00C648CE"/>
    <w:rsid w:val="00C64CD0"/>
    <w:rsid w:val="00C64E18"/>
    <w:rsid w:val="00C65F61"/>
    <w:rsid w:val="00C6684F"/>
    <w:rsid w:val="00C668CD"/>
    <w:rsid w:val="00C669E9"/>
    <w:rsid w:val="00C701DA"/>
    <w:rsid w:val="00C70E70"/>
    <w:rsid w:val="00C73A8A"/>
    <w:rsid w:val="00C73D19"/>
    <w:rsid w:val="00C745B0"/>
    <w:rsid w:val="00C74F28"/>
    <w:rsid w:val="00C751FD"/>
    <w:rsid w:val="00C75369"/>
    <w:rsid w:val="00C75F8D"/>
    <w:rsid w:val="00C76F0C"/>
    <w:rsid w:val="00C77380"/>
    <w:rsid w:val="00C77449"/>
    <w:rsid w:val="00C7778C"/>
    <w:rsid w:val="00C8093C"/>
    <w:rsid w:val="00C811F4"/>
    <w:rsid w:val="00C820DE"/>
    <w:rsid w:val="00C852E9"/>
    <w:rsid w:val="00C86B8F"/>
    <w:rsid w:val="00C87E8A"/>
    <w:rsid w:val="00C910DB"/>
    <w:rsid w:val="00C913D6"/>
    <w:rsid w:val="00C92C29"/>
    <w:rsid w:val="00C945F4"/>
    <w:rsid w:val="00C952B9"/>
    <w:rsid w:val="00C962B7"/>
    <w:rsid w:val="00C96CDB"/>
    <w:rsid w:val="00C97736"/>
    <w:rsid w:val="00CA1F51"/>
    <w:rsid w:val="00CA2787"/>
    <w:rsid w:val="00CA28DB"/>
    <w:rsid w:val="00CA3257"/>
    <w:rsid w:val="00CA345A"/>
    <w:rsid w:val="00CA518D"/>
    <w:rsid w:val="00CA5B22"/>
    <w:rsid w:val="00CA62F3"/>
    <w:rsid w:val="00CB18FB"/>
    <w:rsid w:val="00CB1E82"/>
    <w:rsid w:val="00CB2112"/>
    <w:rsid w:val="00CB2127"/>
    <w:rsid w:val="00CB219B"/>
    <w:rsid w:val="00CB40E9"/>
    <w:rsid w:val="00CB4540"/>
    <w:rsid w:val="00CB4BA8"/>
    <w:rsid w:val="00CB52D7"/>
    <w:rsid w:val="00CB7554"/>
    <w:rsid w:val="00CC0BE9"/>
    <w:rsid w:val="00CC0C16"/>
    <w:rsid w:val="00CC0D7D"/>
    <w:rsid w:val="00CC23B5"/>
    <w:rsid w:val="00CC2808"/>
    <w:rsid w:val="00CC4646"/>
    <w:rsid w:val="00CC48D6"/>
    <w:rsid w:val="00CC4FF1"/>
    <w:rsid w:val="00CC6732"/>
    <w:rsid w:val="00CC7A0B"/>
    <w:rsid w:val="00CC7D1D"/>
    <w:rsid w:val="00CD224B"/>
    <w:rsid w:val="00CD666D"/>
    <w:rsid w:val="00CD6ACF"/>
    <w:rsid w:val="00CD78E1"/>
    <w:rsid w:val="00CD7B84"/>
    <w:rsid w:val="00CE1E34"/>
    <w:rsid w:val="00CE253E"/>
    <w:rsid w:val="00CE3708"/>
    <w:rsid w:val="00CE3942"/>
    <w:rsid w:val="00CE3C96"/>
    <w:rsid w:val="00CE4179"/>
    <w:rsid w:val="00CE51A8"/>
    <w:rsid w:val="00CE56F2"/>
    <w:rsid w:val="00CE6AC3"/>
    <w:rsid w:val="00CE72BD"/>
    <w:rsid w:val="00CF0D06"/>
    <w:rsid w:val="00CF1DA2"/>
    <w:rsid w:val="00CF329A"/>
    <w:rsid w:val="00CF369B"/>
    <w:rsid w:val="00CF5B51"/>
    <w:rsid w:val="00CF6692"/>
    <w:rsid w:val="00CF6EAB"/>
    <w:rsid w:val="00D00E28"/>
    <w:rsid w:val="00D018AA"/>
    <w:rsid w:val="00D0269E"/>
    <w:rsid w:val="00D02CAE"/>
    <w:rsid w:val="00D030AC"/>
    <w:rsid w:val="00D031D6"/>
    <w:rsid w:val="00D049C4"/>
    <w:rsid w:val="00D05CE8"/>
    <w:rsid w:val="00D05D6C"/>
    <w:rsid w:val="00D05F1E"/>
    <w:rsid w:val="00D0713F"/>
    <w:rsid w:val="00D0719A"/>
    <w:rsid w:val="00D07385"/>
    <w:rsid w:val="00D10081"/>
    <w:rsid w:val="00D12AFA"/>
    <w:rsid w:val="00D13C3A"/>
    <w:rsid w:val="00D14353"/>
    <w:rsid w:val="00D15810"/>
    <w:rsid w:val="00D16452"/>
    <w:rsid w:val="00D16D4E"/>
    <w:rsid w:val="00D16FE3"/>
    <w:rsid w:val="00D17A57"/>
    <w:rsid w:val="00D21CA5"/>
    <w:rsid w:val="00D2233E"/>
    <w:rsid w:val="00D23117"/>
    <w:rsid w:val="00D23880"/>
    <w:rsid w:val="00D242A9"/>
    <w:rsid w:val="00D24B49"/>
    <w:rsid w:val="00D25570"/>
    <w:rsid w:val="00D2743E"/>
    <w:rsid w:val="00D27D1D"/>
    <w:rsid w:val="00D27F41"/>
    <w:rsid w:val="00D30D76"/>
    <w:rsid w:val="00D33353"/>
    <w:rsid w:val="00D34C3C"/>
    <w:rsid w:val="00D36441"/>
    <w:rsid w:val="00D36F87"/>
    <w:rsid w:val="00D401C9"/>
    <w:rsid w:val="00D4064E"/>
    <w:rsid w:val="00D41EF3"/>
    <w:rsid w:val="00D4331C"/>
    <w:rsid w:val="00D435AE"/>
    <w:rsid w:val="00D44E9B"/>
    <w:rsid w:val="00D465D9"/>
    <w:rsid w:val="00D47116"/>
    <w:rsid w:val="00D47AEB"/>
    <w:rsid w:val="00D502B8"/>
    <w:rsid w:val="00D5053C"/>
    <w:rsid w:val="00D50DB9"/>
    <w:rsid w:val="00D5126C"/>
    <w:rsid w:val="00D51302"/>
    <w:rsid w:val="00D525FA"/>
    <w:rsid w:val="00D52C43"/>
    <w:rsid w:val="00D54AB1"/>
    <w:rsid w:val="00D54C72"/>
    <w:rsid w:val="00D56A47"/>
    <w:rsid w:val="00D57A2E"/>
    <w:rsid w:val="00D60A77"/>
    <w:rsid w:val="00D61243"/>
    <w:rsid w:val="00D6268D"/>
    <w:rsid w:val="00D628A1"/>
    <w:rsid w:val="00D646E7"/>
    <w:rsid w:val="00D64A85"/>
    <w:rsid w:val="00D6507F"/>
    <w:rsid w:val="00D67530"/>
    <w:rsid w:val="00D7291C"/>
    <w:rsid w:val="00D730BC"/>
    <w:rsid w:val="00D73174"/>
    <w:rsid w:val="00D73912"/>
    <w:rsid w:val="00D74D7E"/>
    <w:rsid w:val="00D74DB5"/>
    <w:rsid w:val="00D74E39"/>
    <w:rsid w:val="00D75D09"/>
    <w:rsid w:val="00D774F6"/>
    <w:rsid w:val="00D80DB2"/>
    <w:rsid w:val="00D81168"/>
    <w:rsid w:val="00D818B5"/>
    <w:rsid w:val="00D84884"/>
    <w:rsid w:val="00D84A94"/>
    <w:rsid w:val="00D84B2C"/>
    <w:rsid w:val="00D85226"/>
    <w:rsid w:val="00D8547D"/>
    <w:rsid w:val="00D85630"/>
    <w:rsid w:val="00D85635"/>
    <w:rsid w:val="00D85739"/>
    <w:rsid w:val="00D87730"/>
    <w:rsid w:val="00D87B94"/>
    <w:rsid w:val="00D9168E"/>
    <w:rsid w:val="00D91CF8"/>
    <w:rsid w:val="00D92373"/>
    <w:rsid w:val="00D92D49"/>
    <w:rsid w:val="00D92EC1"/>
    <w:rsid w:val="00D93794"/>
    <w:rsid w:val="00D9444F"/>
    <w:rsid w:val="00D96BA7"/>
    <w:rsid w:val="00D96BD6"/>
    <w:rsid w:val="00D96DEA"/>
    <w:rsid w:val="00D97B46"/>
    <w:rsid w:val="00D97BCA"/>
    <w:rsid w:val="00DA04A3"/>
    <w:rsid w:val="00DA0AB9"/>
    <w:rsid w:val="00DA0FF9"/>
    <w:rsid w:val="00DA1438"/>
    <w:rsid w:val="00DA14E2"/>
    <w:rsid w:val="00DA236D"/>
    <w:rsid w:val="00DA2994"/>
    <w:rsid w:val="00DA3510"/>
    <w:rsid w:val="00DA49A4"/>
    <w:rsid w:val="00DA4E41"/>
    <w:rsid w:val="00DA6F09"/>
    <w:rsid w:val="00DB0EB3"/>
    <w:rsid w:val="00DB117A"/>
    <w:rsid w:val="00DB1988"/>
    <w:rsid w:val="00DB5173"/>
    <w:rsid w:val="00DB6133"/>
    <w:rsid w:val="00DB7271"/>
    <w:rsid w:val="00DB7873"/>
    <w:rsid w:val="00DC00FC"/>
    <w:rsid w:val="00DC187B"/>
    <w:rsid w:val="00DC1BD2"/>
    <w:rsid w:val="00DC20F4"/>
    <w:rsid w:val="00DC2AFB"/>
    <w:rsid w:val="00DC383D"/>
    <w:rsid w:val="00DC415E"/>
    <w:rsid w:val="00DC45E4"/>
    <w:rsid w:val="00DC5861"/>
    <w:rsid w:val="00DC5A2E"/>
    <w:rsid w:val="00DC600B"/>
    <w:rsid w:val="00DD0457"/>
    <w:rsid w:val="00DD1375"/>
    <w:rsid w:val="00DD1A43"/>
    <w:rsid w:val="00DD2742"/>
    <w:rsid w:val="00DD4A4B"/>
    <w:rsid w:val="00DD58E1"/>
    <w:rsid w:val="00DD5C25"/>
    <w:rsid w:val="00DD73C2"/>
    <w:rsid w:val="00DD7653"/>
    <w:rsid w:val="00DE09A8"/>
    <w:rsid w:val="00DE0A32"/>
    <w:rsid w:val="00DE30E3"/>
    <w:rsid w:val="00DE319B"/>
    <w:rsid w:val="00DE3EAF"/>
    <w:rsid w:val="00DE3F44"/>
    <w:rsid w:val="00DE682A"/>
    <w:rsid w:val="00DF02FA"/>
    <w:rsid w:val="00DF1582"/>
    <w:rsid w:val="00DF23EC"/>
    <w:rsid w:val="00DF3331"/>
    <w:rsid w:val="00DF34FE"/>
    <w:rsid w:val="00DF56AA"/>
    <w:rsid w:val="00DF56AF"/>
    <w:rsid w:val="00DF653D"/>
    <w:rsid w:val="00DF6586"/>
    <w:rsid w:val="00DF78E7"/>
    <w:rsid w:val="00DF7AB7"/>
    <w:rsid w:val="00E00D9C"/>
    <w:rsid w:val="00E01165"/>
    <w:rsid w:val="00E03420"/>
    <w:rsid w:val="00E05D38"/>
    <w:rsid w:val="00E05EC9"/>
    <w:rsid w:val="00E06C71"/>
    <w:rsid w:val="00E110E0"/>
    <w:rsid w:val="00E12A98"/>
    <w:rsid w:val="00E12E31"/>
    <w:rsid w:val="00E131DB"/>
    <w:rsid w:val="00E15371"/>
    <w:rsid w:val="00E15FDF"/>
    <w:rsid w:val="00E2005E"/>
    <w:rsid w:val="00E21267"/>
    <w:rsid w:val="00E2271F"/>
    <w:rsid w:val="00E22DFD"/>
    <w:rsid w:val="00E23ED9"/>
    <w:rsid w:val="00E24104"/>
    <w:rsid w:val="00E25552"/>
    <w:rsid w:val="00E302D0"/>
    <w:rsid w:val="00E33480"/>
    <w:rsid w:val="00E33C6E"/>
    <w:rsid w:val="00E33CFD"/>
    <w:rsid w:val="00E341F7"/>
    <w:rsid w:val="00E35205"/>
    <w:rsid w:val="00E35707"/>
    <w:rsid w:val="00E357C8"/>
    <w:rsid w:val="00E36293"/>
    <w:rsid w:val="00E36637"/>
    <w:rsid w:val="00E36AA1"/>
    <w:rsid w:val="00E37130"/>
    <w:rsid w:val="00E3757B"/>
    <w:rsid w:val="00E40CE4"/>
    <w:rsid w:val="00E4191A"/>
    <w:rsid w:val="00E41ECB"/>
    <w:rsid w:val="00E42676"/>
    <w:rsid w:val="00E4292B"/>
    <w:rsid w:val="00E436F6"/>
    <w:rsid w:val="00E43F29"/>
    <w:rsid w:val="00E44361"/>
    <w:rsid w:val="00E459BA"/>
    <w:rsid w:val="00E461EF"/>
    <w:rsid w:val="00E47684"/>
    <w:rsid w:val="00E47697"/>
    <w:rsid w:val="00E515F0"/>
    <w:rsid w:val="00E52453"/>
    <w:rsid w:val="00E538CE"/>
    <w:rsid w:val="00E54191"/>
    <w:rsid w:val="00E548D6"/>
    <w:rsid w:val="00E54FDB"/>
    <w:rsid w:val="00E55A7C"/>
    <w:rsid w:val="00E5617D"/>
    <w:rsid w:val="00E563D7"/>
    <w:rsid w:val="00E56968"/>
    <w:rsid w:val="00E56ED9"/>
    <w:rsid w:val="00E57B91"/>
    <w:rsid w:val="00E61116"/>
    <w:rsid w:val="00E613DD"/>
    <w:rsid w:val="00E64BC4"/>
    <w:rsid w:val="00E64EFF"/>
    <w:rsid w:val="00E663F4"/>
    <w:rsid w:val="00E666F2"/>
    <w:rsid w:val="00E66DD4"/>
    <w:rsid w:val="00E70C26"/>
    <w:rsid w:val="00E71872"/>
    <w:rsid w:val="00E73632"/>
    <w:rsid w:val="00E73C6E"/>
    <w:rsid w:val="00E748CC"/>
    <w:rsid w:val="00E75415"/>
    <w:rsid w:val="00E76B26"/>
    <w:rsid w:val="00E77175"/>
    <w:rsid w:val="00E775B1"/>
    <w:rsid w:val="00E77ED1"/>
    <w:rsid w:val="00E810A7"/>
    <w:rsid w:val="00E8152A"/>
    <w:rsid w:val="00E83DA5"/>
    <w:rsid w:val="00E84B25"/>
    <w:rsid w:val="00E84EAA"/>
    <w:rsid w:val="00E85210"/>
    <w:rsid w:val="00E8718E"/>
    <w:rsid w:val="00E87E78"/>
    <w:rsid w:val="00E87EB6"/>
    <w:rsid w:val="00E87F0D"/>
    <w:rsid w:val="00E9273C"/>
    <w:rsid w:val="00E92755"/>
    <w:rsid w:val="00E93629"/>
    <w:rsid w:val="00E93B5C"/>
    <w:rsid w:val="00E9430F"/>
    <w:rsid w:val="00E94CEC"/>
    <w:rsid w:val="00E94EA9"/>
    <w:rsid w:val="00EA04EF"/>
    <w:rsid w:val="00EA4A9A"/>
    <w:rsid w:val="00EA6C79"/>
    <w:rsid w:val="00EA6F19"/>
    <w:rsid w:val="00EB0444"/>
    <w:rsid w:val="00EB04C9"/>
    <w:rsid w:val="00EB3186"/>
    <w:rsid w:val="00EB420B"/>
    <w:rsid w:val="00EB485A"/>
    <w:rsid w:val="00EB6677"/>
    <w:rsid w:val="00EB6C4C"/>
    <w:rsid w:val="00EB7090"/>
    <w:rsid w:val="00EC00BD"/>
    <w:rsid w:val="00EC0FD1"/>
    <w:rsid w:val="00EC156D"/>
    <w:rsid w:val="00EC1BBE"/>
    <w:rsid w:val="00EC2B68"/>
    <w:rsid w:val="00EC34BA"/>
    <w:rsid w:val="00EC3A4D"/>
    <w:rsid w:val="00EC3AEF"/>
    <w:rsid w:val="00EC3E73"/>
    <w:rsid w:val="00EC5CD7"/>
    <w:rsid w:val="00EC7CED"/>
    <w:rsid w:val="00EC7D8D"/>
    <w:rsid w:val="00ED0B46"/>
    <w:rsid w:val="00ED1309"/>
    <w:rsid w:val="00ED1550"/>
    <w:rsid w:val="00ED1792"/>
    <w:rsid w:val="00ED23AF"/>
    <w:rsid w:val="00ED23D4"/>
    <w:rsid w:val="00EE06CD"/>
    <w:rsid w:val="00EE1AA6"/>
    <w:rsid w:val="00EE435E"/>
    <w:rsid w:val="00EE4A13"/>
    <w:rsid w:val="00EE52D3"/>
    <w:rsid w:val="00EE5FB3"/>
    <w:rsid w:val="00EE6684"/>
    <w:rsid w:val="00EE7F79"/>
    <w:rsid w:val="00EF066E"/>
    <w:rsid w:val="00EF27BE"/>
    <w:rsid w:val="00EF413C"/>
    <w:rsid w:val="00EF4359"/>
    <w:rsid w:val="00EF4622"/>
    <w:rsid w:val="00EF5609"/>
    <w:rsid w:val="00EF5EE7"/>
    <w:rsid w:val="00EF6E3A"/>
    <w:rsid w:val="00EF6ED8"/>
    <w:rsid w:val="00EF715A"/>
    <w:rsid w:val="00EF750E"/>
    <w:rsid w:val="00EF7DBF"/>
    <w:rsid w:val="00F00D48"/>
    <w:rsid w:val="00F01A01"/>
    <w:rsid w:val="00F01B65"/>
    <w:rsid w:val="00F047ED"/>
    <w:rsid w:val="00F04E7D"/>
    <w:rsid w:val="00F0560A"/>
    <w:rsid w:val="00F0565B"/>
    <w:rsid w:val="00F05B33"/>
    <w:rsid w:val="00F05E71"/>
    <w:rsid w:val="00F06E14"/>
    <w:rsid w:val="00F10AFF"/>
    <w:rsid w:val="00F12673"/>
    <w:rsid w:val="00F1339E"/>
    <w:rsid w:val="00F13720"/>
    <w:rsid w:val="00F13D57"/>
    <w:rsid w:val="00F157DC"/>
    <w:rsid w:val="00F1643B"/>
    <w:rsid w:val="00F1756D"/>
    <w:rsid w:val="00F1758E"/>
    <w:rsid w:val="00F179D4"/>
    <w:rsid w:val="00F22A23"/>
    <w:rsid w:val="00F25A77"/>
    <w:rsid w:val="00F26414"/>
    <w:rsid w:val="00F30BD7"/>
    <w:rsid w:val="00F3108C"/>
    <w:rsid w:val="00F336EC"/>
    <w:rsid w:val="00F33C56"/>
    <w:rsid w:val="00F347C7"/>
    <w:rsid w:val="00F34848"/>
    <w:rsid w:val="00F3782E"/>
    <w:rsid w:val="00F41221"/>
    <w:rsid w:val="00F424E1"/>
    <w:rsid w:val="00F42730"/>
    <w:rsid w:val="00F42D46"/>
    <w:rsid w:val="00F43482"/>
    <w:rsid w:val="00F4496C"/>
    <w:rsid w:val="00F44F3A"/>
    <w:rsid w:val="00F466B5"/>
    <w:rsid w:val="00F502E7"/>
    <w:rsid w:val="00F51F10"/>
    <w:rsid w:val="00F529A5"/>
    <w:rsid w:val="00F5310D"/>
    <w:rsid w:val="00F57BD3"/>
    <w:rsid w:val="00F60950"/>
    <w:rsid w:val="00F60B6F"/>
    <w:rsid w:val="00F60F00"/>
    <w:rsid w:val="00F60FFB"/>
    <w:rsid w:val="00F614C0"/>
    <w:rsid w:val="00F626C3"/>
    <w:rsid w:val="00F6393A"/>
    <w:rsid w:val="00F63B12"/>
    <w:rsid w:val="00F63C38"/>
    <w:rsid w:val="00F65AA6"/>
    <w:rsid w:val="00F67D5B"/>
    <w:rsid w:val="00F706FB"/>
    <w:rsid w:val="00F7165C"/>
    <w:rsid w:val="00F71C03"/>
    <w:rsid w:val="00F75B3D"/>
    <w:rsid w:val="00F76B70"/>
    <w:rsid w:val="00F80111"/>
    <w:rsid w:val="00F83848"/>
    <w:rsid w:val="00F85DCF"/>
    <w:rsid w:val="00F87214"/>
    <w:rsid w:val="00F87980"/>
    <w:rsid w:val="00F919A8"/>
    <w:rsid w:val="00F923AC"/>
    <w:rsid w:val="00F92403"/>
    <w:rsid w:val="00F933CB"/>
    <w:rsid w:val="00F95E3F"/>
    <w:rsid w:val="00F96495"/>
    <w:rsid w:val="00F96A88"/>
    <w:rsid w:val="00F97246"/>
    <w:rsid w:val="00F975E9"/>
    <w:rsid w:val="00FA0D01"/>
    <w:rsid w:val="00FA1A3A"/>
    <w:rsid w:val="00FA1B7D"/>
    <w:rsid w:val="00FA3E7E"/>
    <w:rsid w:val="00FA6195"/>
    <w:rsid w:val="00FA7449"/>
    <w:rsid w:val="00FA7760"/>
    <w:rsid w:val="00FB0940"/>
    <w:rsid w:val="00FB253D"/>
    <w:rsid w:val="00FB2958"/>
    <w:rsid w:val="00FB70D8"/>
    <w:rsid w:val="00FC07B9"/>
    <w:rsid w:val="00FC23B6"/>
    <w:rsid w:val="00FC2E41"/>
    <w:rsid w:val="00FC483F"/>
    <w:rsid w:val="00FC4E21"/>
    <w:rsid w:val="00FC4FA9"/>
    <w:rsid w:val="00FC56BE"/>
    <w:rsid w:val="00FC5F6D"/>
    <w:rsid w:val="00FC6F50"/>
    <w:rsid w:val="00FC71FE"/>
    <w:rsid w:val="00FD0107"/>
    <w:rsid w:val="00FD07BC"/>
    <w:rsid w:val="00FD2C2F"/>
    <w:rsid w:val="00FD3B31"/>
    <w:rsid w:val="00FD5FA2"/>
    <w:rsid w:val="00FD60BA"/>
    <w:rsid w:val="00FD7002"/>
    <w:rsid w:val="00FE07C9"/>
    <w:rsid w:val="00FE1823"/>
    <w:rsid w:val="00FE45AB"/>
    <w:rsid w:val="00FE487A"/>
    <w:rsid w:val="00FE6DC5"/>
    <w:rsid w:val="00FE7225"/>
    <w:rsid w:val="00FF0569"/>
    <w:rsid w:val="00FF1A0F"/>
    <w:rsid w:val="00FF206E"/>
    <w:rsid w:val="00FF2C81"/>
    <w:rsid w:val="00FF37B7"/>
    <w:rsid w:val="00FF3A29"/>
    <w:rsid w:val="00FF3B89"/>
    <w:rsid w:val="00FF3C69"/>
    <w:rsid w:val="00FF48EF"/>
    <w:rsid w:val="00FF578D"/>
    <w:rsid w:val="00FF6E0A"/>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red,#4d4d4f"/>
    </o:shapedefaults>
    <o:shapelayout v:ext="edit">
      <o:idmap v:ext="edit" data="1"/>
    </o:shapelayout>
  </w:shapeDefaults>
  <w:decimalSymbol w:val="."/>
  <w:listSeparator w:val=","/>
  <w14:docId w14:val="667D8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1" w:qFormat="1"/>
    <w:lsdException w:name="heading 3"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qFormat="1"/>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EA6C79"/>
    <w:pPr>
      <w:spacing w:after="240" w:line="240" w:lineRule="atLeast"/>
    </w:pPr>
    <w:rPr>
      <w:rFonts w:ascii="Arial" w:hAnsi="Arial"/>
      <w:sz w:val="20"/>
    </w:rPr>
  </w:style>
  <w:style w:type="paragraph" w:styleId="Heading1">
    <w:name w:val="heading 1"/>
    <w:basedOn w:val="Normal"/>
    <w:next w:val="Normal"/>
    <w:link w:val="Heading1Char"/>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Paragraph"/>
    <w:link w:val="Heading2Char"/>
    <w:uiPriority w:val="1"/>
    <w:qFormat/>
    <w:rsid w:val="00D74D7E"/>
    <w:pPr>
      <w:keepNext/>
      <w:spacing w:before="320" w:after="60"/>
      <w:outlineLvl w:val="1"/>
    </w:pPr>
    <w:rPr>
      <w:rFonts w:cs="Arial"/>
      <w:b/>
      <w:bCs/>
      <w:iCs/>
      <w:sz w:val="28"/>
      <w:szCs w:val="28"/>
    </w:rPr>
  </w:style>
  <w:style w:type="paragraph" w:styleId="Heading3">
    <w:name w:val="heading 3"/>
    <w:basedOn w:val="Normal"/>
    <w:next w:val="Normal"/>
    <w:link w:val="Heading3Char"/>
    <w:qFormat/>
    <w:rsid w:val="00C55235"/>
    <w:pPr>
      <w:keepNext/>
      <w:spacing w:before="60" w:after="60"/>
      <w:outlineLvl w:val="2"/>
    </w:pPr>
    <w:rPr>
      <w:rFonts w:cs="Arial"/>
      <w:b/>
      <w:bCs/>
      <w:szCs w:val="26"/>
    </w:rPr>
  </w:style>
  <w:style w:type="paragraph" w:styleId="Heading4">
    <w:name w:val="heading 4"/>
    <w:basedOn w:val="BodySubHeader"/>
    <w:next w:val="Normal"/>
    <w:uiPriority w:val="2"/>
    <w:qFormat/>
    <w:rsid w:val="005B2F0D"/>
    <w:pPr>
      <w:outlineLvl w:val="3"/>
    </w:pPr>
    <w:rPr>
      <w:rFonts w:cs="Arial"/>
    </w:rPr>
  </w:style>
  <w:style w:type="paragraph" w:styleId="Heading5">
    <w:name w:val="heading 5"/>
    <w:basedOn w:val="Normal"/>
    <w:next w:val="Normal"/>
    <w:semiHidden/>
    <w:qFormat/>
    <w:rsid w:val="00AD5436"/>
    <w:pPr>
      <w:numPr>
        <w:ilvl w:val="4"/>
        <w:numId w:val="4"/>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4"/>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4"/>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4"/>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4"/>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rsid w:val="00EC2B68"/>
    <w:rPr>
      <w:rFonts w:ascii="Arial" w:hAnsi="Arial"/>
      <w:color w:val="323232"/>
      <w:sz w:val="16"/>
    </w:rPr>
  </w:style>
  <w:style w:type="paragraph" w:customStyle="1" w:styleId="Reporttitle">
    <w:name w:val="Report title"/>
    <w:basedOn w:val="Normal"/>
    <w:uiPriority w:val="19"/>
    <w:qFormat/>
    <w:rsid w:val="00A51D1A"/>
    <w:pPr>
      <w:spacing w:after="0" w:line="560" w:lineRule="exact"/>
    </w:pPr>
    <w:rPr>
      <w:b/>
      <w:spacing w:val="-28"/>
      <w:sz w:val="53"/>
    </w:rPr>
  </w:style>
  <w:style w:type="paragraph" w:customStyle="1" w:styleId="Reportsubtitle">
    <w:name w:val="Report subtitle"/>
    <w:basedOn w:val="Normal"/>
    <w:uiPriority w:val="20"/>
    <w:qFormat/>
    <w:rsid w:val="00950159"/>
    <w:pPr>
      <w:spacing w:after="200" w:line="560" w:lineRule="exact"/>
    </w:pPr>
    <w:rPr>
      <w:color w:val="323232"/>
      <w:spacing w:val="-28"/>
      <w:sz w:val="53"/>
    </w:rPr>
  </w:style>
  <w:style w:type="table" w:styleId="TableGrid">
    <w:name w:val="Table Grid"/>
    <w:basedOn w:val="TableNormal"/>
    <w:uiPriority w:val="3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950159"/>
    <w:pPr>
      <w:spacing w:after="1200" w:line="240" w:lineRule="auto"/>
    </w:pPr>
    <w:rPr>
      <w:caps/>
      <w:spacing w:val="-10"/>
      <w:sz w:val="20"/>
    </w:rPr>
  </w:style>
  <w:style w:type="paragraph" w:customStyle="1" w:styleId="Tableheaderrow">
    <w:name w:val="Table header row"/>
    <w:basedOn w:val="Normal"/>
    <w:uiPriority w:val="14"/>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semiHidden/>
    <w:qFormat/>
    <w:rsid w:val="00950159"/>
    <w:pPr>
      <w:spacing w:before="1200" w:line="240" w:lineRule="auto"/>
    </w:pPr>
    <w:rPr>
      <w:b/>
      <w:color w:val="323232"/>
      <w:spacing w:val="-28"/>
      <w:sz w:val="53"/>
    </w:rPr>
  </w:style>
  <w:style w:type="paragraph" w:styleId="Caption">
    <w:name w:val="caption"/>
    <w:aliases w:val="Caption table"/>
    <w:basedOn w:val="Normal"/>
    <w:next w:val="Normal"/>
    <w:semiHidden/>
    <w:qFormat/>
    <w:rsid w:val="00E8152A"/>
    <w:pPr>
      <w:numPr>
        <w:numId w:val="8"/>
      </w:numPr>
      <w:spacing w:after="0"/>
    </w:pPr>
    <w:rPr>
      <w:b/>
      <w:bCs/>
      <w:color w:val="323232"/>
      <w:szCs w:val="20"/>
    </w:rPr>
  </w:style>
  <w:style w:type="paragraph" w:customStyle="1" w:styleId="BodySubHeader">
    <w:name w:val="BodySubHeader"/>
    <w:basedOn w:val="Normal"/>
    <w:next w:val="Normal"/>
    <w:semiHidden/>
    <w:rsid w:val="00477E8C"/>
    <w:pPr>
      <w:spacing w:before="240" w:after="0"/>
    </w:pPr>
    <w:rPr>
      <w:b/>
      <w:i/>
    </w:rPr>
  </w:style>
  <w:style w:type="paragraph" w:styleId="ListBullet">
    <w:name w:val="List Bullet"/>
    <w:aliases w:val="List Bullet 1"/>
    <w:basedOn w:val="Normal"/>
    <w:link w:val="ListBulletChar"/>
    <w:qFormat/>
    <w:rsid w:val="001C6AEE"/>
    <w:pPr>
      <w:numPr>
        <w:numId w:val="1"/>
      </w:numPr>
      <w:spacing w:after="80"/>
    </w:pPr>
  </w:style>
  <w:style w:type="paragraph" w:styleId="ListBullet2">
    <w:name w:val="List Bullet 2"/>
    <w:basedOn w:val="Normal"/>
    <w:qFormat/>
    <w:rsid w:val="001C6AEE"/>
    <w:pPr>
      <w:numPr>
        <w:numId w:val="2"/>
      </w:numPr>
      <w:spacing w:after="80"/>
    </w:pPr>
  </w:style>
  <w:style w:type="paragraph" w:styleId="ListNumber">
    <w:name w:val="List Number"/>
    <w:basedOn w:val="Normal"/>
    <w:qFormat/>
    <w:rsid w:val="00C24A53"/>
    <w:pPr>
      <w:numPr>
        <w:numId w:val="12"/>
      </w:numPr>
      <w:spacing w:after="80"/>
    </w:pPr>
  </w:style>
  <w:style w:type="paragraph" w:styleId="ListNumber2">
    <w:name w:val="List Number 2"/>
    <w:basedOn w:val="Normal"/>
    <w:semiHidden/>
    <w:qFormat/>
    <w:rsid w:val="004A70D6"/>
    <w:pPr>
      <w:numPr>
        <w:numId w:val="3"/>
      </w:numPr>
      <w:spacing w:after="80"/>
      <w:ind w:left="828" w:hanging="357"/>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uiPriority w:val="22"/>
    <w:qFormat/>
    <w:rsid w:val="006B52DE"/>
    <w:pPr>
      <w:pageBreakBefore/>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ListContinue5">
    <w:name w:val="List Continue 5"/>
    <w:basedOn w:val="Normal"/>
    <w:semiHidden/>
    <w:rsid w:val="00EC2B68"/>
    <w:pPr>
      <w:spacing w:after="120"/>
      <w:ind w:left="1415"/>
      <w:contextualSpacing/>
    </w:pPr>
  </w:style>
  <w:style w:type="paragraph" w:customStyle="1" w:styleId="Paragraphbeforelist">
    <w:name w:val="Paragraph before list"/>
    <w:basedOn w:val="Paragraph"/>
    <w:uiPriority w:val="4"/>
    <w:qFormat/>
    <w:rsid w:val="00C87E8A"/>
    <w:pPr>
      <w:spacing w:after="80"/>
    </w:p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basedOn w:val="DefaultParagraphFont"/>
    <w:uiPriority w:val="99"/>
    <w:qFormat/>
    <w:rsid w:val="00C35CCE"/>
    <w:rPr>
      <w:color w:val="0000FF"/>
      <w:u w:val="single" w:color="0000FF"/>
    </w:rPr>
  </w:style>
  <w:style w:type="character" w:styleId="FootnoteReference">
    <w:name w:val="footnote reference"/>
    <w:aliases w:val="Appel note de bas de p,Appel note de bas de p + 11 pt,Italic,Footnote,Style 12,(NECG) Footnote Reference,Style 124,o,fr,Style 3,Appel note de bas de p1,Appel note de bas de p2,Appel note de bas de p3,Footnote Reference/,Style 13,FR"/>
    <w:basedOn w:val="DefaultParagraphFont"/>
    <w:rsid w:val="00566AB4"/>
    <w:rPr>
      <w:rFonts w:ascii="Arial" w:hAnsi="Arial"/>
      <w:vertAlign w:val="superscript"/>
    </w:rPr>
  </w:style>
  <w:style w:type="paragraph" w:styleId="FootnoteText">
    <w:name w:val="footnote text"/>
    <w:aliases w:val="Footnote text,ACMA Footnote Text,footnote text,Footnote Text Char Char,Footnote Text Char1 Char Char,Footnote Text Char Char Char Char,Footnote Text Char1 Char Char Char Char,Footnote Text Char Char Char Char Char Char,f,fn"/>
    <w:basedOn w:val="Normal"/>
    <w:link w:val="FootnoteTextChar"/>
    <w:rsid w:val="00D61243"/>
    <w:pPr>
      <w:spacing w:after="0"/>
    </w:pPr>
    <w:rPr>
      <w:sz w:val="16"/>
      <w:szCs w:val="16"/>
    </w:rPr>
  </w:style>
  <w:style w:type="paragraph" w:customStyle="1" w:styleId="TableBody">
    <w:name w:val="Table Body"/>
    <w:basedOn w:val="Normal"/>
    <w:qFormat/>
    <w:rsid w:val="00774FDB"/>
    <w:pPr>
      <w:spacing w:after="0" w:line="240" w:lineRule="auto"/>
    </w:pPr>
  </w:style>
  <w:style w:type="character" w:styleId="CommentReference">
    <w:name w:val="annotation reference"/>
    <w:basedOn w:val="DefaultParagraphFont"/>
    <w:uiPriority w:val="99"/>
    <w:semiHidden/>
    <w:rsid w:val="00EE7F79"/>
    <w:rPr>
      <w:sz w:val="16"/>
      <w:szCs w:val="16"/>
    </w:rPr>
  </w:style>
  <w:style w:type="paragraph" w:styleId="CommentText">
    <w:name w:val="annotation text"/>
    <w:basedOn w:val="Normal"/>
    <w:link w:val="CommentTextChar"/>
    <w:uiPriority w:val="99"/>
    <w:semiHidden/>
    <w:rsid w:val="00EE7F79"/>
    <w:pPr>
      <w:spacing w:line="240" w:lineRule="auto"/>
    </w:pPr>
    <w:rPr>
      <w:szCs w:val="20"/>
    </w:rPr>
  </w:style>
  <w:style w:type="character" w:customStyle="1" w:styleId="CommentTextChar">
    <w:name w:val="Comment Text Char"/>
    <w:basedOn w:val="DefaultParagraphFont"/>
    <w:link w:val="CommentText"/>
    <w:uiPriority w:val="99"/>
    <w:semiHidden/>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semiHidden/>
    <w:unhideWhenUsed/>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paragraph" w:customStyle="1" w:styleId="Bulletlevel1">
    <w:name w:val="Bullet level 1"/>
    <w:basedOn w:val="ListBullet"/>
    <w:uiPriority w:val="5"/>
    <w:qFormat/>
    <w:rsid w:val="00A824E8"/>
    <w:rPr>
      <w:rFonts w:cs="Arial"/>
    </w:rPr>
  </w:style>
  <w:style w:type="paragraph" w:customStyle="1" w:styleId="ACMACorporateAddressHeader">
    <w:name w:val="ACMA_CorporateAddressHeader"/>
    <w:basedOn w:val="Normal"/>
    <w:next w:val="ACMACorporateAddresses"/>
    <w:semiHidden/>
    <w:unhideWhenUsed/>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semiHidden/>
    <w:unhideWhenUsed/>
    <w:qFormat/>
    <w:rsid w:val="00FC07B9"/>
    <w:pPr>
      <w:spacing w:before="0" w:after="120"/>
    </w:pPr>
    <w:rPr>
      <w:b w:val="0"/>
    </w:rPr>
  </w:style>
  <w:style w:type="paragraph" w:customStyle="1" w:styleId="ACMACopyrightHeader">
    <w:name w:val="ACMA_CopyrightHeader"/>
    <w:basedOn w:val="ACMACorporateAddressHeader"/>
    <w:semiHidden/>
    <w:unhideWhenUsed/>
    <w:qFormat/>
    <w:rsid w:val="00950159"/>
    <w:pPr>
      <w:spacing w:before="3000"/>
    </w:pPr>
  </w:style>
  <w:style w:type="paragraph" w:customStyle="1" w:styleId="ACMACClogo">
    <w:name w:val="ACMA_CClogo"/>
    <w:semiHidden/>
    <w:unhideWhenUsed/>
    <w:qFormat/>
    <w:rsid w:val="00623FF9"/>
    <w:pPr>
      <w:spacing w:before="160" w:after="120"/>
    </w:pPr>
    <w:rPr>
      <w:rFonts w:ascii="Arial" w:hAnsi="Arial"/>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semiHidden/>
    <w:qFormat/>
    <w:rsid w:val="00C16198"/>
    <w:pPr>
      <w:spacing w:after="240"/>
      <w:ind w:left="357" w:hanging="357"/>
    </w:pPr>
    <w:rPr>
      <w:rFonts w:cs="Arial"/>
    </w:rPr>
  </w:style>
  <w:style w:type="paragraph" w:customStyle="1" w:styleId="ACMATableHeader">
    <w:name w:val="ACMA_TableHeader"/>
    <w:qFormat/>
    <w:rsid w:val="003F10EE"/>
    <w:pPr>
      <w:numPr>
        <w:numId w:val="6"/>
      </w:numPr>
      <w:spacing w:after="160"/>
    </w:pPr>
    <w:rPr>
      <w:rFonts w:ascii="Arial" w:hAnsi="Arial"/>
      <w:b/>
      <w:bCs/>
      <w:color w:val="323232"/>
      <w:sz w:val="20"/>
      <w:szCs w:val="20"/>
    </w:rPr>
  </w:style>
  <w:style w:type="paragraph" w:customStyle="1" w:styleId="ACMANotes">
    <w:name w:val="ACMA_Notes"/>
    <w:semiHidden/>
    <w:rsid w:val="00FF206E"/>
    <w:pPr>
      <w:spacing w:before="80"/>
    </w:pPr>
    <w:rPr>
      <w:rFonts w:ascii="Arial" w:hAnsi="Arial" w:cs="Arial"/>
      <w:i/>
      <w:sz w:val="16"/>
    </w:rPr>
  </w:style>
  <w:style w:type="paragraph" w:customStyle="1" w:styleId="Numberlistlevel1">
    <w:name w:val="Number list level 1"/>
    <w:basedOn w:val="ListNumber"/>
    <w:uiPriority w:val="9"/>
    <w:qFormat/>
    <w:rsid w:val="004A70D6"/>
  </w:style>
  <w:style w:type="character" w:styleId="Emphasis">
    <w:name w:val="Emphasis"/>
    <w:basedOn w:val="DefaultParagraphFont"/>
    <w:semiHidden/>
    <w:qFormat/>
    <w:rsid w:val="006D576C"/>
    <w:rPr>
      <w:i/>
      <w:iCs/>
    </w:rPr>
  </w:style>
  <w:style w:type="paragraph" w:customStyle="1" w:styleId="ListNumber2Last">
    <w:name w:val="List Number 2 Last"/>
    <w:basedOn w:val="ListNumber2"/>
    <w:semiHidden/>
    <w:qFormat/>
    <w:rsid w:val="00E35707"/>
    <w:pPr>
      <w:spacing w:after="240"/>
      <w:ind w:left="907"/>
    </w:pPr>
    <w:rPr>
      <w:rFonts w:cs="Arial"/>
    </w:rPr>
  </w:style>
  <w:style w:type="paragraph" w:customStyle="1" w:styleId="Spaceaftertable">
    <w:name w:val="Space after table"/>
    <w:basedOn w:val="Normal"/>
    <w:uiPriority w:val="99"/>
    <w:qFormat/>
    <w:rsid w:val="00C2083D"/>
    <w:rPr>
      <w:rFonts w:cs="Arial"/>
    </w:rPr>
  </w:style>
  <w:style w:type="paragraph" w:customStyle="1" w:styleId="FooterLeft">
    <w:name w:val="Footer Left"/>
    <w:basedOn w:val="Footer"/>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3F10EE"/>
    <w:pPr>
      <w:numPr>
        <w:numId w:val="5"/>
      </w:numPr>
      <w:spacing w:after="160"/>
    </w:pPr>
    <w:rPr>
      <w:rFonts w:ascii="Arial" w:hAnsi="Arial"/>
      <w:b/>
      <w:bCs/>
      <w:color w:val="323232"/>
      <w:sz w:val="20"/>
      <w:szCs w:val="20"/>
    </w:rPr>
  </w:style>
  <w:style w:type="paragraph" w:customStyle="1" w:styleId="Captionfigure">
    <w:name w:val="Caption figure"/>
    <w:basedOn w:val="Caption"/>
    <w:semiHidden/>
    <w:qFormat/>
    <w:rsid w:val="00E8152A"/>
    <w:pPr>
      <w:keepNext/>
      <w:numPr>
        <w:numId w:val="7"/>
      </w:numPr>
    </w:pPr>
    <w:rPr>
      <w:rFonts w:cs="Arial"/>
    </w:rPr>
  </w:style>
  <w:style w:type="paragraph" w:customStyle="1" w:styleId="GridTable31">
    <w:name w:val="Grid Table 31"/>
    <w:basedOn w:val="Normal"/>
    <w:semiHidden/>
    <w:qFormat/>
    <w:rsid w:val="00971914"/>
    <w:pPr>
      <w:spacing w:after="0" w:line="240" w:lineRule="auto"/>
    </w:pPr>
    <w:rPr>
      <w:b/>
      <w:color w:val="4D4D4F"/>
      <w:spacing w:val="-28"/>
      <w:sz w:val="53"/>
    </w:rPr>
  </w:style>
  <w:style w:type="character" w:customStyle="1" w:styleId="HeaderChar">
    <w:name w:val="Header Char"/>
    <w:link w:val="Header"/>
    <w:semiHidden/>
    <w:rsid w:val="00971914"/>
    <w:rPr>
      <w:rFonts w:ascii="Arial" w:hAnsi="Arial"/>
      <w:sz w:val="16"/>
    </w:rPr>
  </w:style>
  <w:style w:type="character" w:customStyle="1" w:styleId="Heading1Char">
    <w:name w:val="Heading 1 Char"/>
    <w:basedOn w:val="DefaultParagraphFont"/>
    <w:link w:val="Heading1"/>
    <w:rsid w:val="00F5310D"/>
    <w:rPr>
      <w:rFonts w:ascii="Arial" w:hAnsi="Arial" w:cs="Arial"/>
      <w:bCs/>
      <w:color w:val="323232"/>
      <w:kern w:val="32"/>
      <w:sz w:val="53"/>
      <w:szCs w:val="32"/>
    </w:rPr>
  </w:style>
  <w:style w:type="character" w:customStyle="1" w:styleId="Heading2Char">
    <w:name w:val="Heading 2 Char"/>
    <w:basedOn w:val="DefaultParagraphFont"/>
    <w:link w:val="Heading2"/>
    <w:uiPriority w:val="1"/>
    <w:rsid w:val="00D74D7E"/>
    <w:rPr>
      <w:rFonts w:ascii="Arial" w:hAnsi="Arial" w:cs="Arial"/>
      <w:b/>
      <w:bCs/>
      <w:iCs/>
      <w:sz w:val="28"/>
      <w:szCs w:val="28"/>
    </w:rPr>
  </w:style>
  <w:style w:type="character" w:styleId="UnresolvedMention">
    <w:name w:val="Unresolved Mention"/>
    <w:basedOn w:val="DefaultParagraphFont"/>
    <w:uiPriority w:val="99"/>
    <w:semiHidden/>
    <w:unhideWhenUsed/>
    <w:rsid w:val="006B52DE"/>
    <w:rPr>
      <w:color w:val="605E5C"/>
      <w:shd w:val="clear" w:color="auto" w:fill="E1DFDD"/>
    </w:rPr>
  </w:style>
  <w:style w:type="character" w:customStyle="1" w:styleId="Heading3Char">
    <w:name w:val="Heading 3 Char"/>
    <w:basedOn w:val="DefaultParagraphFont"/>
    <w:link w:val="Heading3"/>
    <w:rsid w:val="00800CCD"/>
    <w:rPr>
      <w:rFonts w:ascii="Arial" w:hAnsi="Arial" w:cs="Arial"/>
      <w:b/>
      <w:bCs/>
      <w:sz w:val="20"/>
      <w:szCs w:val="26"/>
    </w:rPr>
  </w:style>
  <w:style w:type="paragraph" w:customStyle="1" w:styleId="Paragraph">
    <w:name w:val="Paragraph"/>
    <w:basedOn w:val="Normal"/>
    <w:qFormat/>
    <w:rsid w:val="00A824E8"/>
    <w:rPr>
      <w:rFonts w:cs="Arial"/>
    </w:rPr>
  </w:style>
  <w:style w:type="paragraph" w:customStyle="1" w:styleId="Bulletlevel2">
    <w:name w:val="Bullet level 2"/>
    <w:basedOn w:val="ListBullet2"/>
    <w:uiPriority w:val="7"/>
    <w:qFormat/>
    <w:rsid w:val="00A824E8"/>
    <w:rPr>
      <w:rFonts w:cs="Arial"/>
    </w:rPr>
  </w:style>
  <w:style w:type="paragraph" w:customStyle="1" w:styleId="Bulletlevel1last">
    <w:name w:val="Bullet level 1 last"/>
    <w:basedOn w:val="ListBulletLast"/>
    <w:uiPriority w:val="6"/>
    <w:qFormat/>
    <w:rsid w:val="00A824E8"/>
  </w:style>
  <w:style w:type="paragraph" w:customStyle="1" w:styleId="Numberlistlevel2">
    <w:name w:val="Number list level 2"/>
    <w:basedOn w:val="ListNumber2"/>
    <w:uiPriority w:val="11"/>
    <w:qFormat/>
    <w:rsid w:val="004A70D6"/>
  </w:style>
  <w:style w:type="paragraph" w:customStyle="1" w:styleId="Numberlistlast">
    <w:name w:val="Number list last"/>
    <w:basedOn w:val="ListNumberLast"/>
    <w:uiPriority w:val="10"/>
    <w:qFormat/>
    <w:rsid w:val="004A70D6"/>
  </w:style>
  <w:style w:type="paragraph" w:customStyle="1" w:styleId="Numberlistlevel2last">
    <w:name w:val="Number list level 2 last"/>
    <w:basedOn w:val="Numberlistlevel2"/>
    <w:uiPriority w:val="12"/>
    <w:qFormat/>
    <w:rsid w:val="004A70D6"/>
    <w:pPr>
      <w:spacing w:after="240"/>
    </w:pPr>
  </w:style>
  <w:style w:type="paragraph" w:customStyle="1" w:styleId="Bulletlevel2last">
    <w:name w:val="Bullet level 2 last"/>
    <w:basedOn w:val="Bulletlevel2"/>
    <w:uiPriority w:val="8"/>
    <w:qFormat/>
    <w:rsid w:val="004A70D6"/>
    <w:pPr>
      <w:spacing w:after="240"/>
    </w:pPr>
  </w:style>
  <w:style w:type="table" w:customStyle="1" w:styleId="ACMAtablestyle">
    <w:name w:val="ACMA table style"/>
    <w:basedOn w:val="TableNormal"/>
    <w:uiPriority w:val="99"/>
    <w:rsid w:val="0063346D"/>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shd w:val="clear" w:color="auto" w:fill="F2F2F2" w:themeFill="background1" w:themeFillShade="F2"/>
      </w:tcPr>
    </w:tblStylePr>
    <w:tblStylePr w:type="band2Horz">
      <w:rPr>
        <w:rFonts w:ascii="Arial" w:hAnsi="Arial"/>
        <w:sz w:val="20"/>
      </w:rPr>
    </w:tblStylePr>
  </w:style>
  <w:style w:type="paragraph" w:customStyle="1" w:styleId="Tableheading">
    <w:name w:val="Table heading"/>
    <w:basedOn w:val="ACMATableHeader"/>
    <w:next w:val="Paragraph"/>
    <w:uiPriority w:val="13"/>
    <w:qFormat/>
    <w:rsid w:val="0063346D"/>
    <w:pPr>
      <w:keepNext/>
      <w:spacing w:line="240" w:lineRule="atLeast"/>
    </w:pPr>
  </w:style>
  <w:style w:type="paragraph" w:customStyle="1" w:styleId="Tableorfigurenote">
    <w:name w:val="Table or figure note"/>
    <w:basedOn w:val="ACMANotes"/>
    <w:uiPriority w:val="17"/>
    <w:qFormat/>
    <w:rsid w:val="00930510"/>
    <w:pPr>
      <w:spacing w:after="240"/>
    </w:pPr>
  </w:style>
  <w:style w:type="paragraph" w:customStyle="1" w:styleId="Figureheading">
    <w:name w:val="Figure heading"/>
    <w:basedOn w:val="ACMAFigureHeader"/>
    <w:next w:val="Paragraph"/>
    <w:uiPriority w:val="16"/>
    <w:qFormat/>
    <w:rsid w:val="0063346D"/>
    <w:pPr>
      <w:keepNext/>
      <w:spacing w:line="240" w:lineRule="atLeast"/>
    </w:pPr>
  </w:style>
  <w:style w:type="paragraph" w:customStyle="1" w:styleId="Tableorfigurenotemultiple">
    <w:name w:val="Table or figure note multiple"/>
    <w:basedOn w:val="Tableorfigurenote"/>
    <w:uiPriority w:val="18"/>
    <w:qFormat/>
    <w:rsid w:val="00930510"/>
    <w:pPr>
      <w:spacing w:after="80"/>
    </w:pPr>
  </w:style>
  <w:style w:type="paragraph" w:styleId="BalloonText">
    <w:name w:val="Balloon Text"/>
    <w:basedOn w:val="Normal"/>
    <w:link w:val="BalloonTextChar"/>
    <w:semiHidden/>
    <w:unhideWhenUsed/>
    <w:rsid w:val="003933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3933E8"/>
    <w:rPr>
      <w:rFonts w:ascii="Segoe UI" w:hAnsi="Segoe UI" w:cs="Segoe UI"/>
      <w:sz w:val="18"/>
      <w:szCs w:val="18"/>
    </w:rPr>
  </w:style>
  <w:style w:type="paragraph" w:customStyle="1" w:styleId="Note">
    <w:name w:val="Note"/>
    <w:basedOn w:val="ACMANotes"/>
    <w:uiPriority w:val="23"/>
    <w:semiHidden/>
    <w:qFormat/>
    <w:rsid w:val="00D61243"/>
  </w:style>
  <w:style w:type="paragraph" w:styleId="ListParagraph">
    <w:name w:val="List Paragraph"/>
    <w:basedOn w:val="Normal"/>
    <w:uiPriority w:val="34"/>
    <w:qFormat/>
    <w:rsid w:val="002C1390"/>
    <w:pPr>
      <w:spacing w:after="160" w:line="259" w:lineRule="auto"/>
      <w:ind w:left="720"/>
      <w:contextualSpacing/>
    </w:pPr>
    <w:rPr>
      <w:rFonts w:eastAsiaTheme="minorHAnsi" w:cstheme="minorBidi"/>
      <w:szCs w:val="22"/>
      <w:lang w:eastAsia="en-US"/>
    </w:rPr>
  </w:style>
  <w:style w:type="character" w:customStyle="1" w:styleId="FootnoteTextChar">
    <w:name w:val="Footnote Text Char"/>
    <w:aliases w:val="Footnote text Char,ACMA Footnote Text Char,footnote text Char,Footnote Text Char Char Char,Footnote Text Char1 Char Char Char,Footnote Text Char Char Char Char Char,Footnote Text Char1 Char Char Char Char Char,f Char,fn Char"/>
    <w:basedOn w:val="DefaultParagraphFont"/>
    <w:link w:val="FootnoteText"/>
    <w:locked/>
    <w:rsid w:val="00241092"/>
    <w:rPr>
      <w:rFonts w:ascii="Arial" w:hAnsi="Arial"/>
      <w:sz w:val="16"/>
      <w:szCs w:val="16"/>
    </w:rPr>
  </w:style>
  <w:style w:type="character" w:customStyle="1" w:styleId="ListBulletChar">
    <w:name w:val="List Bullet Char"/>
    <w:aliases w:val="List Bullet 1 Char"/>
    <w:basedOn w:val="DefaultParagraphFont"/>
    <w:link w:val="ListBullet"/>
    <w:rsid w:val="00241092"/>
    <w:rPr>
      <w:rFonts w:ascii="Arial" w:hAnsi="Arial"/>
      <w:sz w:val="20"/>
    </w:rPr>
  </w:style>
  <w:style w:type="paragraph" w:customStyle="1" w:styleId="TableHeading0">
    <w:name w:val="Table Heading"/>
    <w:basedOn w:val="Normal"/>
    <w:qFormat/>
    <w:rsid w:val="00B83419"/>
    <w:pPr>
      <w:spacing w:after="0"/>
    </w:pPr>
    <w:rPr>
      <w:b/>
    </w:rPr>
  </w:style>
  <w:style w:type="paragraph" w:customStyle="1" w:styleId="ACMASpaceaftertable">
    <w:name w:val="ACMA_Space after table"/>
    <w:basedOn w:val="Normal"/>
    <w:qFormat/>
    <w:rsid w:val="00B83419"/>
    <w:rPr>
      <w:rFonts w:cs="Arial"/>
    </w:rPr>
  </w:style>
  <w:style w:type="paragraph" w:customStyle="1" w:styleId="ACMAHeading1">
    <w:name w:val="ACMA Heading 1"/>
    <w:next w:val="Normal"/>
    <w:link w:val="ACMAHeading1Char"/>
    <w:rsid w:val="00B83419"/>
    <w:pPr>
      <w:keepNext/>
      <w:suppressAutoHyphens/>
      <w:spacing w:before="320"/>
      <w:outlineLvl w:val="1"/>
    </w:pPr>
    <w:rPr>
      <w:rFonts w:ascii="Arial" w:hAnsi="Arial"/>
      <w:b/>
      <w:sz w:val="32"/>
      <w:szCs w:val="32"/>
      <w:lang w:val="en-US" w:eastAsia="en-US"/>
    </w:rPr>
  </w:style>
  <w:style w:type="character" w:customStyle="1" w:styleId="ACMAHeading1Char">
    <w:name w:val="ACMA Heading 1 Char"/>
    <w:basedOn w:val="DefaultParagraphFont"/>
    <w:link w:val="ACMAHeading1"/>
    <w:rsid w:val="00B83419"/>
    <w:rPr>
      <w:rFonts w:ascii="Arial" w:hAnsi="Arial"/>
      <w:b/>
      <w:sz w:val="32"/>
      <w:szCs w:val="32"/>
      <w:lang w:val="en-US" w:eastAsia="en-US"/>
    </w:rPr>
  </w:style>
  <w:style w:type="paragraph" w:customStyle="1" w:styleId="Default">
    <w:name w:val="Default"/>
    <w:rsid w:val="004C6412"/>
    <w:pPr>
      <w:autoSpaceDE w:val="0"/>
      <w:autoSpaceDN w:val="0"/>
      <w:adjustRightInd w:val="0"/>
    </w:pPr>
    <w:rPr>
      <w:rFonts w:ascii="Calibri" w:hAnsi="Calibri" w:cs="Calibri"/>
      <w:color w:val="000000"/>
    </w:rPr>
  </w:style>
  <w:style w:type="paragraph" w:styleId="Revision">
    <w:name w:val="Revision"/>
    <w:hidden/>
    <w:semiHidden/>
    <w:rsid w:val="00EF6E3A"/>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564579">
      <w:bodyDiv w:val="1"/>
      <w:marLeft w:val="0"/>
      <w:marRight w:val="0"/>
      <w:marTop w:val="0"/>
      <w:marBottom w:val="0"/>
      <w:divBdr>
        <w:top w:val="none" w:sz="0" w:space="0" w:color="auto"/>
        <w:left w:val="none" w:sz="0" w:space="0" w:color="auto"/>
        <w:bottom w:val="none" w:sz="0" w:space="0" w:color="auto"/>
        <w:right w:val="none" w:sz="0" w:space="0" w:color="auto"/>
      </w:divBdr>
    </w:div>
    <w:div w:id="363557771">
      <w:bodyDiv w:val="1"/>
      <w:marLeft w:val="0"/>
      <w:marRight w:val="0"/>
      <w:marTop w:val="0"/>
      <w:marBottom w:val="0"/>
      <w:divBdr>
        <w:top w:val="none" w:sz="0" w:space="0" w:color="auto"/>
        <w:left w:val="none" w:sz="0" w:space="0" w:color="auto"/>
        <w:bottom w:val="none" w:sz="0" w:space="0" w:color="auto"/>
        <w:right w:val="none" w:sz="0" w:space="0" w:color="auto"/>
      </w:divBdr>
    </w:div>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648634406">
      <w:bodyDiv w:val="1"/>
      <w:marLeft w:val="0"/>
      <w:marRight w:val="0"/>
      <w:marTop w:val="0"/>
      <w:marBottom w:val="0"/>
      <w:divBdr>
        <w:top w:val="none" w:sz="0" w:space="0" w:color="auto"/>
        <w:left w:val="none" w:sz="0" w:space="0" w:color="auto"/>
        <w:bottom w:val="none" w:sz="0" w:space="0" w:color="auto"/>
        <w:right w:val="none" w:sz="0" w:space="0" w:color="auto"/>
      </w:divBdr>
    </w:div>
    <w:div w:id="704410702">
      <w:bodyDiv w:val="1"/>
      <w:marLeft w:val="0"/>
      <w:marRight w:val="0"/>
      <w:marTop w:val="0"/>
      <w:marBottom w:val="0"/>
      <w:divBdr>
        <w:top w:val="none" w:sz="0" w:space="0" w:color="auto"/>
        <w:left w:val="none" w:sz="0" w:space="0" w:color="auto"/>
        <w:bottom w:val="none" w:sz="0" w:space="0" w:color="auto"/>
        <w:right w:val="none" w:sz="0" w:space="0" w:color="auto"/>
      </w:divBdr>
    </w:div>
    <w:div w:id="1200627616">
      <w:bodyDiv w:val="1"/>
      <w:marLeft w:val="0"/>
      <w:marRight w:val="0"/>
      <w:marTop w:val="0"/>
      <w:marBottom w:val="0"/>
      <w:divBdr>
        <w:top w:val="none" w:sz="0" w:space="0" w:color="auto"/>
        <w:left w:val="none" w:sz="0" w:space="0" w:color="auto"/>
        <w:bottom w:val="none" w:sz="0" w:space="0" w:color="auto"/>
        <w:right w:val="none" w:sz="0" w:space="0" w:color="auto"/>
      </w:divBdr>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457411187">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footer" Target="footer3.xml"/><Relationship Id="rId26" Type="http://schemas.openxmlformats.org/officeDocument/2006/relationships/hyperlink" Target="https://www.communications.gov.au/file/34821/download?token=7jbYg1eg" TargetMode="External"/><Relationship Id="rId39" Type="http://schemas.openxmlformats.org/officeDocument/2006/relationships/hyperlink" Target="http://www.acma.gov.au/privacypolicy" TargetMode="External"/><Relationship Id="rId21" Type="http://schemas.openxmlformats.org/officeDocument/2006/relationships/footer" Target="footer4.xml"/><Relationship Id="rId34" Type="http://schemas.openxmlformats.org/officeDocument/2006/relationships/image" Target="media/image4.emf"/><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header" Target="header9.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www.acma.gov.au/rules-and-principles-manage-spectrum" TargetMode="External"/><Relationship Id="rId11" Type="http://schemas.openxmlformats.org/officeDocument/2006/relationships/hyperlink" Target="http://i.creativecommons.org/l/by/3.0/88x31.png" TargetMode="External"/><Relationship Id="rId24" Type="http://schemas.openxmlformats.org/officeDocument/2006/relationships/hyperlink" Target="https://www.communications.gov.au/file/34821/download?token=7jbYg1eg" TargetMode="External"/><Relationship Id="rId32" Type="http://schemas.openxmlformats.org/officeDocument/2006/relationships/footer" Target="footer7.xml"/><Relationship Id="rId37" Type="http://schemas.openxmlformats.org/officeDocument/2006/relationships/hyperlink" Target="mailto:spectrumpricing@acma.gov.au" TargetMode="External"/><Relationship Id="rId40" Type="http://schemas.openxmlformats.org/officeDocument/2006/relationships/image" Target="media/image5.jpeg"/><Relationship Id="rId45" Type="http://schemas.openxmlformats.org/officeDocument/2006/relationships/image" Target="media/image10.jpeg"/><Relationship Id="rId53" Type="http://schemas.openxmlformats.org/officeDocument/2006/relationships/footer" Target="footer10.xml"/><Relationship Id="rId58" Type="http://schemas.openxmlformats.org/officeDocument/2006/relationships/customXml" Target="../customXml/item4.xml"/><Relationship Id="rId5" Type="http://schemas.openxmlformats.org/officeDocument/2006/relationships/webSettings" Target="webSettings.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nfo@acma.gov.au" TargetMode="External"/><Relationship Id="rId22" Type="http://schemas.openxmlformats.org/officeDocument/2006/relationships/footer" Target="footer5.xml"/><Relationship Id="rId27" Type="http://schemas.openxmlformats.org/officeDocument/2006/relationships/hyperlink" Target="https://www.communications.gov.au/file/34821/download?token=7jbYg1eg" TargetMode="External"/><Relationship Id="rId30" Type="http://schemas.openxmlformats.org/officeDocument/2006/relationships/header" Target="header7.xml"/><Relationship Id="rId35" Type="http://schemas.openxmlformats.org/officeDocument/2006/relationships/hyperlink" Target="https://www.acma.gov.au/five-year-spectrum-outlook" TargetMode="Externa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customXml" Target="../customXml/item2.xml"/><Relationship Id="rId8" Type="http://schemas.openxmlformats.org/officeDocument/2006/relationships/header" Target="header1.xml"/><Relationship Id="rId51" Type="http://schemas.openxmlformats.org/officeDocument/2006/relationships/header" Target="header10.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yperlink" Target="https://www.acma.gov.au/five-year-spectrum-outlook" TargetMode="External"/><Relationship Id="rId33" Type="http://schemas.openxmlformats.org/officeDocument/2006/relationships/footer" Target="footer8.xml"/><Relationship Id="rId38" Type="http://schemas.openxmlformats.org/officeDocument/2006/relationships/hyperlink" Target="https://www.acma.gov.au/theACMA/About/Corporate/Accountability/privacy-and-consultations" TargetMode="External"/><Relationship Id="rId46" Type="http://schemas.openxmlformats.org/officeDocument/2006/relationships/image" Target="media/image11.jpeg"/><Relationship Id="rId59" Type="http://schemas.openxmlformats.org/officeDocument/2006/relationships/customXml" Target="../customXml/item5.xml"/><Relationship Id="rId20" Type="http://schemas.openxmlformats.org/officeDocument/2006/relationships/header" Target="header6.xml"/><Relationship Id="rId41" Type="http://schemas.openxmlformats.org/officeDocument/2006/relationships/image" Target="media/image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s://www.acma.gov.au/five-year-spectrum-outlook" TargetMode="External"/><Relationship Id="rId36" Type="http://schemas.openxmlformats.org/officeDocument/2006/relationships/hyperlink" Target="http://www.acma.gov.au/theACMA/Consultations/Consultations" TargetMode="External"/><Relationship Id="rId49" Type="http://schemas.openxmlformats.org/officeDocument/2006/relationships/image" Target="media/image14.jpeg"/><Relationship Id="rId57" Type="http://schemas.openxmlformats.org/officeDocument/2006/relationships/customXml" Target="../customXml/item3.xml"/><Relationship Id="rId10" Type="http://schemas.openxmlformats.org/officeDocument/2006/relationships/header" Target="header2.xml"/><Relationship Id="rId31" Type="http://schemas.openxmlformats.org/officeDocument/2006/relationships/header" Target="header8.xml"/><Relationship Id="rId44" Type="http://schemas.openxmlformats.org/officeDocument/2006/relationships/image" Target="media/image9.jpeg"/><Relationship Id="rId52" Type="http://schemas.openxmlformats.org/officeDocument/2006/relationships/footer" Target="footer9.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acma.gov.au/theACMA/About/Making-payments/Apparatus-licence-fees/apparatus-licence-fees-acma" TargetMode="External"/><Relationship Id="rId3" Type="http://schemas.openxmlformats.org/officeDocument/2006/relationships/hyperlink" Target="http://www.acma.gov.au/fees-apparatus-licences" TargetMode="External"/><Relationship Id="rId7" Type="http://schemas.openxmlformats.org/officeDocument/2006/relationships/hyperlink" Target="https://www.legislation.gov.au/Series/F2017L01375" TargetMode="External"/><Relationship Id="rId2" Type="http://schemas.openxmlformats.org/officeDocument/2006/relationships/hyperlink" Target="https://www.acma.gov.au/five-year-spectrum-outlook" TargetMode="External"/><Relationship Id="rId1" Type="http://schemas.openxmlformats.org/officeDocument/2006/relationships/hyperlink" Target="file:///C:/Users/KLaGalle/AppData/Local/Microsoft/Windows/INetCache/Content.Outlook/HA6LEEWF/www.communications.gov.au/file/34821/download?token=7jbYg1eg" TargetMode="External"/><Relationship Id="rId6" Type="http://schemas.openxmlformats.org/officeDocument/2006/relationships/hyperlink" Target="https://www.legislation.gov.au/Details/F2017L01375" TargetMode="External"/><Relationship Id="rId5" Type="http://schemas.openxmlformats.org/officeDocument/2006/relationships/hyperlink" Target="http://www.acma.gov.au/publications/2018-03/report/managing-spectrum-400-mhz-band" TargetMode="External"/><Relationship Id="rId4" Type="http://schemas.openxmlformats.org/officeDocument/2006/relationships/hyperlink" Target="https://www.acma.gov.au/publications/2019-08/report/corporate-plan-2019-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8596EF1E1B53D4DB650581373C5AE0B" ma:contentTypeVersion="1" ma:contentTypeDescription="Create a new document." ma:contentTypeScope="" ma:versionID="256d86c73516b70f2414ca0f6bda121f">
  <xsd:schema xmlns:xsd="http://www.w3.org/2001/XMLSchema" xmlns:xs="http://www.w3.org/2001/XMLSchema" xmlns:p="http://schemas.microsoft.com/office/2006/metadata/properties" xmlns:ns2="ada5df43-bbd8-4643-b265-b63d63fe5e92" targetNamespace="http://schemas.microsoft.com/office/2006/metadata/properties" ma:root="true" ma:fieldsID="015fdb3ca35326a46baa41eb325e1bf6" ns2:_="">
    <xsd:import namespace="ada5df43-bbd8-4643-b265-b63d63fe5e9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5df43-bbd8-4643-b265-b63d63fe5e9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da5df43-bbd8-4643-b265-b63d63fe5e92">SP7UQ5V26J4T-15-78174</_dlc_DocId>
    <_dlc_DocIdUrl xmlns="ada5df43-bbd8-4643-b265-b63d63fe5e92">
      <Url>https://corporateapps.internal.pmc.gov.au/sites/OBPR/RIA/_layouts/15/DocIdRedir.aspx?ID=SP7UQ5V26J4T-15-78174</Url>
      <Description>SP7UQ5V26J4T-15-78174</Description>
    </_dlc_DocIdUrl>
  </documentManagement>
</p:properties>
</file>

<file path=customXml/itemProps1.xml><?xml version="1.0" encoding="utf-8"?>
<ds:datastoreItem xmlns:ds="http://schemas.openxmlformats.org/officeDocument/2006/customXml" ds:itemID="{5580EEA1-FB7A-40EF-BE39-70D3A57F6466}">
  <ds:schemaRefs>
    <ds:schemaRef ds:uri="http://schemas.openxmlformats.org/officeDocument/2006/bibliography"/>
  </ds:schemaRefs>
</ds:datastoreItem>
</file>

<file path=customXml/itemProps2.xml><?xml version="1.0" encoding="utf-8"?>
<ds:datastoreItem xmlns:ds="http://schemas.openxmlformats.org/officeDocument/2006/customXml" ds:itemID="{49B4C849-04F4-4165-8897-C399A56D304F}"/>
</file>

<file path=customXml/itemProps3.xml><?xml version="1.0" encoding="utf-8"?>
<ds:datastoreItem xmlns:ds="http://schemas.openxmlformats.org/officeDocument/2006/customXml" ds:itemID="{10B4DEC4-8BEA-4FD7-AA04-3541182951B6}"/>
</file>

<file path=customXml/itemProps4.xml><?xml version="1.0" encoding="utf-8"?>
<ds:datastoreItem xmlns:ds="http://schemas.openxmlformats.org/officeDocument/2006/customXml" ds:itemID="{80633D64-86E5-4EBA-AAB2-3F74B13D3F31}"/>
</file>

<file path=customXml/itemProps5.xml><?xml version="1.0" encoding="utf-8"?>
<ds:datastoreItem xmlns:ds="http://schemas.openxmlformats.org/officeDocument/2006/customXml" ds:itemID="{CC01B47B-D65D-4611-946A-2EE984C329C7}"/>
</file>

<file path=docProps/app.xml><?xml version="1.0" encoding="utf-8"?>
<Properties xmlns="http://schemas.openxmlformats.org/officeDocument/2006/extended-properties" xmlns:vt="http://schemas.openxmlformats.org/officeDocument/2006/docPropsVTypes">
  <Template>Normal.dotm</Template>
  <TotalTime>0</TotalTime>
  <Pages>53</Pages>
  <Words>12622</Words>
  <Characters>71946</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84400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2020-03-27T05:37:00Z</dcterms:created>
  <dcterms:modified xsi:type="dcterms:W3CDTF">2020-03-29T22:15:00Z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35ee7cc6-8d74-4460-ae72-ed3b2315a3ed</vt:lpwstr>
  </property>
  <property fmtid="{D5CDD505-2E9C-101B-9397-08002B2CF9AE}" pid="3" name="ContentTypeId">
    <vt:lpwstr>0x010100B8596EF1E1B53D4DB650581373C5AE0B</vt:lpwstr>
  </property>
</Properties>
</file>